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trike w:val="0"/>
          <w:dstrike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32"/>
          <w:u w:val="none"/>
          <w:lang w:val="en-US" w:eastAsia="zh-CN"/>
        </w:rPr>
        <w:t xml:space="preserve"> </w:t>
      </w:r>
      <w:bookmarkStart w:id="0" w:name="OLE_LINK7"/>
      <w:r>
        <w:rPr>
          <w:rFonts w:hint="eastAsia" w:ascii="Times New Roman" w:hAnsi="Times New Roman" w:cs="Times New Roman"/>
          <w:b w:val="0"/>
          <w:bCs w:val="0"/>
          <w:color w:val="auto"/>
          <w:sz w:val="22"/>
          <w:szCs w:val="22"/>
          <w:u w:val="none"/>
          <w:lang w:val="en-US" w:eastAsia="zh-CN"/>
        </w:rPr>
        <w:t>Biomimetic all-weather dual-mode cooling film for passive heat dissipation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Zhen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Li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>a*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; Jinqiu Yang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; Xiangdong Zeng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；Zhengfeng Xiong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; Jingjia Li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; Xiuping Su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>b</w:t>
      </w:r>
      <w:r>
        <w:rPr>
          <w:rFonts w:hint="eastAsia" w:ascii="Times New Roman" w:hAnsi="Times New Roman" w:cs="Times New Roman"/>
          <w:sz w:val="20"/>
          <w:szCs w:val="20"/>
          <w:vertAlign w:val="baseline"/>
          <w:lang w:val="en-US" w:eastAsia="zh-CN"/>
        </w:rPr>
        <w:t>; Yadong Li</w:t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Nanxun Innovation Institute, </w:t>
      </w:r>
      <w:bookmarkStart w:id="1" w:name="OLE_LINK4"/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Zhejiang University of Water Resources and Electric Power, Hangzhou,</w:t>
      </w:r>
      <w:bookmarkEnd w:id="1"/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310018,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 xml:space="preserve">b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Key Laboratory of Functional Fibers and Intelligent Textiles, Yuanpei College, Shaoxing University,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Shaoxing 312000,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0"/>
          <w:szCs w:val="20"/>
        </w:rPr>
      </w:pPr>
    </w:p>
    <w:p>
      <w:r>
        <w:br w:type="page"/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Before PEI-modified, cellulose powder was white 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Figure S1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a) and aggregate together with irregular microstructural 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Figure S1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1424305"/>
            <wp:effectExtent l="0" t="0" r="10795" b="4445"/>
            <wp:docPr id="1" name="图片 1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Figure S1 (a)</w:t>
      </w:r>
      <w:r>
        <w:rPr>
          <w:rFonts w:hint="eastAsia" w:ascii="Times New Roman" w:hAnsi="Times New Roman" w:cs="Times New Roman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lang w:val="en-US" w:eastAsia="zh-CN"/>
        </w:rPr>
        <w:t xml:space="preserve">he picture of cellulose powder; (b) 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  <w:lang w:val="en-US" w:eastAsia="zh-CN"/>
        </w:rPr>
        <w:t>he SEM spectrum of cellulose powder.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To verify the heat dissipation performance of the film under real-world conditions, an outdoor experiment was conducted. Four PT-100 thermocouple monitors be used to record real-time temperature changes for both indoor and outdoor environments.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Figure S2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shows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he distribution of the corresponding temperature detection probe and humidity detection probe.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822450"/>
            <wp:effectExtent l="0" t="0" r="6985" b="6350"/>
            <wp:docPr id="2" name="图片 2" descr="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Figure S1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he distribution of the corresponding temperature detection probe and humidity detection probe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(a)</w:t>
      </w:r>
      <w:r>
        <w:rPr>
          <w:rFonts w:hint="eastAsia" w:ascii="Times New Roman" w:hAnsi="Times New Roman" w:cs="Times New Roman"/>
          <w:lang w:val="en-US" w:eastAsia="zh-CN"/>
        </w:rPr>
        <w:t xml:space="preserve"> in the daytime; (b) in the nighttime.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YjcxMzYxMWZhMzJiYTdiMTA0ZDcwYTNjNzhlYjAifQ=="/>
  </w:docVars>
  <w:rsids>
    <w:rsidRoot w:val="00000000"/>
    <w:rsid w:val="026765E4"/>
    <w:rsid w:val="0464632F"/>
    <w:rsid w:val="08525996"/>
    <w:rsid w:val="0CFF5338"/>
    <w:rsid w:val="14292D22"/>
    <w:rsid w:val="19C808E7"/>
    <w:rsid w:val="1DCA1B4F"/>
    <w:rsid w:val="2B8D6A0C"/>
    <w:rsid w:val="33351CA2"/>
    <w:rsid w:val="34026D88"/>
    <w:rsid w:val="4C0D2006"/>
    <w:rsid w:val="557443A9"/>
    <w:rsid w:val="772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105" w:leftChars="50" w:right="105" w:rightChars="50"/>
      <w:outlineLvl w:val="2"/>
    </w:pPr>
    <w:rPr>
      <w:rFonts w:eastAsia="宋体" w:asciiTheme="minorAscii" w:hAnsiTheme="minorAscii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978</Characters>
  <Lines>0</Lines>
  <Paragraphs>0</Paragraphs>
  <TotalTime>0</TotalTime>
  <ScaleCrop>false</ScaleCrop>
  <LinksUpToDate>false</LinksUpToDate>
  <CharactersWithSpaces>1127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2024-07-18T10:12:00Z</dcterms:created>
  <dc:creator>HUAWEI</dc:creator>
  <cp:lastModifiedBy>李震</cp:lastModifiedBy>
  <dcterms:modified xsi:type="dcterms:W3CDTF">2025-08-31T01:17:54Z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A6C465EDC6644DF4B348C78F5AA824E2_12</vt:lpwstr>
  </property>
  <property fmtid="{D5CDD505-2E9C-101B-9397-08002B2CF9AE}" pid="4" name="KSOTemplateDocerSaveRecord">
    <vt:lpwstr>eyJoZGlkIjoiODViY2JkMjU3NGYzZTEwMzZmMGFkZWViYmNkYWU3NDIiLCJ1c2VySWQiOiIxMDQ2MjYwOTk0In0=</vt:lpwstr>
  </property>
</Properties>
</file>