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E6" w:rsidRPr="003076E6" w:rsidRDefault="003076E6" w:rsidP="00F54F78">
      <w:pPr>
        <w:spacing w:line="360" w:lineRule="auto"/>
        <w:jc w:val="both"/>
        <w:rPr>
          <w:rFonts w:cstheme="minorHAnsi"/>
          <w:b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  <w:r w:rsidRPr="003076E6">
        <w:rPr>
          <w:rFonts w:cstheme="minorHAnsi"/>
          <w:b/>
          <w:sz w:val="24"/>
          <w:szCs w:val="24"/>
          <w:shd w:val="clear" w:color="auto" w:fill="FFFFFF"/>
          <w:lang w:val="en-US"/>
        </w:rPr>
        <w:t>Fetoscopic repair technique</w:t>
      </w:r>
    </w:p>
    <w:p w:rsidR="003076E6" w:rsidRPr="00E07D83" w:rsidRDefault="003076E6" w:rsidP="003076E6">
      <w:pPr>
        <w:spacing w:line="360" w:lineRule="auto"/>
        <w:ind w:firstLine="720"/>
        <w:rPr>
          <w:sz w:val="24"/>
          <w:lang w:val="en-US"/>
        </w:rPr>
      </w:pPr>
      <w:r w:rsidRPr="00E07D83">
        <w:rPr>
          <w:sz w:val="24"/>
          <w:lang w:val="en-US"/>
        </w:rPr>
        <w:t xml:space="preserve">All fetal repairs </w:t>
      </w:r>
      <w:proofErr w:type="gramStart"/>
      <w:r w:rsidRPr="00E07D83">
        <w:rPr>
          <w:sz w:val="24"/>
          <w:lang w:val="en-US"/>
        </w:rPr>
        <w:t>were performed</w:t>
      </w:r>
      <w:proofErr w:type="gramEnd"/>
      <w:r w:rsidRPr="00E07D83">
        <w:rPr>
          <w:sz w:val="24"/>
          <w:lang w:val="en-US"/>
        </w:rPr>
        <w:t xml:space="preserve"> under maternal general anesthesia with supplemental administration of fetal intramuscular anesthesia to prevent the stress response and movement associated with a noxious stimulus to a fetus. Adequate uterine </w:t>
      </w:r>
      <w:proofErr w:type="spellStart"/>
      <w:r w:rsidRPr="00E07D83">
        <w:rPr>
          <w:sz w:val="24"/>
          <w:lang w:val="en-US"/>
        </w:rPr>
        <w:t>tocolysis</w:t>
      </w:r>
      <w:proofErr w:type="spellEnd"/>
      <w:r w:rsidRPr="00E07D83">
        <w:rPr>
          <w:sz w:val="24"/>
          <w:lang w:val="en-US"/>
        </w:rPr>
        <w:t xml:space="preserve"> </w:t>
      </w:r>
      <w:proofErr w:type="gramStart"/>
      <w:r w:rsidRPr="00E07D83">
        <w:rPr>
          <w:sz w:val="24"/>
          <w:lang w:val="en-US"/>
        </w:rPr>
        <w:t>was achieved</w:t>
      </w:r>
      <w:proofErr w:type="gramEnd"/>
      <w:r w:rsidRPr="00E07D83">
        <w:rPr>
          <w:sz w:val="24"/>
          <w:lang w:val="en-US"/>
        </w:rPr>
        <w:t xml:space="preserve"> using a combination of volatile anesthesia, magnesium sulfate, and indomethacin. A laparotomy </w:t>
      </w:r>
      <w:proofErr w:type="gramStart"/>
      <w:r w:rsidRPr="00E07D83">
        <w:rPr>
          <w:sz w:val="24"/>
          <w:lang w:val="en-US"/>
        </w:rPr>
        <w:t>was performed</w:t>
      </w:r>
      <w:proofErr w:type="gramEnd"/>
      <w:r w:rsidRPr="00E07D83">
        <w:rPr>
          <w:sz w:val="24"/>
          <w:lang w:val="en-US"/>
        </w:rPr>
        <w:t xml:space="preserve">, and the uterus exteriorized. Ultrasound </w:t>
      </w:r>
      <w:proofErr w:type="gramStart"/>
      <w:r w:rsidRPr="00E07D83">
        <w:rPr>
          <w:sz w:val="24"/>
          <w:lang w:val="en-US"/>
        </w:rPr>
        <w:t>was used</w:t>
      </w:r>
      <w:proofErr w:type="gramEnd"/>
      <w:r w:rsidRPr="00E07D83">
        <w:rPr>
          <w:sz w:val="24"/>
          <w:lang w:val="en-US"/>
        </w:rPr>
        <w:t xml:space="preserve"> to position the fetus and identify the placenta before entering the uterus. For </w:t>
      </w:r>
      <w:proofErr w:type="spellStart"/>
      <w:r w:rsidRPr="00E07D83">
        <w:rPr>
          <w:sz w:val="24"/>
          <w:lang w:val="en-US"/>
        </w:rPr>
        <w:t>fetoscopic</w:t>
      </w:r>
      <w:proofErr w:type="spellEnd"/>
      <w:r w:rsidRPr="00E07D83">
        <w:rPr>
          <w:sz w:val="24"/>
          <w:lang w:val="en-US"/>
        </w:rPr>
        <w:t xml:space="preserve"> cases, an ultrasound guided modified </w:t>
      </w:r>
      <w:proofErr w:type="spellStart"/>
      <w:r w:rsidRPr="00E07D83">
        <w:rPr>
          <w:sz w:val="24"/>
          <w:lang w:val="en-US"/>
        </w:rPr>
        <w:t>Seldinger</w:t>
      </w:r>
      <w:proofErr w:type="spellEnd"/>
      <w:r w:rsidRPr="00E07D83">
        <w:rPr>
          <w:sz w:val="24"/>
          <w:lang w:val="en-US"/>
        </w:rPr>
        <w:t xml:space="preserve"> technique </w:t>
      </w:r>
      <w:proofErr w:type="gramStart"/>
      <w:r w:rsidRPr="00E07D83">
        <w:rPr>
          <w:sz w:val="24"/>
          <w:lang w:val="en-US"/>
        </w:rPr>
        <w:t>was used</w:t>
      </w:r>
      <w:proofErr w:type="gramEnd"/>
      <w:r w:rsidRPr="00E07D83">
        <w:rPr>
          <w:sz w:val="24"/>
          <w:lang w:val="en-US"/>
        </w:rPr>
        <w:t xml:space="preserve"> to place the first 12 French port. The port </w:t>
      </w:r>
      <w:proofErr w:type="gramStart"/>
      <w:r w:rsidRPr="00E07D83">
        <w:rPr>
          <w:sz w:val="24"/>
          <w:lang w:val="en-US"/>
        </w:rPr>
        <w:t>was secured</w:t>
      </w:r>
      <w:proofErr w:type="gramEnd"/>
      <w:r w:rsidRPr="00E07D83">
        <w:rPr>
          <w:sz w:val="24"/>
          <w:lang w:val="en-US"/>
        </w:rPr>
        <w:t xml:space="preserve"> to the uterine wall, and tack-up sutures were placed to anchor the membranes. Amniotic fluid </w:t>
      </w:r>
      <w:proofErr w:type="gramStart"/>
      <w:r w:rsidRPr="00E07D83">
        <w:rPr>
          <w:sz w:val="24"/>
          <w:lang w:val="en-US"/>
        </w:rPr>
        <w:t>was removed</w:t>
      </w:r>
      <w:proofErr w:type="gramEnd"/>
      <w:r w:rsidRPr="00E07D83">
        <w:rPr>
          <w:sz w:val="24"/>
          <w:lang w:val="en-US"/>
        </w:rPr>
        <w:t xml:space="preserve">. Humidified carbon dioxide gas </w:t>
      </w:r>
      <w:proofErr w:type="gramStart"/>
      <w:r w:rsidRPr="00E07D83">
        <w:rPr>
          <w:sz w:val="24"/>
          <w:lang w:val="en-US"/>
        </w:rPr>
        <w:t>was used</w:t>
      </w:r>
      <w:proofErr w:type="gramEnd"/>
      <w:r w:rsidRPr="00E07D83">
        <w:rPr>
          <w:sz w:val="24"/>
          <w:lang w:val="en-US"/>
        </w:rPr>
        <w:t xml:space="preserve"> to insufflate the uterus to a pressure between 5-8 mmHg. A channel endoscope </w:t>
      </w:r>
      <w:proofErr w:type="gramStart"/>
      <w:r w:rsidRPr="00E07D83">
        <w:rPr>
          <w:sz w:val="24"/>
          <w:lang w:val="en-US"/>
        </w:rPr>
        <w:t>was then inserted</w:t>
      </w:r>
      <w:proofErr w:type="gramEnd"/>
      <w:r w:rsidRPr="00E07D83">
        <w:rPr>
          <w:sz w:val="24"/>
          <w:lang w:val="en-US"/>
        </w:rPr>
        <w:t xml:space="preserve"> to inspect the MMC lesion. Next, a second 12 French port </w:t>
      </w:r>
      <w:proofErr w:type="gramStart"/>
      <w:r w:rsidRPr="00E07D83">
        <w:rPr>
          <w:sz w:val="24"/>
          <w:lang w:val="en-US"/>
        </w:rPr>
        <w:t>was placed</w:t>
      </w:r>
      <w:proofErr w:type="gramEnd"/>
      <w:r w:rsidRPr="00E07D83">
        <w:rPr>
          <w:sz w:val="24"/>
          <w:lang w:val="en-US"/>
        </w:rPr>
        <w:t xml:space="preserve"> using endoscopic guidance approximately 4-6 cm from the first port and away from the placenta.</w:t>
      </w:r>
    </w:p>
    <w:p w:rsidR="003076E6" w:rsidRPr="00E07D83" w:rsidRDefault="003076E6" w:rsidP="003076E6">
      <w:pPr>
        <w:spacing w:line="360" w:lineRule="auto"/>
        <w:ind w:firstLine="720"/>
        <w:rPr>
          <w:sz w:val="24"/>
          <w:lang w:val="en-US"/>
        </w:rPr>
      </w:pPr>
      <w:r w:rsidRPr="00E07D83">
        <w:rPr>
          <w:sz w:val="24"/>
          <w:lang w:val="en-US"/>
        </w:rPr>
        <w:t xml:space="preserve">The </w:t>
      </w:r>
      <w:proofErr w:type="spellStart"/>
      <w:r w:rsidRPr="00E07D83">
        <w:rPr>
          <w:sz w:val="24"/>
          <w:lang w:val="en-US"/>
        </w:rPr>
        <w:t>fetoscopic</w:t>
      </w:r>
      <w:proofErr w:type="spellEnd"/>
      <w:r w:rsidRPr="00E07D83">
        <w:rPr>
          <w:sz w:val="24"/>
          <w:lang w:val="en-US"/>
        </w:rPr>
        <w:t xml:space="preserve"> closure technique varied over time. In the first 33 cases, we employed a two-step, single-layered closure technique</w:t>
      </w:r>
      <w:r>
        <w:rPr>
          <w:sz w:val="24"/>
          <w:lang w:val="en-US"/>
        </w:rPr>
        <w:t xml:space="preserve"> (1)</w:t>
      </w:r>
      <w:r w:rsidRPr="00E07D83">
        <w:rPr>
          <w:sz w:val="24"/>
          <w:lang w:val="en-US"/>
        </w:rPr>
        <w:t xml:space="preserve">. In the first step, the placode was untethered from the skin using sharp dissection; the placode </w:t>
      </w:r>
      <w:proofErr w:type="gramStart"/>
      <w:r w:rsidRPr="00E07D83">
        <w:rPr>
          <w:sz w:val="24"/>
          <w:lang w:val="en-US"/>
        </w:rPr>
        <w:t xml:space="preserve">was never closed or </w:t>
      </w:r>
      <w:proofErr w:type="spellStart"/>
      <w:r w:rsidRPr="00E07D83">
        <w:rPr>
          <w:sz w:val="24"/>
          <w:lang w:val="en-US"/>
        </w:rPr>
        <w:t>tubularized</w:t>
      </w:r>
      <w:proofErr w:type="spellEnd"/>
      <w:proofErr w:type="gramEnd"/>
      <w:r w:rsidRPr="00E07D83">
        <w:rPr>
          <w:sz w:val="24"/>
          <w:lang w:val="en-US"/>
        </w:rPr>
        <w:t xml:space="preserve">. In the second step, a unified layer of skin and dura </w:t>
      </w:r>
      <w:proofErr w:type="gramStart"/>
      <w:r w:rsidRPr="00E07D83">
        <w:rPr>
          <w:sz w:val="24"/>
          <w:lang w:val="en-US"/>
        </w:rPr>
        <w:t>were brought</w:t>
      </w:r>
      <w:proofErr w:type="gramEnd"/>
      <w:r w:rsidRPr="00E07D83">
        <w:rPr>
          <w:sz w:val="24"/>
          <w:lang w:val="en-US"/>
        </w:rPr>
        <w:t xml:space="preserve"> together using a vertical mattress or a running stitch. No patches </w:t>
      </w:r>
      <w:proofErr w:type="gramStart"/>
      <w:r w:rsidRPr="00E07D83">
        <w:rPr>
          <w:sz w:val="24"/>
          <w:lang w:val="en-US"/>
        </w:rPr>
        <w:t>were used</w:t>
      </w:r>
      <w:proofErr w:type="gramEnd"/>
      <w:r w:rsidRPr="00E07D83">
        <w:rPr>
          <w:sz w:val="24"/>
          <w:lang w:val="en-US"/>
        </w:rPr>
        <w:t xml:space="preserve">.  </w:t>
      </w:r>
      <w:proofErr w:type="gramStart"/>
      <w:r w:rsidRPr="00E07D83">
        <w:rPr>
          <w:sz w:val="24"/>
          <w:lang w:val="en-US"/>
        </w:rPr>
        <w:t xml:space="preserve">Due to high rates of </w:t>
      </w:r>
      <w:r>
        <w:rPr>
          <w:sz w:val="24"/>
          <w:lang w:val="en-US"/>
        </w:rPr>
        <w:t>cerebrospinal fluid l</w:t>
      </w:r>
      <w:r w:rsidRPr="00E07D83">
        <w:rPr>
          <w:sz w:val="24"/>
          <w:lang w:val="en-US"/>
        </w:rPr>
        <w:t>eak at birth and tethered cord syndrome at an early age, we changed to a multi-layered approach with an in-lay bovine collagen patch placed over the untethered placode, followed by closure of dura with myofascial flaps, followed by skin closure</w:t>
      </w:r>
      <w:r>
        <w:rPr>
          <w:sz w:val="24"/>
          <w:lang w:val="en-US"/>
        </w:rPr>
        <w:t xml:space="preserve"> (2)</w:t>
      </w:r>
      <w:r w:rsidRPr="00E07D83">
        <w:rPr>
          <w:sz w:val="24"/>
          <w:lang w:val="en-US"/>
        </w:rPr>
        <w:t xml:space="preserve"> In cases where we could not bring the skin edges together,  we created bi-</w:t>
      </w:r>
      <w:proofErr w:type="spellStart"/>
      <w:r w:rsidRPr="00E07D83">
        <w:rPr>
          <w:sz w:val="24"/>
          <w:lang w:val="en-US"/>
        </w:rPr>
        <w:t>pedicular</w:t>
      </w:r>
      <w:proofErr w:type="spellEnd"/>
      <w:r w:rsidRPr="00E07D83">
        <w:rPr>
          <w:sz w:val="24"/>
          <w:lang w:val="en-US"/>
        </w:rPr>
        <w:t xml:space="preserve"> advancement flaps with </w:t>
      </w:r>
      <w:proofErr w:type="spellStart"/>
      <w:r w:rsidRPr="00E07D83">
        <w:rPr>
          <w:sz w:val="24"/>
          <w:lang w:val="en-US"/>
        </w:rPr>
        <w:t>bovie</w:t>
      </w:r>
      <w:proofErr w:type="spellEnd"/>
      <w:r w:rsidRPr="00E07D83">
        <w:rPr>
          <w:sz w:val="24"/>
          <w:lang w:val="en-US"/>
        </w:rPr>
        <w:t xml:space="preserve"> cautery.</w:t>
      </w:r>
      <w:proofErr w:type="gramEnd"/>
      <w:r w:rsidRPr="00E07D83">
        <w:rPr>
          <w:sz w:val="24"/>
          <w:lang w:val="en-US"/>
        </w:rPr>
        <w:t xml:space="preserve"> If, at any point during the MMC repair, we determined it was not technically possible to get a </w:t>
      </w:r>
      <w:proofErr w:type="gramStart"/>
      <w:r w:rsidRPr="00E07D83">
        <w:rPr>
          <w:sz w:val="24"/>
          <w:lang w:val="en-US"/>
        </w:rPr>
        <w:t>water-tight</w:t>
      </w:r>
      <w:proofErr w:type="gramEnd"/>
      <w:r w:rsidRPr="00E07D83">
        <w:rPr>
          <w:sz w:val="24"/>
          <w:lang w:val="en-US"/>
        </w:rPr>
        <w:t xml:space="preserve"> closure, we converted to </w:t>
      </w:r>
      <w:proofErr w:type="spellStart"/>
      <w:r w:rsidRPr="00E07D83">
        <w:rPr>
          <w:sz w:val="24"/>
          <w:lang w:val="en-US"/>
        </w:rPr>
        <w:t>hysterotomy</w:t>
      </w:r>
      <w:proofErr w:type="spellEnd"/>
      <w:r w:rsidRPr="00E07D83">
        <w:rPr>
          <w:sz w:val="24"/>
          <w:lang w:val="en-US"/>
        </w:rPr>
        <w:t xml:space="preserve"> to complete the surgery.</w:t>
      </w:r>
    </w:p>
    <w:p w:rsidR="003076E6" w:rsidRPr="00E07D83" w:rsidRDefault="003076E6" w:rsidP="003076E6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val="en-US"/>
        </w:rPr>
      </w:pPr>
    </w:p>
    <w:p w:rsidR="003076E6" w:rsidRDefault="003076E6" w:rsidP="003076E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Belfort MA, Whitehead WE, </w:t>
      </w:r>
      <w:proofErr w:type="spellStart"/>
      <w:r>
        <w:rPr>
          <w:color w:val="000000"/>
          <w:sz w:val="27"/>
          <w:szCs w:val="27"/>
        </w:rPr>
        <w:t>Shamshirsaz</w:t>
      </w:r>
      <w:proofErr w:type="spellEnd"/>
      <w:r>
        <w:rPr>
          <w:color w:val="000000"/>
          <w:sz w:val="27"/>
          <w:szCs w:val="27"/>
        </w:rPr>
        <w:t xml:space="preserve"> AA, et al. Comparison of two </w:t>
      </w:r>
      <w:proofErr w:type="spellStart"/>
      <w:r>
        <w:rPr>
          <w:color w:val="000000"/>
          <w:sz w:val="27"/>
          <w:szCs w:val="27"/>
        </w:rPr>
        <w:t>fetoscopic</w:t>
      </w:r>
      <w:proofErr w:type="spellEnd"/>
      <w:r>
        <w:rPr>
          <w:color w:val="000000"/>
          <w:sz w:val="27"/>
          <w:szCs w:val="27"/>
        </w:rPr>
        <w:t xml:space="preserve"> open neural tube defect (ONTD) repair techniques: Single-layer vs three-layer closure. Ultrasound in obstetrics &amp; </w:t>
      </w:r>
      <w:proofErr w:type="gramStart"/>
      <w:r>
        <w:rPr>
          <w:color w:val="000000"/>
          <w:sz w:val="27"/>
          <w:szCs w:val="27"/>
        </w:rPr>
        <w:t>gynecology :</w:t>
      </w:r>
      <w:proofErr w:type="gramEnd"/>
      <w:r>
        <w:rPr>
          <w:color w:val="000000"/>
          <w:sz w:val="27"/>
          <w:szCs w:val="27"/>
        </w:rPr>
        <w:t xml:space="preserve"> the official journal of the International Society of Ultrasound in Obstetrics and Gynecology. Nov 11 201</w:t>
      </w:r>
      <w:r w:rsidRPr="00215500">
        <w:rPr>
          <w:color w:val="000000"/>
          <w:sz w:val="27"/>
          <w:szCs w:val="27"/>
        </w:rPr>
        <w:t xml:space="preserve"> </w:t>
      </w:r>
    </w:p>
    <w:p w:rsidR="003076E6" w:rsidRPr="00A63F89" w:rsidRDefault="003076E6" w:rsidP="003076E6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  <w:lang w:val="en-US"/>
        </w:rPr>
      </w:pPr>
      <w:proofErr w:type="gramStart"/>
      <w:r w:rsidRPr="003076E6">
        <w:rPr>
          <w:color w:val="000000"/>
          <w:sz w:val="27"/>
          <w:szCs w:val="27"/>
          <w:lang w:val="en-US"/>
        </w:rPr>
        <w:lastRenderedPageBreak/>
        <w:t>2.Belfort</w:t>
      </w:r>
      <w:proofErr w:type="gramEnd"/>
      <w:r w:rsidRPr="003076E6">
        <w:rPr>
          <w:color w:val="000000"/>
          <w:sz w:val="27"/>
          <w:szCs w:val="27"/>
          <w:lang w:val="en-US"/>
        </w:rPr>
        <w:t xml:space="preserve"> MA, Whitehead WE, </w:t>
      </w:r>
      <w:proofErr w:type="spellStart"/>
      <w:r w:rsidRPr="003076E6">
        <w:rPr>
          <w:color w:val="000000"/>
          <w:sz w:val="27"/>
          <w:szCs w:val="27"/>
          <w:lang w:val="en-US"/>
        </w:rPr>
        <w:t>Shamshirsaz</w:t>
      </w:r>
      <w:proofErr w:type="spellEnd"/>
      <w:r w:rsidRPr="003076E6">
        <w:rPr>
          <w:color w:val="000000"/>
          <w:sz w:val="27"/>
          <w:szCs w:val="27"/>
          <w:lang w:val="en-US"/>
        </w:rPr>
        <w:t xml:space="preserve"> AA, et al. Fetoscopic Open Neural Tube Defect Repair: Development and Refinement of a Two-Port, Carbon Dioxide Insufflation Technique. </w:t>
      </w:r>
      <w:r w:rsidRPr="00170C6E">
        <w:rPr>
          <w:color w:val="000000"/>
          <w:sz w:val="27"/>
          <w:szCs w:val="27"/>
          <w:lang w:val="en-US"/>
        </w:rPr>
        <w:t>Obstetrics and gynecology. Apr 2017</w:t>
      </w:r>
      <w:proofErr w:type="gramStart"/>
      <w:r w:rsidRPr="00170C6E">
        <w:rPr>
          <w:color w:val="000000"/>
          <w:sz w:val="27"/>
          <w:szCs w:val="27"/>
          <w:lang w:val="en-US"/>
        </w:rPr>
        <w:t>;129</w:t>
      </w:r>
      <w:proofErr w:type="gramEnd"/>
      <w:r w:rsidRPr="00170C6E">
        <w:rPr>
          <w:color w:val="000000"/>
          <w:sz w:val="27"/>
          <w:szCs w:val="27"/>
          <w:lang w:val="en-US"/>
        </w:rPr>
        <w:t>(4):734-743.</w:t>
      </w:r>
    </w:p>
    <w:p w:rsidR="009B7F39" w:rsidRPr="00A63F89" w:rsidRDefault="009B7F39" w:rsidP="00F54F78">
      <w:pPr>
        <w:spacing w:line="360" w:lineRule="auto"/>
        <w:jc w:val="both"/>
        <w:rPr>
          <w:rFonts w:cstheme="minorHAnsi"/>
          <w:b/>
          <w:sz w:val="24"/>
          <w:szCs w:val="24"/>
          <w:lang w:val="en-US"/>
        </w:rPr>
      </w:pPr>
    </w:p>
    <w:p w:rsidR="00BA56F3" w:rsidRPr="00A63F89" w:rsidRDefault="00BA56F3" w:rsidP="00F54F78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r w:rsidRPr="00A63F89">
        <w:rPr>
          <w:rFonts w:cstheme="minorHAnsi"/>
          <w:b/>
          <w:sz w:val="24"/>
          <w:szCs w:val="24"/>
          <w:lang w:val="en-US"/>
        </w:rPr>
        <w:t>Supplementary Table 1.</w:t>
      </w:r>
      <w:r w:rsidRPr="00A63F89">
        <w:rPr>
          <w:rFonts w:cstheme="minorHAnsi"/>
          <w:sz w:val="24"/>
          <w:szCs w:val="24"/>
          <w:lang w:val="en-US"/>
        </w:rPr>
        <w:t xml:space="preserve"> Prenatal assessment of the motor function according to the lower extremity movements</w:t>
      </w:r>
      <w:r w:rsidR="00A13F58" w:rsidRPr="00A63F89">
        <w:rPr>
          <w:rFonts w:cstheme="minorHAnsi"/>
          <w:sz w:val="24"/>
          <w:szCs w:val="24"/>
          <w:vertAlign w:val="superscript"/>
          <w:lang w:val="en-US"/>
        </w:rPr>
        <w:t>34</w:t>
      </w:r>
      <w:r w:rsidRPr="00A63F89">
        <w:rPr>
          <w:rFonts w:cstheme="minorHAnsi"/>
          <w:sz w:val="24"/>
          <w:szCs w:val="24"/>
          <w:lang w:val="en-US"/>
        </w:rPr>
        <w:t xml:space="preserve">. </w:t>
      </w:r>
      <w:r w:rsidRPr="00A63F89">
        <w:rPr>
          <w:rFonts w:cstheme="minorHAnsi"/>
          <w:color w:val="000000" w:themeColor="text1"/>
          <w:sz w:val="24"/>
          <w:szCs w:val="24"/>
          <w:lang w:val="en-US"/>
        </w:rPr>
        <w:t xml:space="preserve">The best level </w:t>
      </w:r>
      <w:proofErr w:type="gramStart"/>
      <w:r w:rsidRPr="00A63F89">
        <w:rPr>
          <w:rFonts w:cstheme="minorHAnsi"/>
          <w:color w:val="000000" w:themeColor="text1"/>
          <w:sz w:val="24"/>
          <w:szCs w:val="24"/>
          <w:lang w:val="en-US"/>
        </w:rPr>
        <w:t>was used</w:t>
      </w:r>
      <w:proofErr w:type="gramEnd"/>
      <w:r w:rsidRPr="00A63F89">
        <w:rPr>
          <w:rFonts w:cstheme="minorHAnsi"/>
          <w:color w:val="000000" w:themeColor="text1"/>
          <w:sz w:val="24"/>
          <w:szCs w:val="24"/>
          <w:lang w:val="en-US"/>
        </w:rPr>
        <w:t xml:space="preserve"> to characterize the level of lesion.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58"/>
        <w:gridCol w:w="3858"/>
      </w:tblGrid>
      <w:tr w:rsidR="00BA56F3" w:rsidRPr="00A63F89" w:rsidTr="0002080F">
        <w:trPr>
          <w:trHeight w:val="376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3" w:rsidRPr="00A63F89" w:rsidRDefault="00BA56F3" w:rsidP="00F54F78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63F89">
              <w:rPr>
                <w:rFonts w:cstheme="minorHAnsi"/>
                <w:b/>
                <w:sz w:val="24"/>
                <w:szCs w:val="24"/>
                <w:lang w:val="en-US"/>
              </w:rPr>
              <w:t>Metameric Level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3" w:rsidRPr="00A63F89" w:rsidRDefault="00BA56F3" w:rsidP="00F54F78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63F89">
              <w:rPr>
                <w:rFonts w:cstheme="minorHAnsi"/>
                <w:b/>
                <w:sz w:val="24"/>
                <w:szCs w:val="24"/>
                <w:lang w:val="en-US"/>
              </w:rPr>
              <w:t>Function</w:t>
            </w:r>
          </w:p>
        </w:tc>
      </w:tr>
      <w:tr w:rsidR="00BA56F3" w:rsidRPr="00A63F89" w:rsidTr="0002080F">
        <w:trPr>
          <w:trHeight w:val="376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3" w:rsidRPr="00A63F89" w:rsidRDefault="00BA56F3" w:rsidP="00F54F78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A63F89">
              <w:rPr>
                <w:rFonts w:cstheme="minorHAnsi"/>
                <w:sz w:val="24"/>
                <w:szCs w:val="24"/>
                <w:lang w:val="en-US"/>
              </w:rPr>
              <w:t>L1-L2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3" w:rsidRPr="00A63F89" w:rsidRDefault="00BA56F3" w:rsidP="00F54F78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A63F89">
              <w:rPr>
                <w:rFonts w:cstheme="minorHAnsi"/>
                <w:sz w:val="24"/>
                <w:szCs w:val="24"/>
                <w:lang w:val="en-US"/>
              </w:rPr>
              <w:t>Hip Flexion/adduction</w:t>
            </w:r>
          </w:p>
        </w:tc>
      </w:tr>
      <w:tr w:rsidR="00BA56F3" w:rsidRPr="00A63F89" w:rsidTr="0002080F">
        <w:trPr>
          <w:trHeight w:val="376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3" w:rsidRPr="00A63F89" w:rsidRDefault="00BA56F3" w:rsidP="00F54F78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A63F89">
              <w:rPr>
                <w:rFonts w:cstheme="minorHAnsi"/>
                <w:sz w:val="24"/>
                <w:szCs w:val="24"/>
                <w:lang w:val="en-US"/>
              </w:rPr>
              <w:t xml:space="preserve">L3 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3" w:rsidRPr="00A63F89" w:rsidRDefault="00BA56F3" w:rsidP="00F54F78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A63F89">
              <w:rPr>
                <w:rFonts w:cstheme="minorHAnsi"/>
                <w:sz w:val="24"/>
                <w:szCs w:val="24"/>
                <w:lang w:val="en-US"/>
              </w:rPr>
              <w:t>Knee extension</w:t>
            </w:r>
          </w:p>
        </w:tc>
      </w:tr>
      <w:tr w:rsidR="00BA56F3" w:rsidRPr="00A63F89" w:rsidTr="0002080F">
        <w:trPr>
          <w:trHeight w:val="376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3" w:rsidRPr="00A63F89" w:rsidRDefault="00BA56F3" w:rsidP="00F54F78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A63F89">
              <w:rPr>
                <w:rFonts w:cstheme="minorHAnsi"/>
                <w:sz w:val="24"/>
                <w:szCs w:val="24"/>
                <w:lang w:val="en-US"/>
              </w:rPr>
              <w:t>L4-L5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3" w:rsidRPr="00A63F89" w:rsidRDefault="00BA56F3" w:rsidP="00F54F78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A63F89">
              <w:rPr>
                <w:rFonts w:cstheme="minorHAnsi"/>
                <w:sz w:val="24"/>
                <w:szCs w:val="24"/>
                <w:lang w:val="en-US"/>
              </w:rPr>
              <w:t>dorsiflexion of the ankle</w:t>
            </w:r>
          </w:p>
        </w:tc>
      </w:tr>
      <w:tr w:rsidR="00BA56F3" w:rsidRPr="00170C6E" w:rsidTr="0002080F">
        <w:trPr>
          <w:trHeight w:val="376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3" w:rsidRPr="00A63F89" w:rsidRDefault="00BA56F3" w:rsidP="00F54F78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A63F89">
              <w:rPr>
                <w:rFonts w:cstheme="minorHAnsi"/>
                <w:sz w:val="24"/>
                <w:szCs w:val="24"/>
                <w:lang w:val="en-US"/>
              </w:rPr>
              <w:t>S1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F3" w:rsidRPr="00A63F89" w:rsidRDefault="00BA56F3" w:rsidP="00F54F78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A63F89">
              <w:rPr>
                <w:rFonts w:cstheme="minorHAnsi"/>
                <w:sz w:val="24"/>
                <w:szCs w:val="24"/>
                <w:lang w:val="en-US"/>
              </w:rPr>
              <w:t>Plantar flexion of ankle (gas pedal)</w:t>
            </w:r>
            <w:r w:rsidR="005F2D53" w:rsidRPr="00A63F8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871F56" w:rsidRPr="00A63F89" w:rsidRDefault="00871F56" w:rsidP="00F54F78">
      <w:pPr>
        <w:spacing w:line="360" w:lineRule="auto"/>
        <w:jc w:val="both"/>
        <w:rPr>
          <w:rFonts w:cstheme="minorHAnsi"/>
          <w:b/>
          <w:sz w:val="24"/>
          <w:szCs w:val="24"/>
          <w:lang w:val="en-US"/>
        </w:rPr>
      </w:pPr>
    </w:p>
    <w:p w:rsidR="00833B4C" w:rsidRPr="00A63F89" w:rsidRDefault="00D17AC7" w:rsidP="00F54F78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r w:rsidRPr="00A63F89">
        <w:rPr>
          <w:rFonts w:cstheme="minorHAnsi"/>
          <w:b/>
          <w:sz w:val="24"/>
          <w:szCs w:val="24"/>
          <w:lang w:val="en-US"/>
        </w:rPr>
        <w:t>Supplementary Figure 1.</w:t>
      </w:r>
      <w:r w:rsidRPr="00A63F89">
        <w:rPr>
          <w:rFonts w:cstheme="minorHAnsi"/>
          <w:sz w:val="24"/>
          <w:szCs w:val="24"/>
          <w:lang w:val="en-US"/>
        </w:rPr>
        <w:t xml:space="preserve"> Placement of Region-of-interest (ROI) in case with </w:t>
      </w:r>
      <w:proofErr w:type="spellStart"/>
      <w:r w:rsidR="009C548B" w:rsidRPr="00A63F89">
        <w:rPr>
          <w:rFonts w:cstheme="minorHAnsi"/>
          <w:sz w:val="24"/>
          <w:szCs w:val="24"/>
          <w:lang w:val="en-US"/>
        </w:rPr>
        <w:t>hydro</w:t>
      </w:r>
      <w:r w:rsidRPr="00A63F89">
        <w:rPr>
          <w:rFonts w:cstheme="minorHAnsi"/>
          <w:sz w:val="24"/>
          <w:szCs w:val="24"/>
          <w:lang w:val="en-US"/>
        </w:rPr>
        <w:t>myelia</w:t>
      </w:r>
      <w:proofErr w:type="spellEnd"/>
      <w:r w:rsidRPr="00A63F89">
        <w:rPr>
          <w:rFonts w:cstheme="minorHAnsi"/>
          <w:sz w:val="24"/>
          <w:szCs w:val="24"/>
          <w:lang w:val="en-US"/>
        </w:rPr>
        <w:t xml:space="preserve"> at the level of the lesion. Cerebrospinal fluid </w:t>
      </w:r>
      <w:proofErr w:type="gramStart"/>
      <w:r w:rsidRPr="00A63F89">
        <w:rPr>
          <w:rFonts w:cstheme="minorHAnsi"/>
          <w:sz w:val="24"/>
          <w:szCs w:val="24"/>
          <w:lang w:val="en-US"/>
        </w:rPr>
        <w:t>was excluded</w:t>
      </w:r>
      <w:proofErr w:type="gramEnd"/>
      <w:r w:rsidRPr="00A63F89">
        <w:rPr>
          <w:rFonts w:cstheme="minorHAnsi"/>
          <w:sz w:val="24"/>
          <w:szCs w:val="24"/>
          <w:lang w:val="en-US"/>
        </w:rPr>
        <w:t xml:space="preserve"> from ROI.</w:t>
      </w:r>
    </w:p>
    <w:p w:rsidR="00D57A67" w:rsidRPr="00A63F89" w:rsidRDefault="00D57A67" w:rsidP="00F54F78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</w:p>
    <w:p w:rsidR="00D17AC7" w:rsidRPr="00A63F89" w:rsidRDefault="00D17AC7" w:rsidP="00F54F78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</w:p>
    <w:p w:rsidR="00B84BAB" w:rsidRPr="00A63F89" w:rsidRDefault="0031532A" w:rsidP="00F54F78">
      <w:pPr>
        <w:spacing w:line="360" w:lineRule="auto"/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3.5pt;height:525pt">
            <v:imagedata r:id="rId4" o:title="supp fig 1"/>
          </v:shape>
        </w:pict>
      </w:r>
    </w:p>
    <w:p w:rsidR="00D57A67" w:rsidRPr="00A63F89" w:rsidRDefault="00D57A67" w:rsidP="00F54F78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</w:p>
    <w:sectPr w:rsidR="00D57A67" w:rsidRPr="00A63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F3"/>
    <w:rsid w:val="00170C6E"/>
    <w:rsid w:val="003076E6"/>
    <w:rsid w:val="0031532A"/>
    <w:rsid w:val="004F4836"/>
    <w:rsid w:val="005F2D53"/>
    <w:rsid w:val="00833B4C"/>
    <w:rsid w:val="00871F56"/>
    <w:rsid w:val="009B7F39"/>
    <w:rsid w:val="009C548B"/>
    <w:rsid w:val="00A13F58"/>
    <w:rsid w:val="00A63F89"/>
    <w:rsid w:val="00B84BAB"/>
    <w:rsid w:val="00BA56F3"/>
    <w:rsid w:val="00D17AC7"/>
    <w:rsid w:val="00D57A67"/>
    <w:rsid w:val="00E2632B"/>
    <w:rsid w:val="00E51B04"/>
    <w:rsid w:val="00F5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05559-5D7E-4127-B207-6FB25D8A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6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A5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07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corroenne</dc:creator>
  <cp:keywords/>
  <dc:description/>
  <cp:lastModifiedBy>romain corroenne</cp:lastModifiedBy>
  <cp:revision>2</cp:revision>
  <dcterms:created xsi:type="dcterms:W3CDTF">2025-07-12T09:14:00Z</dcterms:created>
  <dcterms:modified xsi:type="dcterms:W3CDTF">2025-07-12T09:14:00Z</dcterms:modified>
</cp:coreProperties>
</file>