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8EDC9" w14:textId="77777777" w:rsidR="00566A2B" w:rsidRDefault="00566A2B" w:rsidP="00566A2B">
      <w:pPr>
        <w:rPr>
          <w:sz w:val="40"/>
          <w:szCs w:val="40"/>
          <w:lang w:val="en-US"/>
        </w:rPr>
      </w:pPr>
      <w:r>
        <w:rPr>
          <w:sz w:val="40"/>
          <w:szCs w:val="40"/>
          <w:lang w:val="en-US"/>
        </w:rPr>
        <w:t>Supplementary Materials</w:t>
      </w:r>
    </w:p>
    <w:p w14:paraId="58C712D5" w14:textId="77777777" w:rsidR="00566A2B" w:rsidRPr="00874032" w:rsidRDefault="00566A2B" w:rsidP="00566A2B">
      <w:pPr>
        <w:pStyle w:val="Heading2"/>
        <w:spacing w:line="480" w:lineRule="auto"/>
      </w:pPr>
      <w:r w:rsidRPr="00874032">
        <w:t>Methodology Comparison: 10 second vs 3 second frameset</w:t>
      </w:r>
    </w:p>
    <w:p w14:paraId="682A54E9" w14:textId="77777777" w:rsidR="00566A2B" w:rsidRPr="00A7525A" w:rsidRDefault="00566A2B" w:rsidP="00566A2B">
      <w:pPr>
        <w:pStyle w:val="Heading2"/>
        <w:keepNext w:val="0"/>
        <w:keepLines w:val="0"/>
        <w:spacing w:line="480" w:lineRule="auto"/>
        <w:jc w:val="both"/>
      </w:pPr>
      <w:r w:rsidRPr="004453C4">
        <w:rPr>
          <w:sz w:val="24"/>
          <w:szCs w:val="24"/>
          <w:lang w:val="da-DK"/>
        </w:rPr>
        <w:t>Compared to the previous study</w:t>
      </w:r>
      <w:r>
        <w:rPr>
          <w:sz w:val="24"/>
          <w:szCs w:val="24"/>
          <w:lang w:val="da-DK"/>
        </w:rPr>
        <w:t xml:space="preserve"> </w:t>
      </w:r>
      <w:r>
        <w:rPr>
          <w:sz w:val="24"/>
          <w:szCs w:val="24"/>
          <w:lang w:val="da-DK"/>
        </w:rPr>
        <w:fldChar w:fldCharType="begin"/>
      </w:r>
      <w:r>
        <w:rPr>
          <w:sz w:val="24"/>
          <w:szCs w:val="24"/>
          <w:lang w:val="da-DK"/>
        </w:rPr>
        <w:instrText xml:space="preserve"> ADDIN ZOTERO_ITEM CSL_CITATION {"citationID":"3CPIkmy5","properties":{"formattedCitation":"(15)","plainCitation":"(15)","noteIndex":0},"citationItems":[{"id":236,"uris":["http://zotero.org/users/local/kfF4QDMG/items/GTGXB7ZL"],"itemData":{"id":236,"type":"article-journal","abstract":"Abstract\n            \n              Cardiopulmonary transit time (CPTT) represents the time needed for the circulation of blood from the right to the left ventricle. This parameter can be measured during dynamic acquisition of rubidium ([\n              82\n              Rb]) cardiac PET/CT. To further characterize this marker, we wanted to assess the association between CPTT and parameters of cardiac function derived from echocardiography. Retrospective single center analysis of patients referred to [\n              82\n              Rb]RbCl-PET/CT with rest/stress protocol on an integrated hybrid PET/CT system (Biograph mCT, Siemens Healthineers, Erlangen, Germany) and echocardiography within 100 days. After intravenous injection of 7.5 MBq/kg [\n              82\n              Rb]RbCl dynamic scans with initially 12 × 10 s frames were started. For data analysis a volume of interest (VOI) was drawn in the left and right ventricle using dedicated software. The difference between the peak time for the two time activity curves (TAC) was extracted as CPTT and normalized for heart rate (NCPTT). Associations between NCPTT and echo parameters such as left ventricular ejection fraction (EF\n              Echo\n              ) were analyzed using linear regression models. 44 patients (sex: 28 male, 16 female) were enrolled with a time difference between PET and echocardiography of 19.65 ± 23.3 days. 9 patients had a rest CPTT of 0 s, 32 patients 10 s and 3 patients 20 s. The association between EF\n              Echo\n              and NCPTT revealed a significant negative correlation (beta = -0.77; CI: -1.32, -0.22;\n              p\n               = 0.007). Given this association, univariate predictive models for EF\n              Echo\n              were applied. Root mean square error was 6.83% for the EF\n              PET\n              , and 6.0% for NCPTT, which indicates a slightly higher predictive performance for the NCPTT model with a lower error. Pulmonary transit time can be estimated with [\n              82\n              Rb]RbCl-PET/CT, with a high positive association to rest EF\n              Echo\n              . However, smaller time frames than 10 s are needed, for more accurate estimation of cardiac function.\n            \n            \n              Graphical Abstract","container-title":"The International Journal of Cardiovascular Imaging","DOI":"10.1007/s10554-025-03346-5","ISSN":"1875-8312","issue":"3","journalAbbreviation":"Int J Cardiovasc Imaging","language":"en","page":"569-577","source":"DOI.org (Crossref)","title":"Is cardiopulmonary transit time (CPTT) measured by using dynamic rubidium cardiac PET/CT a predictor for cardiac function?","volume":"41","author":[{"family":"Seige","given":"Lena C."},{"family":"Zhang","given":"Boya"},{"family":"Heimer","given":"Jakob"},{"family":"Spielhofer","given":"Noel"},{"family":"Popescu","given":"Cristina"},{"family":"Murray","given":"Karsten"},{"family":"La Fougère","given":"Christian"},{"family":"Burger","given":"Irene A."},{"family":"Sauter","given":"Alexander W."}],"issued":{"date-parts":[["2025",2,14]]}}}],"schema":"https://github.com/citation-style-language/schema/raw/master/csl-citation.json"} </w:instrText>
      </w:r>
      <w:r>
        <w:rPr>
          <w:sz w:val="24"/>
          <w:szCs w:val="24"/>
          <w:lang w:val="da-DK"/>
        </w:rPr>
        <w:fldChar w:fldCharType="separate"/>
      </w:r>
      <w:r>
        <w:rPr>
          <w:noProof/>
          <w:sz w:val="24"/>
          <w:szCs w:val="24"/>
          <w:lang w:val="da-DK"/>
        </w:rPr>
        <w:t>(15)</w:t>
      </w:r>
      <w:r>
        <w:rPr>
          <w:sz w:val="24"/>
          <w:szCs w:val="24"/>
          <w:lang w:val="da-DK"/>
        </w:rPr>
        <w:fldChar w:fldCharType="end"/>
      </w:r>
      <w:r w:rsidRPr="004453C4">
        <w:rPr>
          <w:sz w:val="24"/>
          <w:szCs w:val="24"/>
          <w:lang w:val="da-DK"/>
        </w:rPr>
        <w:t xml:space="preserve">, framesets during [⁸²Rb]RbCl-PET/CT were reduced from 10 to 3 seconds to enhance temporal resolution and data quality. Density histograms of both settings are shown </w:t>
      </w:r>
      <w:r>
        <w:rPr>
          <w:sz w:val="24"/>
          <w:szCs w:val="24"/>
          <w:lang w:val="da-DK"/>
        </w:rPr>
        <w:t>(Supplementary Figure 1)</w:t>
      </w:r>
      <w:r w:rsidRPr="004453C4">
        <w:rPr>
          <w:sz w:val="24"/>
          <w:szCs w:val="24"/>
          <w:lang w:val="da-DK"/>
        </w:rPr>
        <w:t xml:space="preserve">, illustrating smoother distributions with 3-second frames and eliminating impossible NCPTT values of zero. </w:t>
      </w:r>
      <w:r>
        <w:rPr>
          <w:sz w:val="24"/>
          <w:szCs w:val="24"/>
          <w:lang w:val="da-DK"/>
        </w:rPr>
        <w:t xml:space="preserve">An example is shown (Supplementary Figure 2) </w:t>
      </w:r>
      <w:r w:rsidRPr="00A7525A">
        <w:rPr>
          <w:sz w:val="24"/>
          <w:szCs w:val="24"/>
        </w:rPr>
        <w:t>of a 57 year old patient</w:t>
      </w:r>
      <w:r>
        <w:rPr>
          <w:sz w:val="24"/>
          <w:szCs w:val="24"/>
        </w:rPr>
        <w:t xml:space="preserve">, </w:t>
      </w:r>
      <w:r w:rsidRPr="00A7525A">
        <w:rPr>
          <w:sz w:val="24"/>
          <w:szCs w:val="24"/>
        </w:rPr>
        <w:t xml:space="preserve">illustrating </w:t>
      </w:r>
      <w:r w:rsidRPr="00A7525A">
        <w:rPr>
          <w:i/>
          <w:sz w:val="24"/>
          <w:szCs w:val="24"/>
        </w:rPr>
        <w:t>the effect of temporal resolution on SUVmean time-activity curves. The 3-second frameset produces a sharper peak compared to the 10-second frameset, allowing more precise CPTT measurement. NCPTTrest was 15 beats (CPTTrest = 12 s) with the 3-second frameset, versus 25 beats (CPTTrest = 20 s) with the 10-second frameset</w:t>
      </w:r>
    </w:p>
    <w:p w14:paraId="3B085F30" w14:textId="77777777" w:rsidR="00566A2B" w:rsidRDefault="00566A2B" w:rsidP="00566A2B">
      <w:pPr>
        <w:spacing w:before="240" w:after="240" w:line="240" w:lineRule="auto"/>
        <w:jc w:val="both"/>
        <w:rPr>
          <w:sz w:val="16"/>
          <w:szCs w:val="16"/>
        </w:rPr>
      </w:pPr>
      <w:r>
        <w:rPr>
          <w:noProof/>
          <w:sz w:val="16"/>
          <w:szCs w:val="16"/>
          <w:lang w:val="de-CH"/>
        </w:rPr>
        <w:drawing>
          <wp:inline distT="114300" distB="114300" distL="114300" distR="114300" wp14:anchorId="1CAFE85D" wp14:editId="2371F441">
            <wp:extent cx="3232298" cy="3242930"/>
            <wp:effectExtent l="0" t="0" r="0" b="0"/>
            <wp:docPr id="1309690682" name="image18.png" descr="Ein Bild, das Diagramm, Reihe, Steigung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309690682" name="image18.png" descr="Ein Bild, das Diagramm, Reihe, Steigung enthält.&#10;&#10;Automatisch generierte Beschreibung"/>
                    <pic:cNvPicPr preferRelativeResize="0"/>
                  </pic:nvPicPr>
                  <pic:blipFill>
                    <a:blip r:embed="rId4"/>
                    <a:srcRect/>
                    <a:stretch>
                      <a:fillRect/>
                    </a:stretch>
                  </pic:blipFill>
                  <pic:spPr>
                    <a:xfrm>
                      <a:off x="0" y="0"/>
                      <a:ext cx="3264535" cy="3275273"/>
                    </a:xfrm>
                    <a:prstGeom prst="rect">
                      <a:avLst/>
                    </a:prstGeom>
                    <a:ln/>
                  </pic:spPr>
                </pic:pic>
              </a:graphicData>
            </a:graphic>
          </wp:inline>
        </w:drawing>
      </w:r>
    </w:p>
    <w:p w14:paraId="4B388788" w14:textId="77777777" w:rsidR="00566A2B" w:rsidRPr="00874032" w:rsidRDefault="00566A2B" w:rsidP="00566A2B">
      <w:pPr>
        <w:pStyle w:val="Heading2"/>
        <w:keepNext w:val="0"/>
        <w:keepLines w:val="0"/>
        <w:spacing w:line="240" w:lineRule="auto"/>
        <w:jc w:val="both"/>
        <w:rPr>
          <w:i/>
          <w:sz w:val="16"/>
          <w:szCs w:val="16"/>
        </w:rPr>
      </w:pPr>
      <w:r w:rsidRPr="00BB7FD1">
        <w:rPr>
          <w:i/>
          <w:sz w:val="16"/>
          <w:szCs w:val="16"/>
        </w:rPr>
        <w:t>Supp</w:t>
      </w:r>
      <w:r>
        <w:rPr>
          <w:i/>
          <w:sz w:val="16"/>
          <w:szCs w:val="16"/>
        </w:rPr>
        <w:t xml:space="preserve">lementary </w:t>
      </w:r>
      <w:r w:rsidRPr="00BB7FD1">
        <w:rPr>
          <w:i/>
          <w:sz w:val="16"/>
          <w:szCs w:val="16"/>
        </w:rPr>
        <w:t xml:space="preserve">Figure </w:t>
      </w:r>
      <w:r>
        <w:rPr>
          <w:i/>
          <w:sz w:val="16"/>
          <w:szCs w:val="16"/>
        </w:rPr>
        <w:t>1</w:t>
      </w:r>
      <w:r w:rsidRPr="00874032">
        <w:rPr>
          <w:i/>
          <w:sz w:val="16"/>
          <w:szCs w:val="16"/>
        </w:rPr>
        <w:t>: Comparison of NCPTT</w:t>
      </w:r>
      <w:r w:rsidRPr="00874032">
        <w:rPr>
          <w:i/>
          <w:sz w:val="20"/>
          <w:szCs w:val="20"/>
          <w:vertAlign w:val="subscript"/>
        </w:rPr>
        <w:t>rest</w:t>
      </w:r>
      <w:r w:rsidRPr="00874032">
        <w:rPr>
          <w:i/>
          <w:sz w:val="16"/>
          <w:szCs w:val="16"/>
        </w:rPr>
        <w:t xml:space="preserve"> values at 3 seconds and 10 seconds. The histograms are overlaid with blue density curves to illustrate the smoothness and variation in measurement precision between the measurement intervals.</w:t>
      </w:r>
    </w:p>
    <w:p w14:paraId="52B4571A" w14:textId="77777777" w:rsidR="00566A2B" w:rsidRPr="00874032" w:rsidRDefault="00566A2B" w:rsidP="00566A2B">
      <w:pPr>
        <w:rPr>
          <w:lang w:val="en-US"/>
        </w:rPr>
      </w:pPr>
    </w:p>
    <w:p w14:paraId="6B7E7375" w14:textId="77777777" w:rsidR="00566A2B" w:rsidRDefault="00566A2B" w:rsidP="00566A2B">
      <w:r>
        <w:rPr>
          <w:noProof/>
          <w:sz w:val="32"/>
          <w:szCs w:val="32"/>
          <w:lang w:val="de-CH"/>
        </w:rPr>
        <w:lastRenderedPageBreak/>
        <w:drawing>
          <wp:inline distT="114300" distB="114300" distL="114300" distR="114300" wp14:anchorId="65B42B7E" wp14:editId="4BF55E5C">
            <wp:extent cx="2848666" cy="1968863"/>
            <wp:effectExtent l="0" t="0" r="0" b="0"/>
            <wp:docPr id="46890850" name="image4.png" descr="Ein Bild, das Diagramm, Reihe, Text, Screensho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46890850" name="image4.png" descr="Ein Bild, das Diagramm, Reihe, Text, Screenshot enthält.&#10;&#10;Automatisch generierte Beschreibung"/>
                    <pic:cNvPicPr preferRelativeResize="0"/>
                  </pic:nvPicPr>
                  <pic:blipFill>
                    <a:blip r:embed="rId5"/>
                    <a:srcRect/>
                    <a:stretch>
                      <a:fillRect/>
                    </a:stretch>
                  </pic:blipFill>
                  <pic:spPr>
                    <a:xfrm>
                      <a:off x="0" y="0"/>
                      <a:ext cx="2863907" cy="1979397"/>
                    </a:xfrm>
                    <a:prstGeom prst="rect">
                      <a:avLst/>
                    </a:prstGeom>
                    <a:ln/>
                  </pic:spPr>
                </pic:pic>
              </a:graphicData>
            </a:graphic>
          </wp:inline>
        </w:drawing>
      </w:r>
      <w:r>
        <w:rPr>
          <w:noProof/>
          <w:lang w:val="de-CH"/>
        </w:rPr>
        <w:drawing>
          <wp:inline distT="114300" distB="114300" distL="114300" distR="114300" wp14:anchorId="1F31C43E" wp14:editId="534249AD">
            <wp:extent cx="2785110" cy="1967023"/>
            <wp:effectExtent l="0" t="0" r="0" b="1905"/>
            <wp:docPr id="1484518673" name="image3.png" descr="Ein Bild, das Diagramm, Reihe, Tex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484518673" name="image3.png" descr="Ein Bild, das Diagramm, Reihe, Text enthält.&#10;&#10;Automatisch generierte Beschreibung"/>
                    <pic:cNvPicPr preferRelativeResize="0"/>
                  </pic:nvPicPr>
                  <pic:blipFill>
                    <a:blip r:embed="rId6"/>
                    <a:srcRect/>
                    <a:stretch>
                      <a:fillRect/>
                    </a:stretch>
                  </pic:blipFill>
                  <pic:spPr>
                    <a:xfrm>
                      <a:off x="0" y="0"/>
                      <a:ext cx="2813768" cy="1987263"/>
                    </a:xfrm>
                    <a:prstGeom prst="rect">
                      <a:avLst/>
                    </a:prstGeom>
                    <a:ln/>
                  </pic:spPr>
                </pic:pic>
              </a:graphicData>
            </a:graphic>
          </wp:inline>
        </w:drawing>
      </w:r>
    </w:p>
    <w:p w14:paraId="6D2048BC" w14:textId="77777777" w:rsidR="00566A2B" w:rsidRDefault="00566A2B" w:rsidP="00566A2B">
      <w:pPr>
        <w:pStyle w:val="Heading2"/>
        <w:keepNext w:val="0"/>
        <w:keepLines w:val="0"/>
        <w:spacing w:line="240" w:lineRule="auto"/>
        <w:jc w:val="both"/>
      </w:pPr>
      <w:r w:rsidRPr="00BB7FD1">
        <w:rPr>
          <w:i/>
          <w:sz w:val="16"/>
          <w:szCs w:val="16"/>
        </w:rPr>
        <w:t>Supp</w:t>
      </w:r>
      <w:r>
        <w:rPr>
          <w:i/>
          <w:sz w:val="16"/>
          <w:szCs w:val="16"/>
        </w:rPr>
        <w:t xml:space="preserve">lementary </w:t>
      </w:r>
      <w:r w:rsidRPr="00BB7FD1">
        <w:rPr>
          <w:i/>
          <w:sz w:val="16"/>
          <w:szCs w:val="16"/>
        </w:rPr>
        <w:t xml:space="preserve">Figure </w:t>
      </w:r>
      <w:r>
        <w:rPr>
          <w:i/>
          <w:sz w:val="16"/>
          <w:szCs w:val="16"/>
        </w:rPr>
        <w:t>2</w:t>
      </w:r>
      <w:r w:rsidRPr="00EE55C4">
        <w:rPr>
          <w:i/>
          <w:sz w:val="16"/>
          <w:szCs w:val="16"/>
        </w:rPr>
        <w:t>: SUV</w:t>
      </w:r>
      <w:r w:rsidRPr="00EE55C4">
        <w:rPr>
          <w:i/>
          <w:sz w:val="20"/>
          <w:szCs w:val="20"/>
          <w:vertAlign w:val="subscript"/>
        </w:rPr>
        <w:t>mean</w:t>
      </w:r>
      <w:r w:rsidRPr="00EE55C4">
        <w:rPr>
          <w:i/>
          <w:sz w:val="16"/>
          <w:szCs w:val="16"/>
        </w:rPr>
        <w:t xml:space="preserve"> time-activity curves of the right ventricle (VOI_RV) and the left ventricle (VOI_LV) during rest, evaluated over both 10-second and 3-second framesets. </w:t>
      </w:r>
    </w:p>
    <w:p w14:paraId="0A93509B" w14:textId="77777777" w:rsidR="00566A2B" w:rsidRDefault="00566A2B" w:rsidP="00566A2B">
      <w:pPr>
        <w:spacing w:line="480" w:lineRule="auto"/>
        <w:jc w:val="both"/>
        <w:rPr>
          <w:sz w:val="32"/>
          <w:szCs w:val="32"/>
          <w:lang w:val="en-US"/>
        </w:rPr>
      </w:pPr>
    </w:p>
    <w:p w14:paraId="50880AF9" w14:textId="77777777" w:rsidR="00566A2B" w:rsidRPr="004D0F2B" w:rsidRDefault="00566A2B" w:rsidP="00566A2B">
      <w:pPr>
        <w:spacing w:line="480" w:lineRule="auto"/>
        <w:jc w:val="both"/>
        <w:rPr>
          <w:sz w:val="32"/>
          <w:szCs w:val="32"/>
          <w:lang w:val="en-US"/>
        </w:rPr>
      </w:pPr>
      <w:r w:rsidRPr="004D0F2B">
        <w:rPr>
          <w:sz w:val="32"/>
          <w:szCs w:val="32"/>
          <w:lang w:val="en-US"/>
        </w:rPr>
        <w:t>Patient History and Clinical Categories</w:t>
      </w:r>
    </w:p>
    <w:p w14:paraId="0E19C2EF" w14:textId="77777777" w:rsidR="00566A2B" w:rsidRPr="009D6472" w:rsidRDefault="00566A2B" w:rsidP="00566A2B">
      <w:pPr>
        <w:spacing w:line="480" w:lineRule="auto"/>
        <w:jc w:val="both"/>
        <w:rPr>
          <w:sz w:val="24"/>
          <w:szCs w:val="24"/>
          <w:lang w:val="en-US"/>
        </w:rPr>
      </w:pPr>
      <w:r w:rsidRPr="004453C4">
        <w:rPr>
          <w:sz w:val="24"/>
          <w:szCs w:val="24"/>
          <w:lang w:val="en-US"/>
        </w:rPr>
        <w:t>The comorbidities recorded included arterial hypertension, diabetes, dyslipidemia, atrial fibrillation during [</w:t>
      </w:r>
      <w:r w:rsidRPr="004453C4">
        <w:rPr>
          <w:color w:val="202122"/>
          <w:sz w:val="24"/>
          <w:szCs w:val="24"/>
          <w:vertAlign w:val="superscript"/>
          <w:lang w:val="en-US"/>
        </w:rPr>
        <w:t>82</w:t>
      </w:r>
      <w:r w:rsidRPr="004453C4">
        <w:rPr>
          <w:color w:val="202122"/>
          <w:sz w:val="24"/>
          <w:szCs w:val="24"/>
          <w:lang w:val="en-US"/>
        </w:rPr>
        <w:t>Rb</w:t>
      </w:r>
      <w:r w:rsidRPr="004453C4">
        <w:rPr>
          <w:sz w:val="24"/>
          <w:szCs w:val="24"/>
          <w:lang w:val="en-US"/>
        </w:rPr>
        <w:t>]RbCl-PET/CT, heart failure (classified by the NYHA functional classification), chronic obstructive pulmonary disease (COPD), pulmonary hypertension and the history of lung embolism, myocardial infarction, aortocoronary bypass surgery and percutaneous coronary intervention (PCI). Current medications, such as beta blockers, diuretics, angiotensin-converting enzyme inhibitors (ACE-I)/ sartane/ sacubitril-valsartan, spironolactone, were also documented. All clinical data were extracted from the institution’s internal patient information system. A</w:t>
      </w:r>
      <w:r w:rsidRPr="004453C4">
        <w:rPr>
          <w:rFonts w:eastAsia="Arial Unicode MS"/>
          <w:sz w:val="24"/>
          <w:szCs w:val="24"/>
          <w:lang w:val="en-US"/>
        </w:rPr>
        <w:t xml:space="preserve">rterial hypertension was recognized not only based on prior diagnoses but also </w:t>
      </w:r>
      <w:r w:rsidRPr="004453C4">
        <w:rPr>
          <w:sz w:val="24"/>
          <w:szCs w:val="24"/>
          <w:lang w:val="en-US"/>
        </w:rPr>
        <w:t>in accordance with established guidelines.</w:t>
      </w:r>
      <w:r w:rsidRPr="004453C4">
        <w:rPr>
          <w:sz w:val="24"/>
          <w:szCs w:val="24"/>
          <w:lang w:val="en-US"/>
        </w:rPr>
        <w:fldChar w:fldCharType="begin"/>
      </w:r>
      <w:r>
        <w:rPr>
          <w:sz w:val="24"/>
          <w:szCs w:val="24"/>
          <w:lang w:val="en-US"/>
        </w:rPr>
        <w:instrText xml:space="preserve"> ADDIN ZOTERO_ITEM CSL_CITATION {"citationID":"9yLsJDNN","properties":{"formattedCitation":"(36)","plainCitation":"(36)","noteIndex":0},"citationItems":[{"id":224,"uris":["http://zotero.org/users/local/kfF4QDMG/items/J5ESNRGW"],"itemData":{"id":224,"type":"article-journal","abstract":"This study compares the recommendations of the most recent American College of Cardiology (ACC)/American Heart Association (AHA) and European Society of Cardiology (ESC)/European Society of Hypertension (ESH) blood pressure guidelines. Both guidelines represent updates of previous guidelines and reinforce previous concepts of prevention regarding elevated blood pressure. Speciﬁcally, a low-sodium diet, exercise, body weight reduction, low to moderate alcohol intake, and adequate potassium intake are emphasized. Overall, both guidelines agree on the proper method of blood pressure measurement, the use of home blood pressure and ambulatory monitoring, and restricted use of betablockers as ﬁrst-line therapy. The major disagreements are with the level of blood pressure deﬁning hypertension, ﬂexibility in identifying blood pressure targets for treatment, and the use of initial combination therapy. Although initial single-pill combination therapy is strongly recommended in both guidelines, the ESC/ESH guideline recommends it as initial therapy in patients at $140/90 mm Hg. The ACC/AHA guideline recommends its use in patients &gt;20/10 mm Hg above blood pressure goal. Thus, the only real disagreement is that the ACC/AHA guidelines maintain that all people with blood pressure &gt;130/80 mm Hg have hypertension, and blood pressure should be lowered to &lt;130/80 mm Hg in all. In contrast, the ESC/ESH guidelines state that hypertension is deﬁned as &gt;140/90 mm Hg, with the goal being a level &lt;140/90 mm Hg for all targeting to &lt;130/80 mm Hg only in those at high cardiovascular risk, but always considering individual tolerability of the proposed goal. (J Am Coll Cardiol 2019;73:3018–26) © 2019 by the American College of Cardiology Foundation.","container-title":"Journal of the American College of Cardiology","DOI":"10.1016/j.jacc.2019.03.507","ISSN":"07351097","issue":"23","journalAbbreviation":"Journal of the American College of Cardiology","language":"en","page":"3018-3026","source":"DOI.org (Crossref)","title":"ACC/AHA Versus ESC/ESH on Hypertension Guidelines","volume":"73","author":[{"family":"Bakris","given":"George"},{"family":"Ali","given":"Waleed"},{"family":"Parati","given":"Gianfranco"}],"issued":{"date-parts":[["2019",6]]}}}],"schema":"https://github.com/citation-style-language/schema/raw/master/csl-citation.json"} </w:instrText>
      </w:r>
      <w:r w:rsidRPr="004453C4">
        <w:rPr>
          <w:sz w:val="24"/>
          <w:szCs w:val="24"/>
          <w:lang w:val="en-US"/>
        </w:rPr>
        <w:fldChar w:fldCharType="separate"/>
      </w:r>
      <w:r>
        <w:rPr>
          <w:sz w:val="24"/>
          <w:lang w:val="en-US"/>
        </w:rPr>
        <w:t>(36)</w:t>
      </w:r>
      <w:r w:rsidRPr="004453C4">
        <w:rPr>
          <w:sz w:val="24"/>
          <w:szCs w:val="24"/>
          <w:lang w:val="en-US"/>
        </w:rPr>
        <w:fldChar w:fldCharType="end"/>
      </w:r>
    </w:p>
    <w:p w14:paraId="0D580173" w14:textId="77777777" w:rsidR="00566A2B" w:rsidRDefault="00566A2B" w:rsidP="00566A2B">
      <w:pPr>
        <w:spacing w:line="480" w:lineRule="auto"/>
        <w:jc w:val="both"/>
        <w:rPr>
          <w:sz w:val="32"/>
          <w:szCs w:val="32"/>
          <w:lang w:val="en-US"/>
        </w:rPr>
      </w:pPr>
    </w:p>
    <w:p w14:paraId="043C5C37" w14:textId="77777777" w:rsidR="00566A2B" w:rsidRPr="007C5C60" w:rsidRDefault="00566A2B" w:rsidP="00566A2B">
      <w:pPr>
        <w:spacing w:line="480" w:lineRule="auto"/>
        <w:jc w:val="both"/>
        <w:rPr>
          <w:sz w:val="24"/>
          <w:szCs w:val="24"/>
          <w:lang w:val="en-US"/>
        </w:rPr>
      </w:pPr>
      <w:r>
        <w:rPr>
          <w:sz w:val="32"/>
          <w:szCs w:val="32"/>
          <w:lang w:val="en-US"/>
        </w:rPr>
        <w:t>H</w:t>
      </w:r>
      <w:r>
        <w:rPr>
          <w:sz w:val="32"/>
          <w:szCs w:val="32"/>
          <w:vertAlign w:val="subscript"/>
          <w:lang w:val="en-US"/>
        </w:rPr>
        <w:t>2</w:t>
      </w:r>
      <w:r>
        <w:rPr>
          <w:sz w:val="32"/>
          <w:szCs w:val="32"/>
          <w:lang w:val="en-US"/>
        </w:rPr>
        <w:t>FPEF-Score</w:t>
      </w:r>
    </w:p>
    <w:p w14:paraId="1AAA6FBE" w14:textId="77777777" w:rsidR="00566A2B" w:rsidRPr="007C5C60" w:rsidRDefault="00566A2B" w:rsidP="00566A2B">
      <w:pPr>
        <w:spacing w:line="480" w:lineRule="auto"/>
        <w:jc w:val="both"/>
        <w:rPr>
          <w:sz w:val="16"/>
          <w:szCs w:val="16"/>
          <w:lang w:val="en-US"/>
        </w:rPr>
      </w:pPr>
      <w:r>
        <w:rPr>
          <w:noProof/>
          <w:sz w:val="16"/>
          <w:szCs w:val="16"/>
          <w:lang w:val="de-CH"/>
        </w:rPr>
        <w:lastRenderedPageBreak/>
        <w:drawing>
          <wp:inline distT="114300" distB="114300" distL="114300" distR="114300" wp14:anchorId="311152CE" wp14:editId="00A28454">
            <wp:extent cx="3989494" cy="3203787"/>
            <wp:effectExtent l="0" t="0" r="0" b="0"/>
            <wp:docPr id="6"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7"/>
                    <a:srcRect/>
                    <a:stretch>
                      <a:fillRect/>
                    </a:stretch>
                  </pic:blipFill>
                  <pic:spPr>
                    <a:xfrm>
                      <a:off x="0" y="0"/>
                      <a:ext cx="4032594" cy="3238398"/>
                    </a:xfrm>
                    <a:prstGeom prst="rect">
                      <a:avLst/>
                    </a:prstGeom>
                    <a:ln/>
                  </pic:spPr>
                </pic:pic>
              </a:graphicData>
            </a:graphic>
          </wp:inline>
        </w:drawing>
      </w:r>
    </w:p>
    <w:p w14:paraId="178D839F" w14:textId="77777777" w:rsidR="00566A2B" w:rsidRDefault="00566A2B" w:rsidP="00566A2B">
      <w:pPr>
        <w:spacing w:line="480" w:lineRule="auto"/>
        <w:jc w:val="both"/>
        <w:rPr>
          <w:lang w:val="en-US"/>
        </w:rPr>
      </w:pPr>
      <w:r w:rsidRPr="00BB7FD1">
        <w:rPr>
          <w:i/>
          <w:sz w:val="16"/>
          <w:szCs w:val="16"/>
          <w:lang w:val="en-US"/>
        </w:rPr>
        <w:t>Supp</w:t>
      </w:r>
      <w:r>
        <w:rPr>
          <w:i/>
          <w:sz w:val="16"/>
          <w:szCs w:val="16"/>
          <w:lang w:val="en-US"/>
        </w:rPr>
        <w:t xml:space="preserve">lementary </w:t>
      </w:r>
      <w:r w:rsidRPr="00BB7FD1">
        <w:rPr>
          <w:i/>
          <w:sz w:val="16"/>
          <w:szCs w:val="16"/>
          <w:lang w:val="en-US"/>
        </w:rPr>
        <w:t xml:space="preserve">Figure </w:t>
      </w:r>
      <w:r>
        <w:rPr>
          <w:i/>
          <w:sz w:val="16"/>
          <w:szCs w:val="16"/>
          <w:lang w:val="en-US"/>
        </w:rPr>
        <w:t>3</w:t>
      </w:r>
      <w:r w:rsidRPr="007C5C60">
        <w:rPr>
          <w:i/>
          <w:sz w:val="16"/>
          <w:szCs w:val="16"/>
          <w:lang w:val="en-US"/>
        </w:rPr>
        <w:t>: H</w:t>
      </w:r>
      <w:r w:rsidRPr="007C5C60">
        <w:rPr>
          <w:i/>
          <w:sz w:val="20"/>
          <w:szCs w:val="20"/>
          <w:vertAlign w:val="subscript"/>
          <w:lang w:val="en-US"/>
        </w:rPr>
        <w:t>2</w:t>
      </w:r>
      <w:r w:rsidRPr="007C5C60">
        <w:rPr>
          <w:i/>
          <w:sz w:val="16"/>
          <w:szCs w:val="16"/>
          <w:lang w:val="en-US"/>
        </w:rPr>
        <w:t>FPEF-Score</w:t>
      </w:r>
    </w:p>
    <w:p w14:paraId="2AFF3C0F" w14:textId="77777777" w:rsidR="00566A2B" w:rsidRPr="001219C6" w:rsidRDefault="00566A2B" w:rsidP="00566A2B">
      <w:pPr>
        <w:spacing w:line="480" w:lineRule="auto"/>
        <w:jc w:val="both"/>
        <w:rPr>
          <w:lang w:val="en-US"/>
        </w:rPr>
      </w:pPr>
    </w:p>
    <w:p w14:paraId="483F178B" w14:textId="77777777" w:rsidR="00F553FF" w:rsidRDefault="00F553FF"/>
    <w:sectPr w:rsidR="00F553FF" w:rsidSect="00566A2B">
      <w:headerReference w:type="default" r:id="rId8"/>
      <w:footerReference w:type="even" r:id="rId9"/>
      <w:footerReference w:type="default" r:id="rId10"/>
      <w:pgSz w:w="11909" w:h="16834"/>
      <w:pgMar w:top="1417" w:right="1417" w:bottom="1134" w:left="1417" w:header="720" w:footer="720" w:gutter="0"/>
      <w:pgNumType w:start="1"/>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74113160"/>
      <w:docPartObj>
        <w:docPartGallery w:val="Page Numbers (Bottom of Page)"/>
        <w:docPartUnique/>
      </w:docPartObj>
    </w:sdtPr>
    <w:sdtContent>
      <w:p w14:paraId="6896E10D" w14:textId="77777777" w:rsidR="00566A2B" w:rsidRDefault="00566A2B" w:rsidP="004B7EB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F44A701" w14:textId="77777777" w:rsidR="00566A2B" w:rsidRDefault="00566A2B" w:rsidP="004022E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11131609"/>
      <w:docPartObj>
        <w:docPartGallery w:val="Page Numbers (Bottom of Page)"/>
        <w:docPartUnique/>
      </w:docPartObj>
    </w:sdtPr>
    <w:sdtContent>
      <w:p w14:paraId="18BC6E0B" w14:textId="77777777" w:rsidR="00566A2B" w:rsidRDefault="00566A2B" w:rsidP="004B7EB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FD66AF9" w14:textId="77777777" w:rsidR="00566A2B" w:rsidRDefault="00566A2B" w:rsidP="004022E3">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B35AC" w14:textId="77777777" w:rsidR="00566A2B" w:rsidRDefault="00566A2B">
    <w:pPr>
      <w:spacing w:before="240" w:after="240"/>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A2B"/>
    <w:rsid w:val="002A5214"/>
    <w:rsid w:val="003C2EF4"/>
    <w:rsid w:val="00446799"/>
    <w:rsid w:val="00566A2B"/>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4776B"/>
  <w15:chartTrackingRefBased/>
  <w15:docId w15:val="{70D5D604-FE9E-405F-9E32-F45C4E549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66A2B"/>
    <w:pPr>
      <w:spacing w:after="0" w:line="276" w:lineRule="auto"/>
    </w:pPr>
    <w:rPr>
      <w:rFonts w:ascii="Arial" w:eastAsia="Arial" w:hAnsi="Arial" w:cs="Arial"/>
      <w:kern w:val="0"/>
      <w:sz w:val="22"/>
      <w:szCs w:val="22"/>
      <w:lang w:val="de" w:eastAsia="de-CH"/>
      <w14:ligatures w14:val="none"/>
    </w:rPr>
  </w:style>
  <w:style w:type="paragraph" w:styleId="Heading1">
    <w:name w:val="heading 1"/>
    <w:basedOn w:val="Normal"/>
    <w:next w:val="Normal"/>
    <w:link w:val="Heading1Char"/>
    <w:uiPriority w:val="9"/>
    <w:qFormat/>
    <w:rsid w:val="00566A2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nhideWhenUsed/>
    <w:qFormat/>
    <w:rsid w:val="00566A2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566A2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566A2B"/>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566A2B"/>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566A2B"/>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566A2B"/>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566A2B"/>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566A2B"/>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6A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6A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6A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6A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6A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6A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6A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6A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6A2B"/>
    <w:rPr>
      <w:rFonts w:eastAsiaTheme="majorEastAsia" w:cstheme="majorBidi"/>
      <w:color w:val="272727" w:themeColor="text1" w:themeTint="D8"/>
    </w:rPr>
  </w:style>
  <w:style w:type="paragraph" w:styleId="Title">
    <w:name w:val="Title"/>
    <w:basedOn w:val="Normal"/>
    <w:next w:val="Normal"/>
    <w:link w:val="TitleChar"/>
    <w:uiPriority w:val="10"/>
    <w:qFormat/>
    <w:rsid w:val="00566A2B"/>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566A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6A2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566A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6A2B"/>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566A2B"/>
    <w:rPr>
      <w:i/>
      <w:iCs/>
      <w:color w:val="404040" w:themeColor="text1" w:themeTint="BF"/>
    </w:rPr>
  </w:style>
  <w:style w:type="paragraph" w:styleId="ListParagraph">
    <w:name w:val="List Paragraph"/>
    <w:basedOn w:val="Normal"/>
    <w:uiPriority w:val="34"/>
    <w:qFormat/>
    <w:rsid w:val="00566A2B"/>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566A2B"/>
    <w:rPr>
      <w:i/>
      <w:iCs/>
      <w:color w:val="0F4761" w:themeColor="accent1" w:themeShade="BF"/>
    </w:rPr>
  </w:style>
  <w:style w:type="paragraph" w:styleId="IntenseQuote">
    <w:name w:val="Intense Quote"/>
    <w:basedOn w:val="Normal"/>
    <w:next w:val="Normal"/>
    <w:link w:val="IntenseQuoteChar"/>
    <w:uiPriority w:val="30"/>
    <w:qFormat/>
    <w:rsid w:val="00566A2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566A2B"/>
    <w:rPr>
      <w:i/>
      <w:iCs/>
      <w:color w:val="0F4761" w:themeColor="accent1" w:themeShade="BF"/>
    </w:rPr>
  </w:style>
  <w:style w:type="character" w:styleId="IntenseReference">
    <w:name w:val="Intense Reference"/>
    <w:basedOn w:val="DefaultParagraphFont"/>
    <w:uiPriority w:val="32"/>
    <w:qFormat/>
    <w:rsid w:val="00566A2B"/>
    <w:rPr>
      <w:b/>
      <w:bCs/>
      <w:smallCaps/>
      <w:color w:val="0F4761" w:themeColor="accent1" w:themeShade="BF"/>
      <w:spacing w:val="5"/>
    </w:rPr>
  </w:style>
  <w:style w:type="paragraph" w:styleId="Footer">
    <w:name w:val="footer"/>
    <w:basedOn w:val="Normal"/>
    <w:link w:val="FooterChar"/>
    <w:uiPriority w:val="99"/>
    <w:unhideWhenUsed/>
    <w:rsid w:val="00566A2B"/>
    <w:pPr>
      <w:tabs>
        <w:tab w:val="center" w:pos="4536"/>
        <w:tab w:val="right" w:pos="9072"/>
      </w:tabs>
      <w:spacing w:line="240" w:lineRule="auto"/>
    </w:pPr>
  </w:style>
  <w:style w:type="character" w:customStyle="1" w:styleId="FooterChar">
    <w:name w:val="Footer Char"/>
    <w:basedOn w:val="DefaultParagraphFont"/>
    <w:link w:val="Footer"/>
    <w:uiPriority w:val="99"/>
    <w:rsid w:val="00566A2B"/>
    <w:rPr>
      <w:rFonts w:ascii="Arial" w:eastAsia="Arial" w:hAnsi="Arial" w:cs="Arial"/>
      <w:kern w:val="0"/>
      <w:sz w:val="22"/>
      <w:szCs w:val="22"/>
      <w:lang w:val="de" w:eastAsia="de-CH"/>
      <w14:ligatures w14:val="none"/>
    </w:rPr>
  </w:style>
  <w:style w:type="character" w:styleId="PageNumber">
    <w:name w:val="page number"/>
    <w:basedOn w:val="DefaultParagraphFont"/>
    <w:uiPriority w:val="99"/>
    <w:semiHidden/>
    <w:unhideWhenUsed/>
    <w:rsid w:val="00566A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footer" Target="footer2.xml"/><Relationship Id="rId4" Type="http://schemas.openxmlformats.org/officeDocument/2006/relationships/image" Target="media/image1.png"/><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1430</Words>
  <Characters>6850</Characters>
  <Application>Microsoft Office Word</Application>
  <DocSecurity>0</DocSecurity>
  <Lines>159</Lines>
  <Paragraphs>82</Paragraphs>
  <ScaleCrop>false</ScaleCrop>
  <Company>Springer Nature</Company>
  <LinksUpToDate>false</LinksUpToDate>
  <CharactersWithSpaces>8198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2025-09-25T11:01:00Z</dcterms:created>
  <dcterms:modified xsi:type="dcterms:W3CDTF">2025-09-25T11:01:00Z</dcterms:modified>
</cp:coreProperties>
</file>