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163" w:rsidRDefault="00E76163" w:rsidP="00E76163">
      <w:pPr>
        <w:rPr>
          <w:rFonts w:ascii="Arial" w:hAnsi="Arial" w:cs="Arial"/>
        </w:rPr>
      </w:pPr>
      <w:proofErr w:type="gramStart"/>
      <w:r>
        <w:rPr>
          <w:b/>
          <w:color w:val="000000" w:themeColor="text1"/>
          <w:szCs w:val="21"/>
        </w:rPr>
        <w:t>Additional file 1.</w:t>
      </w:r>
      <w:proofErr w:type="gramEnd"/>
      <w:r>
        <w:rPr>
          <w:b/>
          <w:color w:val="000000" w:themeColor="text1"/>
          <w:szCs w:val="21"/>
        </w:rPr>
        <w:t xml:space="preserve"> </w:t>
      </w:r>
      <w:r>
        <w:rPr>
          <w:rFonts w:cs="Arial"/>
        </w:rPr>
        <w:t>Questions regarding knowledge of schizophrenia and major depressive disorder</w:t>
      </w:r>
    </w:p>
    <w:p w:rsidR="00E76163" w:rsidRDefault="00E76163" w:rsidP="00E76163">
      <w:pPr>
        <w:rPr>
          <w:rFonts w:ascii="Arial" w:hAnsi="Arial" w:cs="Arial"/>
        </w:rPr>
      </w:pPr>
      <w:r>
        <w:rPr>
          <w:rFonts w:ascii="Arial" w:hAnsi="Arial" w:cs="Arial" w:hint="eastAsia"/>
        </w:rPr>
        <w:t>S</w:t>
      </w:r>
      <w:r>
        <w:rPr>
          <w:rFonts w:ascii="Arial" w:hAnsi="Arial" w:cs="Arial"/>
        </w:rPr>
        <w:t>chizophrenia</w:t>
      </w:r>
    </w:p>
    <w:tbl>
      <w:tblPr>
        <w:tblW w:w="9087" w:type="dxa"/>
        <w:tblInd w:w="84" w:type="dxa"/>
        <w:tblCellMar>
          <w:left w:w="99" w:type="dxa"/>
          <w:right w:w="99" w:type="dxa"/>
        </w:tblCellMar>
        <w:tblLook w:val="04A0" w:firstRow="1" w:lastRow="0" w:firstColumn="1" w:lastColumn="0" w:noHBand="0" w:noVBand="1"/>
      </w:tblPr>
      <w:tblGrid>
        <w:gridCol w:w="451"/>
        <w:gridCol w:w="356"/>
        <w:gridCol w:w="7898"/>
        <w:gridCol w:w="382"/>
      </w:tblGrid>
      <w:tr w:rsidR="00E76163" w:rsidTr="00E76163">
        <w:trPr>
          <w:trHeight w:val="200"/>
        </w:trPr>
        <w:tc>
          <w:tcPr>
            <w:tcW w:w="451" w:type="dxa"/>
            <w:tcBorders>
              <w:top w:val="single" w:sz="8" w:space="0" w:color="auto"/>
              <w:left w:val="nil"/>
              <w:bottom w:val="nil"/>
              <w:right w:val="nil"/>
            </w:tcBorders>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c>
          <w:tcPr>
            <w:tcW w:w="356" w:type="dxa"/>
            <w:tcBorders>
              <w:top w:val="single" w:sz="8" w:space="0" w:color="auto"/>
              <w:left w:val="nil"/>
              <w:bottom w:val="nil"/>
              <w:right w:val="nil"/>
            </w:tcBorders>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c>
          <w:tcPr>
            <w:tcW w:w="7898" w:type="dxa"/>
            <w:tcBorders>
              <w:top w:val="single" w:sz="8" w:space="0" w:color="auto"/>
              <w:left w:val="nil"/>
              <w:bottom w:val="nil"/>
              <w:right w:val="nil"/>
            </w:tcBorders>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c>
          <w:tcPr>
            <w:tcW w:w="382" w:type="dxa"/>
            <w:tcBorders>
              <w:top w:val="single" w:sz="8" w:space="0" w:color="auto"/>
              <w:left w:val="nil"/>
              <w:bottom w:val="nil"/>
              <w:right w:val="nil"/>
            </w:tcBorders>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40"/>
        </w:trPr>
        <w:tc>
          <w:tcPr>
            <w:tcW w:w="9087" w:type="dxa"/>
            <w:gridSpan w:val="4"/>
            <w:vAlign w:val="center"/>
            <w:hideMark/>
          </w:tcPr>
          <w:p w:rsidR="00E76163" w:rsidRDefault="00E76163">
            <w:pPr>
              <w:widowControl/>
              <w:rPr>
                <w:rFonts w:ascii="Arial" w:eastAsia="ＭＳ Ｐゴシック" w:hAnsi="Arial" w:cs="Arial"/>
                <w:b/>
                <w:bCs/>
                <w:color w:val="000000"/>
                <w:kern w:val="0"/>
                <w:sz w:val="18"/>
                <w:szCs w:val="18"/>
              </w:rPr>
            </w:pPr>
            <w:r>
              <w:rPr>
                <w:rFonts w:ascii="Arial" w:eastAsia="ＭＳ Ｐゴシック" w:hAnsi="Arial" w:cs="Arial"/>
                <w:b/>
                <w:bCs/>
                <w:color w:val="000000"/>
                <w:kern w:val="0"/>
                <w:sz w:val="18"/>
                <w:szCs w:val="18"/>
              </w:rPr>
              <w:t>A. Recommended pharmacotherapy for schizophrenia in general</w:t>
            </w: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1</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Antipsychotic monotherapy</w:t>
            </w: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2</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Combination of antipsychotics</w:t>
            </w: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3</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Psychotropic drugs other than antipsychotics</w:t>
            </w: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4</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 xml:space="preserve">Combination of antipsychotics with other </w:t>
            </w:r>
            <w:proofErr w:type="spellStart"/>
            <w:r>
              <w:rPr>
                <w:rFonts w:ascii="Arial" w:eastAsia="ＭＳ Ｐゴシック" w:hAnsi="Arial" w:cs="Arial"/>
                <w:color w:val="000000"/>
                <w:kern w:val="0"/>
                <w:sz w:val="18"/>
                <w:szCs w:val="18"/>
              </w:rPr>
              <w:t>psychotropics</w:t>
            </w:r>
            <w:proofErr w:type="spellEnd"/>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198"/>
        </w:trPr>
        <w:tc>
          <w:tcPr>
            <w:tcW w:w="451" w:type="dxa"/>
            <w:vAlign w:val="center"/>
            <w:hideMark/>
          </w:tcPr>
          <w:p w:rsidR="00E76163" w:rsidRDefault="00E76163">
            <w:pPr>
              <w:widowControl/>
              <w:jc w:val="left"/>
              <w:rPr>
                <w:rFonts w:cs="ＭＳ Ｐゴシック"/>
              </w:rPr>
            </w:pPr>
          </w:p>
        </w:tc>
        <w:tc>
          <w:tcPr>
            <w:tcW w:w="356" w:type="dxa"/>
            <w:vAlign w:val="center"/>
            <w:hideMark/>
          </w:tcPr>
          <w:p w:rsidR="00E76163" w:rsidRDefault="00E76163">
            <w:pPr>
              <w:widowControl/>
              <w:jc w:val="left"/>
              <w:rPr>
                <w:rFonts w:cs="ＭＳ Ｐゴシック"/>
              </w:rPr>
            </w:pPr>
          </w:p>
        </w:tc>
        <w:tc>
          <w:tcPr>
            <w:tcW w:w="7898" w:type="dxa"/>
            <w:vAlign w:val="center"/>
            <w:hideMark/>
          </w:tcPr>
          <w:p w:rsidR="00E76163" w:rsidRDefault="00E76163">
            <w:pPr>
              <w:widowControl/>
              <w:jc w:val="left"/>
              <w:rPr>
                <w:rFonts w:cs="ＭＳ Ｐゴシック"/>
              </w:rPr>
            </w:pP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40"/>
        </w:trPr>
        <w:tc>
          <w:tcPr>
            <w:tcW w:w="9087" w:type="dxa"/>
            <w:gridSpan w:val="4"/>
            <w:vAlign w:val="center"/>
            <w:hideMark/>
          </w:tcPr>
          <w:p w:rsidR="00E76163" w:rsidRDefault="00E76163">
            <w:pPr>
              <w:widowControl/>
              <w:jc w:val="left"/>
              <w:rPr>
                <w:rFonts w:ascii="Arial" w:eastAsia="ＭＳ Ｐゴシック" w:hAnsi="Arial" w:cs="Arial"/>
                <w:b/>
                <w:bCs/>
                <w:color w:val="000000"/>
                <w:kern w:val="0"/>
                <w:sz w:val="18"/>
                <w:szCs w:val="18"/>
              </w:rPr>
            </w:pPr>
            <w:r>
              <w:rPr>
                <w:rFonts w:ascii="Arial" w:eastAsia="ＭＳ Ｐゴシック" w:hAnsi="Arial" w:cs="Arial"/>
                <w:b/>
                <w:bCs/>
                <w:color w:val="000000"/>
                <w:kern w:val="0"/>
                <w:sz w:val="18"/>
                <w:szCs w:val="18"/>
              </w:rPr>
              <w:t>B. Recommended pharmacotherapy for first-episode psychosis</w:t>
            </w: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1</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Any antipsychotic</w:t>
            </w: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2</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First-generation antipsychotics</w:t>
            </w: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3</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Second-generation antipsychotics</w:t>
            </w: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4</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Clozapine</w:t>
            </w: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5</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Specific antipsychotics listed above</w:t>
            </w: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198"/>
        </w:trPr>
        <w:tc>
          <w:tcPr>
            <w:tcW w:w="451" w:type="dxa"/>
            <w:vAlign w:val="center"/>
            <w:hideMark/>
          </w:tcPr>
          <w:p w:rsidR="00E76163" w:rsidRDefault="00E76163">
            <w:pPr>
              <w:widowControl/>
              <w:jc w:val="left"/>
              <w:rPr>
                <w:rFonts w:cs="ＭＳ Ｐゴシック"/>
              </w:rPr>
            </w:pPr>
          </w:p>
        </w:tc>
        <w:tc>
          <w:tcPr>
            <w:tcW w:w="356" w:type="dxa"/>
            <w:vAlign w:val="center"/>
            <w:hideMark/>
          </w:tcPr>
          <w:p w:rsidR="00E76163" w:rsidRDefault="00E76163">
            <w:pPr>
              <w:widowControl/>
              <w:jc w:val="left"/>
              <w:rPr>
                <w:rFonts w:cs="ＭＳ Ｐゴシック"/>
              </w:rPr>
            </w:pPr>
          </w:p>
        </w:tc>
        <w:tc>
          <w:tcPr>
            <w:tcW w:w="7898" w:type="dxa"/>
            <w:vAlign w:val="center"/>
            <w:hideMark/>
          </w:tcPr>
          <w:p w:rsidR="00E76163" w:rsidRDefault="00E76163">
            <w:pPr>
              <w:widowControl/>
              <w:jc w:val="left"/>
              <w:rPr>
                <w:rFonts w:cs="ＭＳ Ｐゴシック"/>
              </w:rPr>
            </w:pP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40"/>
        </w:trPr>
        <w:tc>
          <w:tcPr>
            <w:tcW w:w="9087" w:type="dxa"/>
            <w:gridSpan w:val="4"/>
            <w:vAlign w:val="center"/>
            <w:hideMark/>
          </w:tcPr>
          <w:p w:rsidR="00E76163" w:rsidRDefault="00E76163">
            <w:pPr>
              <w:widowControl/>
              <w:jc w:val="left"/>
              <w:rPr>
                <w:rFonts w:ascii="Arial" w:eastAsia="ＭＳ Ｐゴシック" w:hAnsi="Arial" w:cs="Arial"/>
                <w:b/>
                <w:bCs/>
                <w:color w:val="000000"/>
                <w:kern w:val="0"/>
                <w:sz w:val="18"/>
                <w:szCs w:val="18"/>
              </w:rPr>
            </w:pPr>
            <w:r>
              <w:rPr>
                <w:rFonts w:ascii="Arial" w:eastAsia="ＭＳ Ｐゴシック" w:hAnsi="Arial" w:cs="Arial"/>
                <w:b/>
                <w:bCs/>
                <w:color w:val="000000"/>
                <w:kern w:val="0"/>
                <w:sz w:val="18"/>
                <w:szCs w:val="18"/>
              </w:rPr>
              <w:t>C. Duration of pharmacotherapy for first-episode psychosis in terms of relapse prevention</w:t>
            </w: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1</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Stop medication right after improvement of psychotic symptoms</w:t>
            </w:r>
          </w:p>
        </w:tc>
        <w:tc>
          <w:tcPr>
            <w:tcW w:w="382" w:type="dxa"/>
            <w:vAlign w:val="center"/>
            <w:hideMark/>
          </w:tcPr>
          <w:p w:rsidR="00E76163" w:rsidRDefault="00E76163">
            <w:pPr>
              <w:widowControl/>
              <w:ind w:firstLineChars="100" w:firstLine="181"/>
              <w:jc w:val="left"/>
              <w:rPr>
                <w:rFonts w:ascii="Arial" w:eastAsia="ＭＳ Ｐゴシック" w:hAnsi="Arial" w:cs="Arial"/>
                <w:b/>
                <w:bCs/>
                <w:color w:val="000000"/>
                <w:kern w:val="0"/>
                <w:sz w:val="18"/>
                <w:szCs w:val="18"/>
              </w:rPr>
            </w:pPr>
            <w:r>
              <w:rPr>
                <w:rFonts w:ascii="Arial" w:eastAsia="ＭＳ Ｐゴシック" w:hAnsi="Arial" w:cs="Arial" w:hint="eastAsia"/>
                <w:b/>
                <w:bCs/>
                <w:color w:val="000000"/>
                <w:kern w:val="0"/>
                <w:sz w:val="18"/>
                <w:szCs w:val="18"/>
              </w:rPr>
              <w:t xml:space="preserve">　</w:t>
            </w: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2</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Stop medication six months after improvement of psychotic symptoms</w:t>
            </w: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3</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Continue medication for at least one year</w:t>
            </w: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198"/>
        </w:trPr>
        <w:tc>
          <w:tcPr>
            <w:tcW w:w="451" w:type="dxa"/>
            <w:noWrap/>
            <w:vAlign w:val="bottom"/>
            <w:hideMark/>
          </w:tcPr>
          <w:p w:rsidR="00E76163" w:rsidRDefault="00E76163">
            <w:pPr>
              <w:widowControl/>
              <w:jc w:val="left"/>
              <w:rPr>
                <w:rFonts w:cs="ＭＳ Ｐゴシック"/>
              </w:rPr>
            </w:pPr>
          </w:p>
        </w:tc>
        <w:tc>
          <w:tcPr>
            <w:tcW w:w="356" w:type="dxa"/>
            <w:noWrap/>
            <w:vAlign w:val="center"/>
            <w:hideMark/>
          </w:tcPr>
          <w:p w:rsidR="00E76163" w:rsidRDefault="00E76163">
            <w:pPr>
              <w:widowControl/>
              <w:jc w:val="left"/>
              <w:rPr>
                <w:rFonts w:cs="ＭＳ Ｐゴシック"/>
              </w:rPr>
            </w:pPr>
          </w:p>
        </w:tc>
        <w:tc>
          <w:tcPr>
            <w:tcW w:w="7898" w:type="dxa"/>
            <w:noWrap/>
            <w:vAlign w:val="bottom"/>
            <w:hideMark/>
          </w:tcPr>
          <w:p w:rsidR="00E76163" w:rsidRDefault="00E76163">
            <w:pPr>
              <w:widowControl/>
              <w:jc w:val="left"/>
              <w:rPr>
                <w:rFonts w:cs="ＭＳ Ｐゴシック"/>
              </w:rPr>
            </w:pP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40"/>
        </w:trPr>
        <w:tc>
          <w:tcPr>
            <w:tcW w:w="9087" w:type="dxa"/>
            <w:gridSpan w:val="4"/>
            <w:vAlign w:val="center"/>
            <w:hideMark/>
          </w:tcPr>
          <w:p w:rsidR="00E76163" w:rsidRDefault="00E76163">
            <w:pPr>
              <w:widowControl/>
              <w:jc w:val="left"/>
              <w:rPr>
                <w:rFonts w:ascii="Arial" w:eastAsia="ＭＳ Ｐゴシック" w:hAnsi="Arial" w:cs="Arial"/>
                <w:b/>
                <w:bCs/>
                <w:color w:val="000000"/>
                <w:kern w:val="0"/>
                <w:sz w:val="18"/>
                <w:szCs w:val="18"/>
              </w:rPr>
            </w:pPr>
            <w:r>
              <w:rPr>
                <w:rFonts w:ascii="Arial" w:eastAsia="ＭＳ Ｐゴシック" w:hAnsi="Arial" w:cs="Arial"/>
                <w:b/>
                <w:bCs/>
                <w:color w:val="000000"/>
                <w:kern w:val="0"/>
                <w:sz w:val="18"/>
                <w:szCs w:val="18"/>
              </w:rPr>
              <w:t>D. Management for recurrence or relapse in schizophrenia</w:t>
            </w:r>
          </w:p>
        </w:tc>
      </w:tr>
      <w:tr w:rsidR="00E76163" w:rsidTr="00E76163">
        <w:trPr>
          <w:trHeight w:val="240"/>
        </w:trPr>
        <w:tc>
          <w:tcPr>
            <w:tcW w:w="451" w:type="dxa"/>
            <w:noWrap/>
            <w:vAlign w:val="bottom"/>
            <w:hideMark/>
          </w:tcPr>
          <w:p w:rsidR="00E76163" w:rsidRDefault="00E76163">
            <w:pPr>
              <w:widowControl/>
              <w:jc w:val="left"/>
              <w:rPr>
                <w:rFonts w:cs="ＭＳ Ｐゴシック"/>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1</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Check the extent of medication adherence</w:t>
            </w:r>
          </w:p>
        </w:tc>
        <w:tc>
          <w:tcPr>
            <w:tcW w:w="382" w:type="dxa"/>
            <w:noWrap/>
            <w:vAlign w:val="bottom"/>
            <w:hideMark/>
          </w:tcPr>
          <w:p w:rsidR="00E76163" w:rsidRDefault="00E76163">
            <w:pPr>
              <w:widowControl/>
              <w:jc w:val="left"/>
              <w:rPr>
                <w:rFonts w:cs="ＭＳ Ｐゴシック"/>
              </w:rPr>
            </w:pP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2</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Choose medication considering the response to the medications in the past</w:t>
            </w:r>
          </w:p>
        </w:tc>
        <w:tc>
          <w:tcPr>
            <w:tcW w:w="382" w:type="dxa"/>
            <w:vAlign w:val="center"/>
            <w:hideMark/>
          </w:tcPr>
          <w:p w:rsidR="00E76163" w:rsidRDefault="00E76163">
            <w:pPr>
              <w:widowControl/>
              <w:jc w:val="left"/>
              <w:rPr>
                <w:rFonts w:ascii="Arial" w:eastAsia="ＭＳ Ｐゴシック" w:hAnsi="Arial" w:cs="Arial"/>
                <w:b/>
                <w:bCs/>
                <w:color w:val="000000"/>
                <w:kern w:val="0"/>
                <w:sz w:val="18"/>
                <w:szCs w:val="18"/>
              </w:rPr>
            </w:pPr>
            <w:r>
              <w:rPr>
                <w:rFonts w:ascii="Arial" w:eastAsia="ＭＳ Ｐゴシック" w:hAnsi="Arial" w:cs="Arial" w:hint="eastAsia"/>
                <w:b/>
                <w:bCs/>
                <w:color w:val="000000"/>
                <w:kern w:val="0"/>
                <w:sz w:val="18"/>
                <w:szCs w:val="18"/>
              </w:rPr>
              <w:t xml:space="preserve">　</w:t>
            </w: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3</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Administer rapid increases or high doses that exceed upper limits</w:t>
            </w: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4</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Administer a combination of antipsychotics</w:t>
            </w: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5</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 xml:space="preserve">Do not use </w:t>
            </w:r>
            <w:proofErr w:type="spellStart"/>
            <w:r>
              <w:rPr>
                <w:rFonts w:ascii="Arial" w:eastAsia="ＭＳ Ｐゴシック" w:hAnsi="Arial" w:cs="Arial"/>
                <w:color w:val="000000"/>
                <w:kern w:val="0"/>
                <w:sz w:val="18"/>
                <w:szCs w:val="18"/>
              </w:rPr>
              <w:t>psychotropics</w:t>
            </w:r>
            <w:proofErr w:type="spellEnd"/>
            <w:r>
              <w:rPr>
                <w:rFonts w:ascii="Arial" w:eastAsia="ＭＳ Ｐゴシック" w:hAnsi="Arial" w:cs="Arial"/>
                <w:color w:val="000000"/>
                <w:kern w:val="0"/>
                <w:sz w:val="18"/>
                <w:szCs w:val="18"/>
              </w:rPr>
              <w:t xml:space="preserve"> other than antipsychotics</w:t>
            </w: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198"/>
        </w:trPr>
        <w:tc>
          <w:tcPr>
            <w:tcW w:w="451" w:type="dxa"/>
            <w:vAlign w:val="center"/>
            <w:hideMark/>
          </w:tcPr>
          <w:p w:rsidR="00E76163" w:rsidRDefault="00E76163">
            <w:pPr>
              <w:widowControl/>
              <w:jc w:val="left"/>
              <w:rPr>
                <w:rFonts w:cs="ＭＳ Ｐゴシック"/>
              </w:rPr>
            </w:pPr>
          </w:p>
        </w:tc>
        <w:tc>
          <w:tcPr>
            <w:tcW w:w="356" w:type="dxa"/>
            <w:noWrap/>
            <w:vAlign w:val="center"/>
            <w:hideMark/>
          </w:tcPr>
          <w:p w:rsidR="00E76163" w:rsidRDefault="00E76163">
            <w:pPr>
              <w:widowControl/>
              <w:jc w:val="left"/>
              <w:rPr>
                <w:rFonts w:cs="ＭＳ Ｐゴシック"/>
              </w:rPr>
            </w:pPr>
          </w:p>
        </w:tc>
        <w:tc>
          <w:tcPr>
            <w:tcW w:w="7898" w:type="dxa"/>
            <w:noWrap/>
            <w:vAlign w:val="bottom"/>
            <w:hideMark/>
          </w:tcPr>
          <w:p w:rsidR="00E76163" w:rsidRDefault="00E76163">
            <w:pPr>
              <w:widowControl/>
              <w:jc w:val="left"/>
              <w:rPr>
                <w:rFonts w:cs="ＭＳ Ｐゴシック"/>
              </w:rPr>
            </w:pP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40"/>
        </w:trPr>
        <w:tc>
          <w:tcPr>
            <w:tcW w:w="8705" w:type="dxa"/>
            <w:gridSpan w:val="3"/>
            <w:vAlign w:val="center"/>
            <w:hideMark/>
          </w:tcPr>
          <w:p w:rsidR="00E76163" w:rsidRDefault="00E76163">
            <w:pPr>
              <w:widowControl/>
              <w:jc w:val="left"/>
              <w:rPr>
                <w:rFonts w:ascii="Arial" w:eastAsia="ＭＳ Ｐゴシック" w:hAnsi="Arial" w:cs="Arial"/>
                <w:b/>
                <w:bCs/>
                <w:color w:val="000000"/>
                <w:kern w:val="0"/>
                <w:sz w:val="18"/>
                <w:szCs w:val="18"/>
              </w:rPr>
            </w:pPr>
            <w:r>
              <w:rPr>
                <w:rFonts w:ascii="Arial" w:eastAsia="ＭＳ Ｐゴシック" w:hAnsi="Arial" w:cs="Arial"/>
                <w:b/>
                <w:bCs/>
                <w:color w:val="000000"/>
                <w:kern w:val="0"/>
                <w:sz w:val="18"/>
                <w:szCs w:val="18"/>
              </w:rPr>
              <w:t>E. Pharmacotherapy in maintenance phase</w:t>
            </w: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1</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Continuous administration of antipsychotics is recommended</w:t>
            </w: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2</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Second-generation antipsychotics are preferred to first-generation antipsychotics</w:t>
            </w: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3</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Some second-generation antipsychotics are superior to others</w:t>
            </w: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356" w:type="dxa"/>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4</w:t>
            </w:r>
          </w:p>
        </w:tc>
        <w:tc>
          <w:tcPr>
            <w:tcW w:w="7898" w:type="dxa"/>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Long-acting injection is recommended for patients whose relapse is due to low medication adherence</w:t>
            </w: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0" w:type="auto"/>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0" w:type="auto"/>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5</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Tapering doses of antipsychotics is recommended</w:t>
            </w: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40"/>
        </w:trPr>
        <w:tc>
          <w:tcPr>
            <w:tcW w:w="451" w:type="dxa"/>
            <w:vAlign w:val="center"/>
            <w:hideMark/>
          </w:tcPr>
          <w:p w:rsidR="00E76163" w:rsidRDefault="00E76163">
            <w:pPr>
              <w:widowControl/>
              <w:jc w:val="left"/>
              <w:rPr>
                <w:rFonts w:cs="ＭＳ Ｐゴシック"/>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6</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Patients do not have to take medication daily if symptom remission or control is sustained</w:t>
            </w: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198"/>
        </w:trPr>
        <w:tc>
          <w:tcPr>
            <w:tcW w:w="451"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c>
          <w:tcPr>
            <w:tcW w:w="356"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c>
          <w:tcPr>
            <w:tcW w:w="7898"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c>
          <w:tcPr>
            <w:tcW w:w="382"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r>
      <w:tr w:rsidR="00E76163" w:rsidTr="00E76163">
        <w:trPr>
          <w:trHeight w:val="238"/>
        </w:trPr>
        <w:tc>
          <w:tcPr>
            <w:tcW w:w="8705" w:type="dxa"/>
            <w:gridSpan w:val="3"/>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b/>
                <w:bCs/>
                <w:color w:val="000000"/>
                <w:kern w:val="0"/>
                <w:sz w:val="18"/>
                <w:szCs w:val="18"/>
              </w:rPr>
              <w:t>F. Management for treatment-resistant schizophrenia</w:t>
            </w: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356" w:type="dxa"/>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1</w:t>
            </w:r>
          </w:p>
        </w:tc>
        <w:tc>
          <w:tcPr>
            <w:tcW w:w="7898" w:type="dxa"/>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The definition of treatment-resistant schizophrenia denotes patients with schizophrenia who, despite taking at least two antipsychotics at adequate doses and durations, have persistent symptoms</w:t>
            </w: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0" w:type="auto"/>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0" w:type="auto"/>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0" w:type="auto"/>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0" w:type="auto"/>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356"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2</w:t>
            </w:r>
          </w:p>
        </w:tc>
        <w:tc>
          <w:tcPr>
            <w:tcW w:w="7898"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Treatment with clozapine is recommended</w:t>
            </w: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356"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3</w:t>
            </w:r>
          </w:p>
        </w:tc>
        <w:tc>
          <w:tcPr>
            <w:tcW w:w="7898"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Clozapine is not recommended because of serious adverse effects</w:t>
            </w: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356"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4</w:t>
            </w:r>
          </w:p>
        </w:tc>
        <w:tc>
          <w:tcPr>
            <w:tcW w:w="7898"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Modified electroconvulsive therapy is recommended</w:t>
            </w: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356"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5</w:t>
            </w:r>
          </w:p>
        </w:tc>
        <w:tc>
          <w:tcPr>
            <w:tcW w:w="7898"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Combination of antipsychotics is recommended</w:t>
            </w: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356" w:type="dxa"/>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6</w:t>
            </w:r>
          </w:p>
        </w:tc>
        <w:tc>
          <w:tcPr>
            <w:tcW w:w="7898" w:type="dxa"/>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 xml:space="preserve">Combination of antipsychotics with other </w:t>
            </w:r>
            <w:proofErr w:type="spellStart"/>
            <w:r>
              <w:rPr>
                <w:rFonts w:ascii="Arial" w:eastAsia="ＭＳ Ｐゴシック" w:hAnsi="Arial" w:cs="Arial"/>
                <w:color w:val="000000"/>
                <w:kern w:val="0"/>
                <w:sz w:val="18"/>
                <w:szCs w:val="18"/>
              </w:rPr>
              <w:t>psychotropics</w:t>
            </w:r>
            <w:proofErr w:type="spellEnd"/>
            <w:r>
              <w:rPr>
                <w:rFonts w:ascii="Arial" w:eastAsia="ＭＳ Ｐゴシック" w:hAnsi="Arial" w:cs="Arial"/>
                <w:color w:val="000000"/>
                <w:kern w:val="0"/>
                <w:sz w:val="18"/>
                <w:szCs w:val="18"/>
              </w:rPr>
              <w:t>, such as mood stabilizers / anticonvulsants, antidepressants, or benzodiazepines, is recommended</w:t>
            </w: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0" w:type="auto"/>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0" w:type="auto"/>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19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356" w:type="dxa"/>
            <w:vAlign w:val="center"/>
          </w:tcPr>
          <w:p w:rsidR="00E76163" w:rsidRDefault="00E76163">
            <w:pPr>
              <w:widowControl/>
              <w:jc w:val="left"/>
              <w:rPr>
                <w:rFonts w:ascii="Arial" w:eastAsia="ＭＳ Ｐゴシック" w:hAnsi="Arial" w:cs="Arial"/>
                <w:color w:val="000000"/>
                <w:kern w:val="0"/>
                <w:sz w:val="18"/>
                <w:szCs w:val="18"/>
              </w:rPr>
            </w:pPr>
          </w:p>
        </w:tc>
        <w:tc>
          <w:tcPr>
            <w:tcW w:w="7898" w:type="dxa"/>
            <w:vAlign w:val="center"/>
          </w:tcPr>
          <w:p w:rsidR="00E76163" w:rsidRDefault="00E76163">
            <w:pPr>
              <w:widowControl/>
              <w:jc w:val="left"/>
              <w:rPr>
                <w:rFonts w:ascii="Arial" w:eastAsia="ＭＳ Ｐゴシック" w:hAnsi="Arial" w:cs="Arial"/>
                <w:color w:val="000000"/>
                <w:kern w:val="0"/>
                <w:sz w:val="18"/>
                <w:szCs w:val="18"/>
              </w:rPr>
            </w:pP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8705" w:type="dxa"/>
            <w:gridSpan w:val="3"/>
            <w:vAlign w:val="center"/>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b/>
                <w:bCs/>
                <w:color w:val="000000"/>
                <w:kern w:val="0"/>
                <w:sz w:val="18"/>
                <w:szCs w:val="18"/>
              </w:rPr>
              <w:t>G. Other issues</w:t>
            </w: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356" w:type="dxa"/>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1</w:t>
            </w:r>
          </w:p>
        </w:tc>
        <w:tc>
          <w:tcPr>
            <w:tcW w:w="7898" w:type="dxa"/>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Intramuscular injection of antipsychotics is the first-choice for the management of psychomotor agitation</w:t>
            </w: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0" w:type="auto"/>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0" w:type="auto"/>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356" w:type="dxa"/>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2</w:t>
            </w:r>
          </w:p>
        </w:tc>
        <w:tc>
          <w:tcPr>
            <w:tcW w:w="7898" w:type="dxa"/>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Comprehensive physical exams and improvement of the general condition should be performed first for the management of catatonia</w:t>
            </w: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0" w:type="auto"/>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0" w:type="auto"/>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356" w:type="dxa"/>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3</w:t>
            </w:r>
          </w:p>
        </w:tc>
        <w:tc>
          <w:tcPr>
            <w:tcW w:w="7898" w:type="dxa"/>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Tapering antipsychotic doses and starting antidepressants should be done first to address depressive symptoms in schizophrenia</w:t>
            </w: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0" w:type="auto"/>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0" w:type="auto"/>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356" w:type="dxa"/>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4</w:t>
            </w:r>
          </w:p>
        </w:tc>
        <w:tc>
          <w:tcPr>
            <w:tcW w:w="7898" w:type="dxa"/>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The combination of antipsychotics, anticholinergics, and benzodiazepines is effective for treating cognitive impairment in schizophrenia</w:t>
            </w: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0" w:type="auto"/>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0" w:type="auto"/>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356"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5</w:t>
            </w:r>
          </w:p>
        </w:tc>
        <w:tc>
          <w:tcPr>
            <w:tcW w:w="7898" w:type="dxa"/>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First-generation antipsychotics are effective for psychogenic polydipsia</w:t>
            </w: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356" w:type="dxa"/>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6</w:t>
            </w:r>
          </w:p>
        </w:tc>
        <w:tc>
          <w:tcPr>
            <w:tcW w:w="7898" w:type="dxa"/>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Extrapyramidal adverse effects are less likely to occur with second-generation antipsychotics compared with first-generation antipsychotics</w:t>
            </w: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0" w:type="auto"/>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0" w:type="auto"/>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356" w:type="dxa"/>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7</w:t>
            </w:r>
          </w:p>
        </w:tc>
        <w:tc>
          <w:tcPr>
            <w:tcW w:w="7898" w:type="dxa"/>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Discontinuation of antipsychotics and supportive care should be provided for neuroleptic malignant syndrome</w:t>
            </w: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0" w:type="auto"/>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0" w:type="auto"/>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238"/>
        </w:trPr>
        <w:tc>
          <w:tcPr>
            <w:tcW w:w="451" w:type="dxa"/>
            <w:vAlign w:val="center"/>
          </w:tcPr>
          <w:p w:rsidR="00E76163" w:rsidRDefault="00E76163">
            <w:pPr>
              <w:widowControl/>
              <w:jc w:val="left"/>
              <w:rPr>
                <w:rFonts w:ascii="Arial" w:eastAsia="ＭＳ Ｐゴシック" w:hAnsi="Arial" w:cs="Arial"/>
                <w:color w:val="000000"/>
                <w:kern w:val="0"/>
                <w:sz w:val="18"/>
                <w:szCs w:val="18"/>
              </w:rPr>
            </w:pPr>
          </w:p>
        </w:tc>
        <w:tc>
          <w:tcPr>
            <w:tcW w:w="356"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8</w:t>
            </w:r>
          </w:p>
        </w:tc>
        <w:tc>
          <w:tcPr>
            <w:tcW w:w="7898" w:type="dxa"/>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Antipsychotic-associated weight gain is often observed</w:t>
            </w:r>
          </w:p>
        </w:tc>
        <w:tc>
          <w:tcPr>
            <w:tcW w:w="382" w:type="dxa"/>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trHeight w:val="198"/>
        </w:trPr>
        <w:tc>
          <w:tcPr>
            <w:tcW w:w="451" w:type="dxa"/>
            <w:tcBorders>
              <w:top w:val="nil"/>
              <w:left w:val="nil"/>
              <w:bottom w:val="single" w:sz="8" w:space="0" w:color="auto"/>
              <w:right w:val="nil"/>
            </w:tcBorders>
            <w:vAlign w:val="center"/>
          </w:tcPr>
          <w:p w:rsidR="00E76163" w:rsidRDefault="00E76163">
            <w:pPr>
              <w:widowControl/>
              <w:jc w:val="left"/>
              <w:rPr>
                <w:rFonts w:ascii="Arial" w:eastAsia="ＭＳ Ｐゴシック" w:hAnsi="Arial" w:cs="Arial"/>
                <w:color w:val="000000"/>
                <w:kern w:val="0"/>
                <w:sz w:val="18"/>
                <w:szCs w:val="18"/>
              </w:rPr>
            </w:pPr>
          </w:p>
        </w:tc>
        <w:tc>
          <w:tcPr>
            <w:tcW w:w="356" w:type="dxa"/>
            <w:tcBorders>
              <w:top w:val="nil"/>
              <w:left w:val="nil"/>
              <w:bottom w:val="single" w:sz="8" w:space="0" w:color="auto"/>
              <w:right w:val="nil"/>
            </w:tcBorders>
            <w:vAlign w:val="center"/>
          </w:tcPr>
          <w:p w:rsidR="00E76163" w:rsidRDefault="00E76163">
            <w:pPr>
              <w:widowControl/>
              <w:jc w:val="left"/>
              <w:rPr>
                <w:rFonts w:ascii="Arial" w:eastAsia="ＭＳ Ｐゴシック" w:hAnsi="Arial" w:cs="Arial"/>
                <w:color w:val="000000"/>
                <w:kern w:val="0"/>
                <w:sz w:val="18"/>
                <w:szCs w:val="18"/>
              </w:rPr>
            </w:pPr>
          </w:p>
        </w:tc>
        <w:tc>
          <w:tcPr>
            <w:tcW w:w="7898" w:type="dxa"/>
            <w:tcBorders>
              <w:top w:val="nil"/>
              <w:left w:val="nil"/>
              <w:bottom w:val="single" w:sz="8" w:space="0" w:color="auto"/>
              <w:right w:val="nil"/>
            </w:tcBorders>
            <w:vAlign w:val="center"/>
          </w:tcPr>
          <w:p w:rsidR="00E76163" w:rsidRDefault="00E76163">
            <w:pPr>
              <w:widowControl/>
              <w:jc w:val="left"/>
              <w:rPr>
                <w:rFonts w:ascii="Arial" w:eastAsia="ＭＳ Ｐゴシック" w:hAnsi="Arial" w:cs="Arial"/>
                <w:color w:val="000000"/>
                <w:kern w:val="0"/>
                <w:sz w:val="18"/>
                <w:szCs w:val="18"/>
              </w:rPr>
            </w:pPr>
          </w:p>
        </w:tc>
        <w:tc>
          <w:tcPr>
            <w:tcW w:w="382" w:type="dxa"/>
            <w:tcBorders>
              <w:top w:val="nil"/>
              <w:left w:val="nil"/>
              <w:bottom w:val="single" w:sz="8" w:space="0" w:color="auto"/>
              <w:right w:val="nil"/>
            </w:tcBorders>
            <w:vAlign w:val="center"/>
          </w:tcPr>
          <w:p w:rsidR="00E76163" w:rsidRDefault="00E76163">
            <w:pPr>
              <w:widowControl/>
              <w:jc w:val="left"/>
              <w:rPr>
                <w:rFonts w:ascii="Arial" w:eastAsia="ＭＳ Ｐゴシック" w:hAnsi="Arial" w:cs="Arial"/>
                <w:color w:val="000000"/>
                <w:kern w:val="0"/>
                <w:sz w:val="18"/>
                <w:szCs w:val="18"/>
              </w:rPr>
            </w:pPr>
          </w:p>
        </w:tc>
      </w:tr>
    </w:tbl>
    <w:p w:rsidR="00E76163" w:rsidRDefault="00E76163" w:rsidP="00E76163">
      <w:pPr>
        <w:rPr>
          <w:rFonts w:ascii="Arial" w:hAnsi="Arial" w:cs="Arial"/>
        </w:rPr>
      </w:pPr>
    </w:p>
    <w:p w:rsidR="00E76163" w:rsidRDefault="00E76163" w:rsidP="00E76163">
      <w:pPr>
        <w:widowControl/>
        <w:jc w:val="left"/>
        <w:rPr>
          <w:rFonts w:ascii="Arial" w:hAnsi="Arial" w:cs="Arial"/>
        </w:rPr>
      </w:pPr>
      <w:r>
        <w:rPr>
          <w:rFonts w:ascii="Arial" w:hAnsi="Arial" w:cs="Arial"/>
          <w:kern w:val="0"/>
        </w:rPr>
        <w:br w:type="page"/>
      </w:r>
    </w:p>
    <w:p w:rsidR="00E76163" w:rsidRDefault="00E76163" w:rsidP="00E76163">
      <w:pPr>
        <w:rPr>
          <w:rFonts w:ascii="Arial" w:hAnsi="Arial" w:cs="Arial"/>
        </w:rPr>
      </w:pPr>
      <w:r>
        <w:rPr>
          <w:rFonts w:ascii="Arial" w:hAnsi="Arial" w:cs="Arial" w:hint="eastAsia"/>
        </w:rPr>
        <w:lastRenderedPageBreak/>
        <w:t>M</w:t>
      </w:r>
      <w:bookmarkStart w:id="0" w:name="_GoBack"/>
      <w:bookmarkEnd w:id="0"/>
      <w:r>
        <w:rPr>
          <w:rFonts w:ascii="Arial" w:hAnsi="Arial" w:cs="Arial"/>
        </w:rPr>
        <w:t>ajor depressive disorder</w:t>
      </w:r>
    </w:p>
    <w:tbl>
      <w:tblPr>
        <w:tblW w:w="9135" w:type="dxa"/>
        <w:tblInd w:w="84" w:type="dxa"/>
        <w:tblLayout w:type="fixed"/>
        <w:tblCellMar>
          <w:left w:w="99" w:type="dxa"/>
          <w:right w:w="99" w:type="dxa"/>
        </w:tblCellMar>
        <w:tblLook w:val="04A0" w:firstRow="1" w:lastRow="0" w:firstColumn="1" w:lastColumn="0" w:noHBand="0" w:noVBand="1"/>
      </w:tblPr>
      <w:tblGrid>
        <w:gridCol w:w="454"/>
        <w:gridCol w:w="6"/>
        <w:gridCol w:w="351"/>
        <w:gridCol w:w="6"/>
        <w:gridCol w:w="7893"/>
        <w:gridCol w:w="6"/>
        <w:gridCol w:w="351"/>
        <w:gridCol w:w="23"/>
        <w:gridCol w:w="6"/>
        <w:gridCol w:w="39"/>
      </w:tblGrid>
      <w:tr w:rsidR="00E76163" w:rsidTr="00E76163">
        <w:trPr>
          <w:gridAfter w:val="1"/>
          <w:wAfter w:w="36" w:type="dxa"/>
          <w:trHeight w:val="200"/>
        </w:trPr>
        <w:tc>
          <w:tcPr>
            <w:tcW w:w="460" w:type="dxa"/>
            <w:gridSpan w:val="2"/>
            <w:tcBorders>
              <w:top w:val="single" w:sz="8" w:space="0" w:color="auto"/>
              <w:left w:val="nil"/>
              <w:bottom w:val="nil"/>
              <w:right w:val="nil"/>
            </w:tcBorders>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c>
          <w:tcPr>
            <w:tcW w:w="357" w:type="dxa"/>
            <w:gridSpan w:val="2"/>
            <w:tcBorders>
              <w:top w:val="single" w:sz="8" w:space="0" w:color="auto"/>
              <w:left w:val="nil"/>
              <w:bottom w:val="nil"/>
              <w:right w:val="nil"/>
            </w:tcBorders>
            <w:vAlign w:val="center"/>
            <w:hideMark/>
          </w:tcPr>
          <w:p w:rsidR="00E76163" w:rsidRDefault="00E76163">
            <w:pPr>
              <w:widowControl/>
              <w:jc w:val="left"/>
              <w:rPr>
                <w:rFonts w:cs="ＭＳ Ｐゴシック"/>
              </w:rPr>
            </w:pPr>
          </w:p>
        </w:tc>
        <w:tc>
          <w:tcPr>
            <w:tcW w:w="7897" w:type="dxa"/>
            <w:gridSpan w:val="2"/>
            <w:tcBorders>
              <w:top w:val="single" w:sz="8" w:space="0" w:color="auto"/>
              <w:left w:val="nil"/>
              <w:bottom w:val="nil"/>
              <w:right w:val="nil"/>
            </w:tcBorders>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c>
          <w:tcPr>
            <w:tcW w:w="380" w:type="dxa"/>
            <w:gridSpan w:val="3"/>
            <w:tcBorders>
              <w:top w:val="single" w:sz="8" w:space="0" w:color="auto"/>
              <w:left w:val="nil"/>
              <w:bottom w:val="nil"/>
              <w:right w:val="nil"/>
            </w:tcBorders>
            <w:vAlign w:val="center"/>
            <w:hideMark/>
          </w:tcPr>
          <w:p w:rsidR="00E76163" w:rsidRDefault="00E76163">
            <w:pPr>
              <w:widowControl/>
              <w:jc w:val="left"/>
              <w:rPr>
                <w:rFonts w:cs="ＭＳ Ｐゴシック"/>
              </w:rPr>
            </w:pPr>
          </w:p>
        </w:tc>
      </w:tr>
      <w:tr w:rsidR="00E76163" w:rsidTr="00E76163">
        <w:trPr>
          <w:trHeight w:val="240"/>
        </w:trPr>
        <w:tc>
          <w:tcPr>
            <w:tcW w:w="9130" w:type="dxa"/>
            <w:gridSpan w:val="10"/>
            <w:vAlign w:val="center"/>
            <w:hideMark/>
          </w:tcPr>
          <w:p w:rsidR="00E76163" w:rsidRDefault="00E76163">
            <w:pPr>
              <w:widowControl/>
              <w:jc w:val="left"/>
              <w:rPr>
                <w:rFonts w:ascii="Arial" w:eastAsia="ＭＳ Ｐゴシック" w:hAnsi="Arial" w:cs="Arial"/>
                <w:b/>
                <w:bCs/>
                <w:color w:val="000000"/>
                <w:kern w:val="0"/>
                <w:sz w:val="18"/>
                <w:szCs w:val="18"/>
              </w:rPr>
            </w:pPr>
            <w:r>
              <w:rPr>
                <w:rFonts w:ascii="Arial" w:eastAsia="ＭＳ Ｐゴシック" w:hAnsi="Arial" w:cs="Arial"/>
                <w:b/>
                <w:bCs/>
                <w:color w:val="000000"/>
                <w:kern w:val="0"/>
                <w:sz w:val="18"/>
                <w:szCs w:val="18"/>
              </w:rPr>
              <w:t>A. Diagnosis of major depressive disorder (DSM-5)</w:t>
            </w:r>
          </w:p>
        </w:tc>
      </w:tr>
      <w:tr w:rsidR="00E76163" w:rsidTr="00E76163">
        <w:trPr>
          <w:gridAfter w:val="2"/>
          <w:wAfter w:w="42" w:type="dxa"/>
          <w:trHeight w:val="204"/>
        </w:trPr>
        <w:tc>
          <w:tcPr>
            <w:tcW w:w="454" w:type="dxa"/>
            <w:vAlign w:val="center"/>
            <w:hideMark/>
          </w:tcPr>
          <w:p w:rsidR="00E76163" w:rsidRDefault="00E76163">
            <w:pPr>
              <w:widowControl/>
              <w:jc w:val="left"/>
              <w:rPr>
                <w:rFonts w:cs="ＭＳ Ｐゴシック"/>
              </w:rPr>
            </w:pPr>
          </w:p>
        </w:tc>
        <w:tc>
          <w:tcPr>
            <w:tcW w:w="35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1</w:t>
            </w:r>
          </w:p>
        </w:tc>
        <w:tc>
          <w:tcPr>
            <w:tcW w:w="789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Depressed mood and a loss of interest or pleasure most of the day, nearly every day should be present over the same two-week period for the diagnosis</w:t>
            </w:r>
          </w:p>
        </w:tc>
        <w:tc>
          <w:tcPr>
            <w:tcW w:w="380" w:type="dxa"/>
            <w:gridSpan w:val="3"/>
            <w:vAlign w:val="center"/>
            <w:hideMark/>
          </w:tcPr>
          <w:p w:rsidR="00E76163" w:rsidRDefault="00E76163">
            <w:pPr>
              <w:widowControl/>
              <w:jc w:val="left"/>
              <w:rPr>
                <w:rFonts w:cs="ＭＳ Ｐゴシック"/>
              </w:rPr>
            </w:pPr>
          </w:p>
        </w:tc>
      </w:tr>
      <w:tr w:rsidR="00E76163" w:rsidTr="00E76163">
        <w:trPr>
          <w:gridAfter w:val="2"/>
          <w:wAfter w:w="42" w:type="dxa"/>
          <w:trHeight w:val="204"/>
        </w:trPr>
        <w:tc>
          <w:tcPr>
            <w:tcW w:w="454" w:type="dxa"/>
            <w:vAlign w:val="center"/>
          </w:tcPr>
          <w:p w:rsidR="00E76163" w:rsidRDefault="00E76163">
            <w:pPr>
              <w:widowControl/>
              <w:jc w:val="left"/>
              <w:rPr>
                <w:rFonts w:ascii="Arial" w:eastAsia="ＭＳ Ｐゴシック" w:hAnsi="Arial" w:cs="Arial"/>
                <w:color w:val="000000"/>
                <w:kern w:val="0"/>
                <w:sz w:val="18"/>
                <w:szCs w:val="18"/>
              </w:rPr>
            </w:pPr>
          </w:p>
        </w:tc>
        <w:tc>
          <w:tcPr>
            <w:tcW w:w="71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1579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0" w:type="dxa"/>
            <w:gridSpan w:val="3"/>
            <w:vAlign w:val="center"/>
          </w:tcPr>
          <w:p w:rsidR="00E76163" w:rsidRDefault="00E76163">
            <w:pPr>
              <w:widowControl/>
              <w:rPr>
                <w:rFonts w:ascii="Arial" w:eastAsia="ＭＳ Ｐゴシック" w:hAnsi="Arial" w:cs="Arial"/>
                <w:color w:val="000000"/>
                <w:kern w:val="0"/>
                <w:sz w:val="18"/>
                <w:szCs w:val="18"/>
              </w:rPr>
            </w:pPr>
          </w:p>
        </w:tc>
      </w:tr>
      <w:tr w:rsidR="00E76163" w:rsidTr="00E76163">
        <w:trPr>
          <w:gridAfter w:val="2"/>
          <w:wAfter w:w="42" w:type="dxa"/>
          <w:trHeight w:val="240"/>
        </w:trPr>
        <w:tc>
          <w:tcPr>
            <w:tcW w:w="454" w:type="dxa"/>
            <w:vAlign w:val="center"/>
            <w:hideMark/>
          </w:tcPr>
          <w:p w:rsidR="00E76163" w:rsidRDefault="00E76163">
            <w:pPr>
              <w:widowControl/>
              <w:jc w:val="left"/>
              <w:rPr>
                <w:rFonts w:cs="ＭＳ Ｐゴシック"/>
              </w:rPr>
            </w:pPr>
          </w:p>
        </w:tc>
        <w:tc>
          <w:tcPr>
            <w:tcW w:w="35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2</w:t>
            </w:r>
          </w:p>
        </w:tc>
        <w:tc>
          <w:tcPr>
            <w:tcW w:w="789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Symptoms should represent a change from previous functioning for the diagnosis</w:t>
            </w:r>
          </w:p>
        </w:tc>
        <w:tc>
          <w:tcPr>
            <w:tcW w:w="380" w:type="dxa"/>
            <w:gridSpan w:val="3"/>
            <w:vAlign w:val="center"/>
            <w:hideMark/>
          </w:tcPr>
          <w:p w:rsidR="00E76163" w:rsidRDefault="00E76163">
            <w:pPr>
              <w:widowControl/>
              <w:jc w:val="left"/>
              <w:rPr>
                <w:rFonts w:cs="ＭＳ Ｐゴシック"/>
              </w:rPr>
            </w:pPr>
          </w:p>
        </w:tc>
      </w:tr>
      <w:tr w:rsidR="00E76163" w:rsidTr="00E76163">
        <w:trPr>
          <w:gridAfter w:val="2"/>
          <w:wAfter w:w="42" w:type="dxa"/>
          <w:trHeight w:val="240"/>
        </w:trPr>
        <w:tc>
          <w:tcPr>
            <w:tcW w:w="454" w:type="dxa"/>
            <w:vAlign w:val="center"/>
            <w:hideMark/>
          </w:tcPr>
          <w:p w:rsidR="00E76163" w:rsidRDefault="00E76163">
            <w:pPr>
              <w:widowControl/>
              <w:jc w:val="left"/>
              <w:rPr>
                <w:rFonts w:cs="ＭＳ Ｐゴシック"/>
              </w:rPr>
            </w:pPr>
          </w:p>
        </w:tc>
        <w:tc>
          <w:tcPr>
            <w:tcW w:w="35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3</w:t>
            </w:r>
          </w:p>
        </w:tc>
        <w:tc>
          <w:tcPr>
            <w:tcW w:w="789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Observations made by others as well as subjective reports play an important role in the diagnosis</w:t>
            </w:r>
          </w:p>
        </w:tc>
        <w:tc>
          <w:tcPr>
            <w:tcW w:w="380" w:type="dxa"/>
            <w:gridSpan w:val="3"/>
            <w:vAlign w:val="center"/>
            <w:hideMark/>
          </w:tcPr>
          <w:p w:rsidR="00E76163" w:rsidRDefault="00E76163">
            <w:pPr>
              <w:widowControl/>
              <w:jc w:val="left"/>
              <w:rPr>
                <w:rFonts w:cs="ＭＳ Ｐゴシック"/>
              </w:rPr>
            </w:pPr>
          </w:p>
        </w:tc>
      </w:tr>
      <w:tr w:rsidR="00E76163" w:rsidTr="00E76163">
        <w:trPr>
          <w:gridAfter w:val="2"/>
          <w:wAfter w:w="42" w:type="dxa"/>
          <w:trHeight w:val="204"/>
        </w:trPr>
        <w:tc>
          <w:tcPr>
            <w:tcW w:w="454" w:type="dxa"/>
            <w:vAlign w:val="center"/>
            <w:hideMark/>
          </w:tcPr>
          <w:p w:rsidR="00E76163" w:rsidRDefault="00E76163">
            <w:pPr>
              <w:widowControl/>
              <w:jc w:val="left"/>
              <w:rPr>
                <w:rFonts w:cs="ＭＳ Ｐゴシック"/>
              </w:rPr>
            </w:pPr>
          </w:p>
        </w:tc>
        <w:tc>
          <w:tcPr>
            <w:tcW w:w="35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4</w:t>
            </w:r>
          </w:p>
        </w:tc>
        <w:tc>
          <w:tcPr>
            <w:tcW w:w="789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Major depressive disorder can be diagnosed when symptoms are due to the direct physiological effects of a substance or a general medical condition</w:t>
            </w:r>
          </w:p>
        </w:tc>
        <w:tc>
          <w:tcPr>
            <w:tcW w:w="380" w:type="dxa"/>
            <w:gridSpan w:val="3"/>
            <w:vAlign w:val="center"/>
            <w:hideMark/>
          </w:tcPr>
          <w:p w:rsidR="00E76163" w:rsidRDefault="00E76163">
            <w:pPr>
              <w:widowControl/>
              <w:jc w:val="left"/>
              <w:rPr>
                <w:rFonts w:cs="ＭＳ Ｐゴシック"/>
              </w:rPr>
            </w:pPr>
          </w:p>
        </w:tc>
      </w:tr>
      <w:tr w:rsidR="00E76163" w:rsidTr="00E76163">
        <w:trPr>
          <w:gridAfter w:val="2"/>
          <w:wAfter w:w="42" w:type="dxa"/>
          <w:trHeight w:val="204"/>
        </w:trPr>
        <w:tc>
          <w:tcPr>
            <w:tcW w:w="454" w:type="dxa"/>
            <w:vAlign w:val="center"/>
          </w:tcPr>
          <w:p w:rsidR="00E76163" w:rsidRDefault="00E76163">
            <w:pPr>
              <w:widowControl/>
              <w:jc w:val="left"/>
              <w:rPr>
                <w:rFonts w:ascii="Arial" w:eastAsia="ＭＳ Ｐゴシック" w:hAnsi="Arial" w:cs="Arial"/>
                <w:color w:val="000000"/>
                <w:kern w:val="0"/>
                <w:sz w:val="18"/>
                <w:szCs w:val="18"/>
              </w:rPr>
            </w:pPr>
          </w:p>
        </w:tc>
        <w:tc>
          <w:tcPr>
            <w:tcW w:w="71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1579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0" w:type="dxa"/>
            <w:gridSpan w:val="3"/>
            <w:vAlign w:val="center"/>
          </w:tcPr>
          <w:p w:rsidR="00E76163" w:rsidRDefault="00E76163">
            <w:pPr>
              <w:widowControl/>
              <w:rPr>
                <w:rFonts w:ascii="Arial" w:eastAsia="ＭＳ Ｐゴシック" w:hAnsi="Arial" w:cs="Arial"/>
                <w:color w:val="000000"/>
                <w:kern w:val="0"/>
                <w:sz w:val="18"/>
                <w:szCs w:val="18"/>
              </w:rPr>
            </w:pPr>
          </w:p>
        </w:tc>
      </w:tr>
      <w:tr w:rsidR="00E76163" w:rsidTr="00E76163">
        <w:trPr>
          <w:gridAfter w:val="2"/>
          <w:wAfter w:w="42" w:type="dxa"/>
          <w:trHeight w:val="204"/>
        </w:trPr>
        <w:tc>
          <w:tcPr>
            <w:tcW w:w="454" w:type="dxa"/>
            <w:vAlign w:val="center"/>
            <w:hideMark/>
          </w:tcPr>
          <w:p w:rsidR="00E76163" w:rsidRDefault="00E76163">
            <w:pPr>
              <w:widowControl/>
              <w:jc w:val="left"/>
              <w:rPr>
                <w:rFonts w:cs="ＭＳ Ｐゴシック"/>
              </w:rPr>
            </w:pPr>
          </w:p>
        </w:tc>
        <w:tc>
          <w:tcPr>
            <w:tcW w:w="35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5</w:t>
            </w:r>
          </w:p>
        </w:tc>
        <w:tc>
          <w:tcPr>
            <w:tcW w:w="789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Symptoms accounted for by psychotic disorder such as schizophrenia or bipolar disorder are excluded from the diagnosis of major depressive disorder (DSM-5)</w:t>
            </w:r>
          </w:p>
        </w:tc>
        <w:tc>
          <w:tcPr>
            <w:tcW w:w="380" w:type="dxa"/>
            <w:gridSpan w:val="3"/>
            <w:vAlign w:val="center"/>
            <w:hideMark/>
          </w:tcPr>
          <w:p w:rsidR="00E76163" w:rsidRDefault="00E76163">
            <w:pPr>
              <w:widowControl/>
              <w:jc w:val="left"/>
              <w:rPr>
                <w:rFonts w:cs="ＭＳ Ｐゴシック"/>
              </w:rPr>
            </w:pPr>
          </w:p>
        </w:tc>
      </w:tr>
      <w:tr w:rsidR="00E76163" w:rsidTr="00E76163">
        <w:trPr>
          <w:gridAfter w:val="2"/>
          <w:wAfter w:w="42" w:type="dxa"/>
          <w:trHeight w:val="204"/>
        </w:trPr>
        <w:tc>
          <w:tcPr>
            <w:tcW w:w="454" w:type="dxa"/>
            <w:vAlign w:val="center"/>
          </w:tcPr>
          <w:p w:rsidR="00E76163" w:rsidRDefault="00E76163">
            <w:pPr>
              <w:widowControl/>
              <w:jc w:val="left"/>
              <w:rPr>
                <w:rFonts w:ascii="Arial" w:eastAsia="ＭＳ Ｐゴシック" w:hAnsi="Arial" w:cs="Arial"/>
                <w:color w:val="000000"/>
                <w:kern w:val="0"/>
                <w:sz w:val="18"/>
                <w:szCs w:val="18"/>
              </w:rPr>
            </w:pPr>
          </w:p>
        </w:tc>
        <w:tc>
          <w:tcPr>
            <w:tcW w:w="71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1579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0" w:type="dxa"/>
            <w:gridSpan w:val="3"/>
            <w:vAlign w:val="center"/>
          </w:tcPr>
          <w:p w:rsidR="00E76163" w:rsidRDefault="00E76163">
            <w:pPr>
              <w:widowControl/>
              <w:rPr>
                <w:rFonts w:ascii="Arial" w:eastAsia="ＭＳ Ｐゴシック" w:hAnsi="Arial" w:cs="Arial"/>
                <w:color w:val="000000"/>
                <w:kern w:val="0"/>
                <w:sz w:val="18"/>
                <w:szCs w:val="18"/>
              </w:rPr>
            </w:pPr>
          </w:p>
        </w:tc>
      </w:tr>
      <w:tr w:rsidR="00E76163" w:rsidTr="00E76163">
        <w:trPr>
          <w:gridAfter w:val="2"/>
          <w:wAfter w:w="42" w:type="dxa"/>
          <w:trHeight w:val="240"/>
        </w:trPr>
        <w:tc>
          <w:tcPr>
            <w:tcW w:w="454" w:type="dxa"/>
            <w:vAlign w:val="center"/>
            <w:hideMark/>
          </w:tcPr>
          <w:p w:rsidR="00E76163" w:rsidRDefault="00E76163">
            <w:pPr>
              <w:widowControl/>
              <w:jc w:val="left"/>
              <w:rPr>
                <w:rFonts w:cs="ＭＳ Ｐゴシック"/>
              </w:rPr>
            </w:pPr>
          </w:p>
        </w:tc>
        <w:tc>
          <w:tcPr>
            <w:tcW w:w="35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6</w:t>
            </w:r>
          </w:p>
        </w:tc>
        <w:tc>
          <w:tcPr>
            <w:tcW w:w="789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International consensus has been reached regarding the severity (mild, moderate, severe) of major depressive disorder</w:t>
            </w:r>
          </w:p>
        </w:tc>
        <w:tc>
          <w:tcPr>
            <w:tcW w:w="380" w:type="dxa"/>
            <w:gridSpan w:val="3"/>
            <w:vAlign w:val="center"/>
            <w:hideMark/>
          </w:tcPr>
          <w:p w:rsidR="00E76163" w:rsidRDefault="00E76163">
            <w:pPr>
              <w:widowControl/>
              <w:jc w:val="left"/>
              <w:rPr>
                <w:rFonts w:cs="ＭＳ Ｐゴシック"/>
              </w:rPr>
            </w:pPr>
          </w:p>
        </w:tc>
      </w:tr>
      <w:tr w:rsidR="00E76163" w:rsidTr="00E76163">
        <w:trPr>
          <w:gridAfter w:val="2"/>
          <w:wAfter w:w="42" w:type="dxa"/>
          <w:trHeight w:val="240"/>
        </w:trPr>
        <w:tc>
          <w:tcPr>
            <w:tcW w:w="454" w:type="dxa"/>
            <w:vAlign w:val="center"/>
            <w:hideMark/>
          </w:tcPr>
          <w:p w:rsidR="00E76163" w:rsidRDefault="00E76163">
            <w:pPr>
              <w:widowControl/>
              <w:jc w:val="left"/>
              <w:rPr>
                <w:rFonts w:cs="ＭＳ Ｐゴシック"/>
              </w:rPr>
            </w:pPr>
          </w:p>
        </w:tc>
        <w:tc>
          <w:tcPr>
            <w:tcW w:w="71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1579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0" w:type="dxa"/>
            <w:gridSpan w:val="3"/>
            <w:vAlign w:val="center"/>
            <w:hideMark/>
          </w:tcPr>
          <w:p w:rsidR="00E76163" w:rsidRDefault="00E76163">
            <w:pPr>
              <w:widowControl/>
              <w:jc w:val="left"/>
              <w:rPr>
                <w:rFonts w:cs="ＭＳ Ｐゴシック"/>
              </w:rPr>
            </w:pPr>
          </w:p>
        </w:tc>
      </w:tr>
      <w:tr w:rsidR="00E76163" w:rsidTr="00E76163">
        <w:trPr>
          <w:gridAfter w:val="2"/>
          <w:wAfter w:w="42" w:type="dxa"/>
          <w:trHeight w:val="198"/>
        </w:trPr>
        <w:tc>
          <w:tcPr>
            <w:tcW w:w="454" w:type="dxa"/>
            <w:vAlign w:val="center"/>
            <w:hideMark/>
          </w:tcPr>
          <w:p w:rsidR="00E76163" w:rsidRDefault="00E76163">
            <w:pPr>
              <w:widowControl/>
              <w:jc w:val="left"/>
              <w:rPr>
                <w:rFonts w:cs="ＭＳ Ｐゴシック"/>
              </w:rPr>
            </w:pPr>
          </w:p>
        </w:tc>
        <w:tc>
          <w:tcPr>
            <w:tcW w:w="357" w:type="dxa"/>
            <w:gridSpan w:val="2"/>
            <w:vAlign w:val="center"/>
            <w:hideMark/>
          </w:tcPr>
          <w:p w:rsidR="00E76163" w:rsidRDefault="00E76163">
            <w:pPr>
              <w:widowControl/>
              <w:jc w:val="left"/>
              <w:rPr>
                <w:rFonts w:cs="ＭＳ Ｐゴシック"/>
              </w:rPr>
            </w:pPr>
          </w:p>
        </w:tc>
        <w:tc>
          <w:tcPr>
            <w:tcW w:w="7897" w:type="dxa"/>
            <w:gridSpan w:val="2"/>
            <w:vAlign w:val="center"/>
            <w:hideMark/>
          </w:tcPr>
          <w:p w:rsidR="00E76163" w:rsidRDefault="00E76163">
            <w:pPr>
              <w:widowControl/>
              <w:jc w:val="left"/>
              <w:rPr>
                <w:rFonts w:cs="ＭＳ Ｐゴシック"/>
              </w:rPr>
            </w:pPr>
          </w:p>
        </w:tc>
        <w:tc>
          <w:tcPr>
            <w:tcW w:w="380" w:type="dxa"/>
            <w:gridSpan w:val="3"/>
            <w:vAlign w:val="center"/>
            <w:hideMark/>
          </w:tcPr>
          <w:p w:rsidR="00E76163" w:rsidRDefault="00E76163">
            <w:pPr>
              <w:widowControl/>
              <w:jc w:val="left"/>
              <w:rPr>
                <w:rFonts w:cs="ＭＳ Ｐゴシック"/>
              </w:rPr>
            </w:pPr>
          </w:p>
        </w:tc>
      </w:tr>
      <w:tr w:rsidR="00E76163" w:rsidTr="00E76163">
        <w:trPr>
          <w:trHeight w:val="240"/>
        </w:trPr>
        <w:tc>
          <w:tcPr>
            <w:tcW w:w="9130" w:type="dxa"/>
            <w:gridSpan w:val="10"/>
            <w:vAlign w:val="center"/>
            <w:hideMark/>
          </w:tcPr>
          <w:p w:rsidR="00E76163" w:rsidRDefault="00E76163">
            <w:pPr>
              <w:widowControl/>
              <w:jc w:val="left"/>
              <w:rPr>
                <w:rFonts w:ascii="Arial" w:eastAsia="ＭＳ Ｐゴシック" w:hAnsi="Arial" w:cs="Arial"/>
                <w:b/>
                <w:bCs/>
                <w:color w:val="000000"/>
                <w:kern w:val="0"/>
                <w:sz w:val="18"/>
                <w:szCs w:val="18"/>
              </w:rPr>
            </w:pPr>
            <w:r>
              <w:rPr>
                <w:rFonts w:ascii="Arial" w:eastAsia="ＭＳ Ｐゴシック" w:hAnsi="Arial" w:cs="Arial"/>
                <w:b/>
                <w:bCs/>
                <w:color w:val="000000"/>
                <w:kern w:val="0"/>
                <w:sz w:val="18"/>
                <w:szCs w:val="18"/>
              </w:rPr>
              <w:t>B. Treatment of major depressive disorder</w:t>
            </w:r>
          </w:p>
        </w:tc>
      </w:tr>
      <w:tr w:rsidR="00E76163" w:rsidTr="00E76163">
        <w:trPr>
          <w:gridAfter w:val="2"/>
          <w:wAfter w:w="42" w:type="dxa"/>
          <w:trHeight w:val="204"/>
        </w:trPr>
        <w:tc>
          <w:tcPr>
            <w:tcW w:w="454" w:type="dxa"/>
            <w:vAlign w:val="center"/>
            <w:hideMark/>
          </w:tcPr>
          <w:p w:rsidR="00E76163" w:rsidRDefault="00E76163">
            <w:pPr>
              <w:widowControl/>
              <w:jc w:val="left"/>
              <w:rPr>
                <w:rFonts w:cs="ＭＳ Ｐゴシック"/>
              </w:rPr>
            </w:pPr>
          </w:p>
        </w:tc>
        <w:tc>
          <w:tcPr>
            <w:tcW w:w="35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1</w:t>
            </w:r>
          </w:p>
        </w:tc>
        <w:tc>
          <w:tcPr>
            <w:tcW w:w="789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Keep in mind the importance of establishing a good doctor-patient relationship that provides empathy or supportive care for the treatment of major depressive disorder</w:t>
            </w:r>
          </w:p>
        </w:tc>
        <w:tc>
          <w:tcPr>
            <w:tcW w:w="380" w:type="dxa"/>
            <w:gridSpan w:val="3"/>
            <w:vMerge w:val="restart"/>
            <w:vAlign w:val="center"/>
            <w:hideMark/>
          </w:tcPr>
          <w:p w:rsidR="00E76163" w:rsidRDefault="00E76163">
            <w:pPr>
              <w:widowControl/>
              <w:jc w:val="left"/>
              <w:rPr>
                <w:rFonts w:cs="ＭＳ Ｐゴシック"/>
              </w:rPr>
            </w:pPr>
          </w:p>
        </w:tc>
      </w:tr>
      <w:tr w:rsidR="00E76163" w:rsidTr="00E76163">
        <w:trPr>
          <w:gridAfter w:val="2"/>
          <w:wAfter w:w="42" w:type="dxa"/>
          <w:trHeight w:val="204"/>
        </w:trPr>
        <w:tc>
          <w:tcPr>
            <w:tcW w:w="454" w:type="dxa"/>
            <w:vAlign w:val="center"/>
          </w:tcPr>
          <w:p w:rsidR="00E76163" w:rsidRDefault="00E76163">
            <w:pPr>
              <w:widowControl/>
              <w:rPr>
                <w:rFonts w:ascii="Arial" w:eastAsia="ＭＳ Ｐゴシック" w:hAnsi="Arial" w:cs="Arial"/>
                <w:b/>
                <w:bCs/>
                <w:color w:val="000000"/>
                <w:kern w:val="0"/>
                <w:sz w:val="18"/>
                <w:szCs w:val="18"/>
              </w:rPr>
            </w:pPr>
          </w:p>
        </w:tc>
        <w:tc>
          <w:tcPr>
            <w:tcW w:w="71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1579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904" w:type="dxa"/>
            <w:gridSpan w:val="3"/>
            <w:vMerge/>
            <w:vAlign w:val="center"/>
            <w:hideMark/>
          </w:tcPr>
          <w:p w:rsidR="00E76163" w:rsidRDefault="00E76163">
            <w:pPr>
              <w:widowControl/>
              <w:jc w:val="left"/>
              <w:rPr>
                <w:rFonts w:cs="ＭＳ Ｐゴシック"/>
              </w:rPr>
            </w:pPr>
          </w:p>
        </w:tc>
      </w:tr>
      <w:tr w:rsidR="00E76163" w:rsidTr="00E76163">
        <w:trPr>
          <w:gridAfter w:val="2"/>
          <w:wAfter w:w="42" w:type="dxa"/>
          <w:trHeight w:val="240"/>
        </w:trPr>
        <w:tc>
          <w:tcPr>
            <w:tcW w:w="454" w:type="dxa"/>
            <w:vAlign w:val="center"/>
            <w:hideMark/>
          </w:tcPr>
          <w:p w:rsidR="00E76163" w:rsidRDefault="00E76163">
            <w:pPr>
              <w:widowControl/>
              <w:jc w:val="left"/>
              <w:rPr>
                <w:rFonts w:cs="ＭＳ Ｐゴシック"/>
              </w:rPr>
            </w:pPr>
          </w:p>
        </w:tc>
        <w:tc>
          <w:tcPr>
            <w:tcW w:w="35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2</w:t>
            </w:r>
          </w:p>
        </w:tc>
        <w:tc>
          <w:tcPr>
            <w:tcW w:w="789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Psychological education is a technique with which a therapist conveys psychological knowledge to the patients</w:t>
            </w:r>
          </w:p>
        </w:tc>
        <w:tc>
          <w:tcPr>
            <w:tcW w:w="380" w:type="dxa"/>
            <w:gridSpan w:val="3"/>
            <w:vAlign w:val="center"/>
            <w:hideMark/>
          </w:tcPr>
          <w:p w:rsidR="00E76163" w:rsidRDefault="00E76163">
            <w:pPr>
              <w:widowControl/>
              <w:jc w:val="left"/>
              <w:rPr>
                <w:rFonts w:cs="ＭＳ Ｐゴシック"/>
              </w:rPr>
            </w:pPr>
          </w:p>
        </w:tc>
      </w:tr>
      <w:tr w:rsidR="00E76163" w:rsidTr="00E76163">
        <w:trPr>
          <w:gridAfter w:val="2"/>
          <w:wAfter w:w="42" w:type="dxa"/>
          <w:trHeight w:val="240"/>
        </w:trPr>
        <w:tc>
          <w:tcPr>
            <w:tcW w:w="454" w:type="dxa"/>
            <w:vAlign w:val="center"/>
            <w:hideMark/>
          </w:tcPr>
          <w:p w:rsidR="00E76163" w:rsidRDefault="00E76163">
            <w:pPr>
              <w:widowControl/>
              <w:jc w:val="left"/>
              <w:rPr>
                <w:rFonts w:cs="ＭＳ Ｐゴシック"/>
              </w:rPr>
            </w:pPr>
          </w:p>
        </w:tc>
        <w:tc>
          <w:tcPr>
            <w:tcW w:w="71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1579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0" w:type="dxa"/>
            <w:gridSpan w:val="3"/>
            <w:vAlign w:val="center"/>
            <w:hideMark/>
          </w:tcPr>
          <w:p w:rsidR="00E76163" w:rsidRDefault="00E76163">
            <w:pPr>
              <w:widowControl/>
              <w:jc w:val="left"/>
              <w:rPr>
                <w:rFonts w:cs="ＭＳ Ｐゴシック"/>
              </w:rPr>
            </w:pPr>
          </w:p>
        </w:tc>
      </w:tr>
      <w:tr w:rsidR="00E76163" w:rsidTr="00E76163">
        <w:trPr>
          <w:gridAfter w:val="2"/>
          <w:wAfter w:w="42" w:type="dxa"/>
          <w:trHeight w:val="240"/>
        </w:trPr>
        <w:tc>
          <w:tcPr>
            <w:tcW w:w="454" w:type="dxa"/>
            <w:vAlign w:val="center"/>
            <w:hideMark/>
          </w:tcPr>
          <w:p w:rsidR="00E76163" w:rsidRDefault="00E76163">
            <w:pPr>
              <w:widowControl/>
              <w:jc w:val="left"/>
              <w:rPr>
                <w:rFonts w:cs="ＭＳ Ｐゴシック"/>
              </w:rPr>
            </w:pPr>
          </w:p>
        </w:tc>
        <w:tc>
          <w:tcPr>
            <w:tcW w:w="35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3</w:t>
            </w:r>
          </w:p>
        </w:tc>
        <w:tc>
          <w:tcPr>
            <w:tcW w:w="789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Though hospitalization should be considered when patients attempt suicide or present suicidal ideation with a suicide plan, it should not be considered when the patient’s family environment is not suitable for recuperating or resting</w:t>
            </w:r>
          </w:p>
        </w:tc>
        <w:tc>
          <w:tcPr>
            <w:tcW w:w="380" w:type="dxa"/>
            <w:gridSpan w:val="3"/>
            <w:vAlign w:val="center"/>
            <w:hideMark/>
          </w:tcPr>
          <w:p w:rsidR="00E76163" w:rsidRDefault="00E76163">
            <w:pPr>
              <w:widowControl/>
              <w:jc w:val="left"/>
              <w:rPr>
                <w:rFonts w:cs="ＭＳ Ｐゴシック"/>
              </w:rPr>
            </w:pPr>
          </w:p>
        </w:tc>
      </w:tr>
      <w:tr w:rsidR="00E76163" w:rsidTr="00E76163">
        <w:trPr>
          <w:gridAfter w:val="2"/>
          <w:wAfter w:w="42" w:type="dxa"/>
          <w:trHeight w:val="192"/>
        </w:trPr>
        <w:tc>
          <w:tcPr>
            <w:tcW w:w="454" w:type="dxa"/>
            <w:vAlign w:val="center"/>
            <w:hideMark/>
          </w:tcPr>
          <w:p w:rsidR="00E76163" w:rsidRDefault="00E76163">
            <w:pPr>
              <w:widowControl/>
              <w:jc w:val="left"/>
              <w:rPr>
                <w:rFonts w:cs="ＭＳ Ｐゴシック"/>
              </w:rPr>
            </w:pPr>
          </w:p>
        </w:tc>
        <w:tc>
          <w:tcPr>
            <w:tcW w:w="71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1579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0" w:type="dxa"/>
            <w:gridSpan w:val="3"/>
            <w:vAlign w:val="center"/>
            <w:hideMark/>
          </w:tcPr>
          <w:p w:rsidR="00E76163" w:rsidRDefault="00E76163">
            <w:pPr>
              <w:widowControl/>
              <w:jc w:val="left"/>
              <w:rPr>
                <w:rFonts w:cs="ＭＳ Ｐゴシック"/>
              </w:rPr>
            </w:pPr>
          </w:p>
        </w:tc>
      </w:tr>
      <w:tr w:rsidR="00E76163" w:rsidTr="00E76163">
        <w:trPr>
          <w:gridAfter w:val="2"/>
          <w:wAfter w:w="42" w:type="dxa"/>
          <w:trHeight w:val="192"/>
        </w:trPr>
        <w:tc>
          <w:tcPr>
            <w:tcW w:w="454" w:type="dxa"/>
            <w:vAlign w:val="center"/>
          </w:tcPr>
          <w:p w:rsidR="00E76163" w:rsidRDefault="00E76163">
            <w:pPr>
              <w:widowControl/>
              <w:rPr>
                <w:rFonts w:ascii="Arial" w:eastAsia="ＭＳ Ｐゴシック" w:hAnsi="Arial" w:cs="Arial"/>
                <w:color w:val="000000"/>
                <w:kern w:val="0"/>
                <w:sz w:val="18"/>
                <w:szCs w:val="18"/>
              </w:rPr>
            </w:pPr>
          </w:p>
        </w:tc>
        <w:tc>
          <w:tcPr>
            <w:tcW w:w="71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1579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0" w:type="dxa"/>
            <w:gridSpan w:val="3"/>
            <w:vAlign w:val="center"/>
          </w:tcPr>
          <w:p w:rsidR="00E76163" w:rsidRDefault="00E76163">
            <w:pPr>
              <w:widowControl/>
              <w:rPr>
                <w:rFonts w:ascii="Arial" w:eastAsia="ＭＳ Ｐゴシック" w:hAnsi="Arial" w:cs="Arial"/>
                <w:color w:val="000000"/>
                <w:kern w:val="0"/>
                <w:sz w:val="18"/>
                <w:szCs w:val="18"/>
              </w:rPr>
            </w:pPr>
          </w:p>
        </w:tc>
      </w:tr>
      <w:tr w:rsidR="00E76163" w:rsidTr="00E76163">
        <w:trPr>
          <w:gridAfter w:val="2"/>
          <w:wAfter w:w="42" w:type="dxa"/>
          <w:trHeight w:val="240"/>
        </w:trPr>
        <w:tc>
          <w:tcPr>
            <w:tcW w:w="454" w:type="dxa"/>
            <w:vAlign w:val="center"/>
            <w:hideMark/>
          </w:tcPr>
          <w:p w:rsidR="00E76163" w:rsidRDefault="00E76163">
            <w:pPr>
              <w:widowControl/>
              <w:jc w:val="left"/>
              <w:rPr>
                <w:rFonts w:cs="ＭＳ Ｐゴシック"/>
              </w:rPr>
            </w:pPr>
          </w:p>
        </w:tc>
        <w:tc>
          <w:tcPr>
            <w:tcW w:w="35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4</w:t>
            </w:r>
          </w:p>
        </w:tc>
        <w:tc>
          <w:tcPr>
            <w:tcW w:w="789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When the treatment does not work well, reassessment of the diagnosis, pharmacotherapy, and environmental management is necessary</w:t>
            </w:r>
          </w:p>
        </w:tc>
        <w:tc>
          <w:tcPr>
            <w:tcW w:w="380" w:type="dxa"/>
            <w:gridSpan w:val="3"/>
            <w:vAlign w:val="center"/>
            <w:hideMark/>
          </w:tcPr>
          <w:p w:rsidR="00E76163" w:rsidRDefault="00E76163">
            <w:pPr>
              <w:widowControl/>
              <w:jc w:val="left"/>
              <w:rPr>
                <w:rFonts w:cs="ＭＳ Ｐゴシック"/>
              </w:rPr>
            </w:pPr>
          </w:p>
        </w:tc>
      </w:tr>
      <w:tr w:rsidR="00E76163" w:rsidTr="00E76163">
        <w:trPr>
          <w:gridAfter w:val="2"/>
          <w:wAfter w:w="42" w:type="dxa"/>
          <w:trHeight w:val="240"/>
        </w:trPr>
        <w:tc>
          <w:tcPr>
            <w:tcW w:w="454" w:type="dxa"/>
            <w:vAlign w:val="center"/>
            <w:hideMark/>
          </w:tcPr>
          <w:p w:rsidR="00E76163" w:rsidRDefault="00E76163">
            <w:pPr>
              <w:widowControl/>
              <w:jc w:val="left"/>
              <w:rPr>
                <w:rFonts w:cs="ＭＳ Ｐゴシック"/>
              </w:rPr>
            </w:pPr>
          </w:p>
        </w:tc>
        <w:tc>
          <w:tcPr>
            <w:tcW w:w="71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1579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0" w:type="dxa"/>
            <w:gridSpan w:val="3"/>
            <w:vAlign w:val="center"/>
            <w:hideMark/>
          </w:tcPr>
          <w:p w:rsidR="00E76163" w:rsidRDefault="00E76163">
            <w:pPr>
              <w:widowControl/>
              <w:jc w:val="left"/>
              <w:rPr>
                <w:rFonts w:cs="ＭＳ Ｐゴシック"/>
              </w:rPr>
            </w:pPr>
          </w:p>
        </w:tc>
      </w:tr>
      <w:tr w:rsidR="00E76163" w:rsidTr="00E76163">
        <w:trPr>
          <w:gridAfter w:val="2"/>
          <w:wAfter w:w="42" w:type="dxa"/>
          <w:trHeight w:val="240"/>
        </w:trPr>
        <w:tc>
          <w:tcPr>
            <w:tcW w:w="454" w:type="dxa"/>
            <w:noWrap/>
            <w:vAlign w:val="center"/>
            <w:hideMark/>
          </w:tcPr>
          <w:p w:rsidR="00E76163" w:rsidRDefault="00E76163">
            <w:pPr>
              <w:widowControl/>
              <w:jc w:val="left"/>
              <w:rPr>
                <w:rFonts w:cs="ＭＳ Ｐゴシック"/>
              </w:rPr>
            </w:pPr>
          </w:p>
        </w:tc>
        <w:tc>
          <w:tcPr>
            <w:tcW w:w="35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5</w:t>
            </w:r>
          </w:p>
        </w:tc>
        <w:tc>
          <w:tcPr>
            <w:tcW w:w="789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The safety of antidepressants during pregnancy has not been not determined, so more attention to adverse effects should be paid when antidepressants are administered to young people than to the elderly</w:t>
            </w:r>
          </w:p>
        </w:tc>
        <w:tc>
          <w:tcPr>
            <w:tcW w:w="380" w:type="dxa"/>
            <w:gridSpan w:val="3"/>
            <w:vAlign w:val="center"/>
            <w:hideMark/>
          </w:tcPr>
          <w:p w:rsidR="00E76163" w:rsidRDefault="00E76163">
            <w:pPr>
              <w:widowControl/>
              <w:jc w:val="left"/>
              <w:rPr>
                <w:rFonts w:cs="ＭＳ Ｐゴシック"/>
              </w:rPr>
            </w:pPr>
          </w:p>
        </w:tc>
      </w:tr>
      <w:tr w:rsidR="00E76163" w:rsidTr="00E76163">
        <w:trPr>
          <w:gridAfter w:val="2"/>
          <w:wAfter w:w="42" w:type="dxa"/>
          <w:trHeight w:val="240"/>
        </w:trPr>
        <w:tc>
          <w:tcPr>
            <w:tcW w:w="454" w:type="dxa"/>
            <w:vAlign w:val="center"/>
            <w:hideMark/>
          </w:tcPr>
          <w:p w:rsidR="00E76163" w:rsidRDefault="00E76163">
            <w:pPr>
              <w:widowControl/>
              <w:jc w:val="left"/>
              <w:rPr>
                <w:rFonts w:cs="ＭＳ Ｐゴシック"/>
              </w:rPr>
            </w:pPr>
          </w:p>
        </w:tc>
        <w:tc>
          <w:tcPr>
            <w:tcW w:w="71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1579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0" w:type="dxa"/>
            <w:gridSpan w:val="3"/>
            <w:vAlign w:val="center"/>
            <w:hideMark/>
          </w:tcPr>
          <w:p w:rsidR="00E76163" w:rsidRDefault="00E76163">
            <w:pPr>
              <w:widowControl/>
              <w:jc w:val="left"/>
              <w:rPr>
                <w:rFonts w:cs="ＭＳ Ｐゴシック"/>
              </w:rPr>
            </w:pPr>
          </w:p>
        </w:tc>
      </w:tr>
      <w:tr w:rsidR="00E76163" w:rsidTr="00E76163">
        <w:trPr>
          <w:gridAfter w:val="2"/>
          <w:wAfter w:w="42" w:type="dxa"/>
          <w:trHeight w:val="240"/>
        </w:trPr>
        <w:tc>
          <w:tcPr>
            <w:tcW w:w="454" w:type="dxa"/>
            <w:vAlign w:val="center"/>
            <w:hideMark/>
          </w:tcPr>
          <w:p w:rsidR="00E76163" w:rsidRDefault="00E76163">
            <w:pPr>
              <w:widowControl/>
              <w:jc w:val="left"/>
              <w:rPr>
                <w:rFonts w:cs="ＭＳ Ｐゴシック"/>
              </w:rPr>
            </w:pPr>
          </w:p>
        </w:tc>
        <w:tc>
          <w:tcPr>
            <w:tcW w:w="71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1579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0" w:type="dxa"/>
            <w:gridSpan w:val="3"/>
            <w:vAlign w:val="center"/>
            <w:hideMark/>
          </w:tcPr>
          <w:p w:rsidR="00E76163" w:rsidRDefault="00E76163">
            <w:pPr>
              <w:widowControl/>
              <w:jc w:val="left"/>
              <w:rPr>
                <w:rFonts w:cs="ＭＳ Ｐゴシック"/>
              </w:rPr>
            </w:pPr>
          </w:p>
        </w:tc>
      </w:tr>
      <w:tr w:rsidR="00E76163" w:rsidTr="00E76163">
        <w:trPr>
          <w:gridAfter w:val="2"/>
          <w:wAfter w:w="42" w:type="dxa"/>
          <w:trHeight w:val="198"/>
        </w:trPr>
        <w:tc>
          <w:tcPr>
            <w:tcW w:w="454" w:type="dxa"/>
            <w:vAlign w:val="center"/>
            <w:hideMark/>
          </w:tcPr>
          <w:p w:rsidR="00E76163" w:rsidRDefault="00E76163">
            <w:pPr>
              <w:widowControl/>
              <w:jc w:val="left"/>
              <w:rPr>
                <w:rFonts w:cs="ＭＳ Ｐゴシック"/>
              </w:rPr>
            </w:pPr>
          </w:p>
        </w:tc>
        <w:tc>
          <w:tcPr>
            <w:tcW w:w="357" w:type="dxa"/>
            <w:gridSpan w:val="2"/>
            <w:noWrap/>
            <w:vAlign w:val="center"/>
            <w:hideMark/>
          </w:tcPr>
          <w:p w:rsidR="00E76163" w:rsidRDefault="00E76163">
            <w:pPr>
              <w:widowControl/>
              <w:jc w:val="left"/>
              <w:rPr>
                <w:rFonts w:cs="ＭＳ Ｐゴシック"/>
              </w:rPr>
            </w:pPr>
          </w:p>
        </w:tc>
        <w:tc>
          <w:tcPr>
            <w:tcW w:w="7897" w:type="dxa"/>
            <w:gridSpan w:val="2"/>
            <w:noWrap/>
            <w:vAlign w:val="bottom"/>
            <w:hideMark/>
          </w:tcPr>
          <w:p w:rsidR="00E76163" w:rsidRDefault="00E76163">
            <w:pPr>
              <w:widowControl/>
              <w:jc w:val="left"/>
              <w:rPr>
                <w:rFonts w:cs="ＭＳ Ｐゴシック"/>
              </w:rPr>
            </w:pPr>
          </w:p>
        </w:tc>
        <w:tc>
          <w:tcPr>
            <w:tcW w:w="380" w:type="dxa"/>
            <w:gridSpan w:val="3"/>
            <w:vAlign w:val="center"/>
            <w:hideMark/>
          </w:tcPr>
          <w:p w:rsidR="00E76163" w:rsidRDefault="00E76163">
            <w:pPr>
              <w:widowControl/>
              <w:jc w:val="left"/>
              <w:rPr>
                <w:rFonts w:cs="ＭＳ Ｐゴシック"/>
              </w:rPr>
            </w:pPr>
          </w:p>
        </w:tc>
      </w:tr>
      <w:tr w:rsidR="00E76163" w:rsidTr="00E76163">
        <w:trPr>
          <w:trHeight w:val="240"/>
        </w:trPr>
        <w:tc>
          <w:tcPr>
            <w:tcW w:w="9130" w:type="dxa"/>
            <w:gridSpan w:val="10"/>
            <w:vAlign w:val="center"/>
            <w:hideMark/>
          </w:tcPr>
          <w:p w:rsidR="00E76163" w:rsidRDefault="00E76163">
            <w:pPr>
              <w:widowControl/>
              <w:jc w:val="left"/>
              <w:rPr>
                <w:rFonts w:ascii="Arial" w:eastAsia="ＭＳ Ｐゴシック" w:hAnsi="Arial" w:cs="Arial"/>
                <w:b/>
                <w:bCs/>
                <w:color w:val="000000"/>
                <w:kern w:val="0"/>
                <w:sz w:val="18"/>
                <w:szCs w:val="18"/>
              </w:rPr>
            </w:pPr>
            <w:r>
              <w:rPr>
                <w:rFonts w:ascii="Arial" w:eastAsia="ＭＳ Ｐゴシック" w:hAnsi="Arial" w:cs="Arial"/>
                <w:b/>
                <w:bCs/>
                <w:color w:val="000000"/>
                <w:kern w:val="0"/>
                <w:sz w:val="18"/>
                <w:szCs w:val="18"/>
              </w:rPr>
              <w:t>C. Management of mild depression</w:t>
            </w:r>
          </w:p>
        </w:tc>
      </w:tr>
      <w:tr w:rsidR="00E76163" w:rsidTr="00E76163">
        <w:trPr>
          <w:gridAfter w:val="2"/>
          <w:wAfter w:w="42" w:type="dxa"/>
          <w:trHeight w:val="238"/>
        </w:trPr>
        <w:tc>
          <w:tcPr>
            <w:tcW w:w="454" w:type="dxa"/>
            <w:vAlign w:val="center"/>
            <w:hideMark/>
          </w:tcPr>
          <w:p w:rsidR="00E76163" w:rsidRDefault="00E76163">
            <w:pPr>
              <w:widowControl/>
              <w:jc w:val="left"/>
              <w:rPr>
                <w:rFonts w:cs="ＭＳ Ｐゴシック"/>
              </w:rPr>
            </w:pPr>
          </w:p>
        </w:tc>
        <w:tc>
          <w:tcPr>
            <w:tcW w:w="35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1</w:t>
            </w:r>
          </w:p>
        </w:tc>
        <w:tc>
          <w:tcPr>
            <w:tcW w:w="789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Psychiatrists need to understand patients’ background and pathology, and supportive psychotherapy and psychoeducation should be provided in all cases</w:t>
            </w:r>
          </w:p>
        </w:tc>
        <w:tc>
          <w:tcPr>
            <w:tcW w:w="380" w:type="dxa"/>
            <w:gridSpan w:val="3"/>
            <w:vAlign w:val="center"/>
            <w:hideMark/>
          </w:tcPr>
          <w:p w:rsidR="00E76163" w:rsidRDefault="00E76163">
            <w:pPr>
              <w:widowControl/>
              <w:jc w:val="left"/>
              <w:rPr>
                <w:rFonts w:cs="ＭＳ Ｐゴシック"/>
              </w:rPr>
            </w:pPr>
          </w:p>
        </w:tc>
      </w:tr>
      <w:tr w:rsidR="00E76163" w:rsidTr="00E76163">
        <w:trPr>
          <w:gridAfter w:val="2"/>
          <w:wAfter w:w="42" w:type="dxa"/>
          <w:trHeight w:val="238"/>
        </w:trPr>
        <w:tc>
          <w:tcPr>
            <w:tcW w:w="454" w:type="dxa"/>
            <w:vAlign w:val="center"/>
          </w:tcPr>
          <w:p w:rsidR="00E76163" w:rsidRDefault="00E76163">
            <w:pPr>
              <w:widowControl/>
              <w:jc w:val="left"/>
              <w:rPr>
                <w:rFonts w:ascii="Arial" w:eastAsia="ＭＳ Ｐゴシック" w:hAnsi="Arial" w:cs="Arial"/>
                <w:color w:val="000000"/>
                <w:kern w:val="0"/>
                <w:sz w:val="18"/>
                <w:szCs w:val="18"/>
              </w:rPr>
            </w:pPr>
          </w:p>
        </w:tc>
        <w:tc>
          <w:tcPr>
            <w:tcW w:w="71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1579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0" w:type="dxa"/>
            <w:gridSpan w:val="3"/>
            <w:vAlign w:val="center"/>
          </w:tcPr>
          <w:p w:rsidR="00E76163" w:rsidRDefault="00E76163">
            <w:pPr>
              <w:widowControl/>
              <w:rPr>
                <w:rFonts w:ascii="Arial" w:eastAsia="ＭＳ Ｐゴシック" w:hAnsi="Arial" w:cs="Arial"/>
                <w:color w:val="000000"/>
                <w:kern w:val="0"/>
                <w:sz w:val="18"/>
                <w:szCs w:val="18"/>
              </w:rPr>
            </w:pPr>
          </w:p>
        </w:tc>
      </w:tr>
      <w:tr w:rsidR="00E76163" w:rsidTr="00E76163">
        <w:trPr>
          <w:gridAfter w:val="2"/>
          <w:wAfter w:w="42" w:type="dxa"/>
          <w:trHeight w:val="238"/>
        </w:trPr>
        <w:tc>
          <w:tcPr>
            <w:tcW w:w="454" w:type="dxa"/>
            <w:vAlign w:val="center"/>
            <w:hideMark/>
          </w:tcPr>
          <w:p w:rsidR="00E76163" w:rsidRDefault="00E76163">
            <w:pPr>
              <w:widowControl/>
              <w:jc w:val="left"/>
              <w:rPr>
                <w:rFonts w:cs="ＭＳ Ｐゴシック"/>
              </w:rPr>
            </w:pPr>
          </w:p>
        </w:tc>
        <w:tc>
          <w:tcPr>
            <w:tcW w:w="35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2</w:t>
            </w:r>
          </w:p>
        </w:tc>
        <w:tc>
          <w:tcPr>
            <w:tcW w:w="789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Cognitive-based therapy can be added to the fundamental intervention if necessary</w:t>
            </w:r>
          </w:p>
        </w:tc>
        <w:tc>
          <w:tcPr>
            <w:tcW w:w="380" w:type="dxa"/>
            <w:gridSpan w:val="3"/>
            <w:noWrap/>
            <w:vAlign w:val="center"/>
            <w:hideMark/>
          </w:tcPr>
          <w:p w:rsidR="00E76163" w:rsidRDefault="00E76163">
            <w:pPr>
              <w:widowControl/>
              <w:jc w:val="left"/>
              <w:rPr>
                <w:rFonts w:cs="ＭＳ Ｐゴシック"/>
              </w:rPr>
            </w:pPr>
          </w:p>
        </w:tc>
      </w:tr>
      <w:tr w:rsidR="00E76163" w:rsidTr="00E76163">
        <w:trPr>
          <w:gridAfter w:val="2"/>
          <w:wAfter w:w="42" w:type="dxa"/>
          <w:trHeight w:val="238"/>
        </w:trPr>
        <w:tc>
          <w:tcPr>
            <w:tcW w:w="454" w:type="dxa"/>
            <w:vAlign w:val="center"/>
            <w:hideMark/>
          </w:tcPr>
          <w:p w:rsidR="00E76163" w:rsidRDefault="00E76163">
            <w:pPr>
              <w:widowControl/>
              <w:jc w:val="left"/>
              <w:rPr>
                <w:rFonts w:cs="ＭＳ Ｐゴシック"/>
              </w:rPr>
            </w:pPr>
          </w:p>
        </w:tc>
        <w:tc>
          <w:tcPr>
            <w:tcW w:w="35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3</w:t>
            </w:r>
          </w:p>
        </w:tc>
        <w:tc>
          <w:tcPr>
            <w:tcW w:w="789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New-generation antidepressants can be added to fundamental intervention if necessary</w:t>
            </w:r>
          </w:p>
        </w:tc>
        <w:tc>
          <w:tcPr>
            <w:tcW w:w="380" w:type="dxa"/>
            <w:gridSpan w:val="3"/>
            <w:vAlign w:val="center"/>
            <w:hideMark/>
          </w:tcPr>
          <w:p w:rsidR="00E76163" w:rsidRDefault="00E76163">
            <w:pPr>
              <w:widowControl/>
              <w:jc w:val="left"/>
              <w:rPr>
                <w:rFonts w:cs="ＭＳ Ｐゴシック"/>
              </w:rPr>
            </w:pPr>
          </w:p>
        </w:tc>
      </w:tr>
      <w:tr w:rsidR="00E76163" w:rsidTr="00E76163">
        <w:trPr>
          <w:gridAfter w:val="2"/>
          <w:wAfter w:w="42" w:type="dxa"/>
          <w:trHeight w:val="238"/>
        </w:trPr>
        <w:tc>
          <w:tcPr>
            <w:tcW w:w="454" w:type="dxa"/>
            <w:vAlign w:val="center"/>
            <w:hideMark/>
          </w:tcPr>
          <w:p w:rsidR="00E76163" w:rsidRDefault="00E76163">
            <w:pPr>
              <w:widowControl/>
              <w:jc w:val="left"/>
              <w:rPr>
                <w:rFonts w:cs="ＭＳ Ｐゴシック"/>
              </w:rPr>
            </w:pPr>
          </w:p>
        </w:tc>
        <w:tc>
          <w:tcPr>
            <w:tcW w:w="35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4</w:t>
            </w:r>
          </w:p>
        </w:tc>
        <w:tc>
          <w:tcPr>
            <w:tcW w:w="789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Anxiolytics and hypnotics are recommended</w:t>
            </w:r>
          </w:p>
        </w:tc>
        <w:tc>
          <w:tcPr>
            <w:tcW w:w="380" w:type="dxa"/>
            <w:gridSpan w:val="3"/>
            <w:vAlign w:val="center"/>
            <w:hideMark/>
          </w:tcPr>
          <w:p w:rsidR="00E76163" w:rsidRDefault="00E76163">
            <w:pPr>
              <w:widowControl/>
              <w:jc w:val="left"/>
              <w:rPr>
                <w:rFonts w:cs="ＭＳ Ｐゴシック"/>
              </w:rPr>
            </w:pPr>
          </w:p>
        </w:tc>
      </w:tr>
      <w:tr w:rsidR="00E76163" w:rsidTr="00E76163">
        <w:trPr>
          <w:gridAfter w:val="2"/>
          <w:wAfter w:w="42" w:type="dxa"/>
          <w:trHeight w:val="238"/>
        </w:trPr>
        <w:tc>
          <w:tcPr>
            <w:tcW w:w="454" w:type="dxa"/>
            <w:vAlign w:val="center"/>
            <w:hideMark/>
          </w:tcPr>
          <w:p w:rsidR="00E76163" w:rsidRDefault="00E76163">
            <w:pPr>
              <w:widowControl/>
              <w:jc w:val="left"/>
              <w:rPr>
                <w:rFonts w:cs="ＭＳ Ｐゴシック"/>
              </w:rPr>
            </w:pPr>
          </w:p>
        </w:tc>
        <w:tc>
          <w:tcPr>
            <w:tcW w:w="35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5</w:t>
            </w:r>
          </w:p>
        </w:tc>
        <w:tc>
          <w:tcPr>
            <w:tcW w:w="789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Antidepressants are not recommended when patients expect to receive psychotherapy</w:t>
            </w:r>
          </w:p>
        </w:tc>
        <w:tc>
          <w:tcPr>
            <w:tcW w:w="380" w:type="dxa"/>
            <w:gridSpan w:val="3"/>
            <w:vAlign w:val="center"/>
            <w:hideMark/>
          </w:tcPr>
          <w:p w:rsidR="00E76163" w:rsidRDefault="00E76163">
            <w:pPr>
              <w:widowControl/>
              <w:jc w:val="left"/>
              <w:rPr>
                <w:rFonts w:cs="ＭＳ Ｐゴシック"/>
              </w:rPr>
            </w:pPr>
          </w:p>
        </w:tc>
      </w:tr>
      <w:tr w:rsidR="00E76163" w:rsidTr="00E76163">
        <w:trPr>
          <w:gridAfter w:val="2"/>
          <w:wAfter w:w="42" w:type="dxa"/>
          <w:trHeight w:val="238"/>
        </w:trPr>
        <w:tc>
          <w:tcPr>
            <w:tcW w:w="454" w:type="dxa"/>
            <w:vAlign w:val="center"/>
            <w:hideMark/>
          </w:tcPr>
          <w:p w:rsidR="00E76163" w:rsidRDefault="00E76163">
            <w:pPr>
              <w:widowControl/>
              <w:jc w:val="left"/>
              <w:rPr>
                <w:rFonts w:cs="ＭＳ Ｐゴシック"/>
              </w:rPr>
            </w:pPr>
          </w:p>
        </w:tc>
        <w:tc>
          <w:tcPr>
            <w:tcW w:w="35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6</w:t>
            </w:r>
          </w:p>
        </w:tc>
        <w:tc>
          <w:tcPr>
            <w:tcW w:w="789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Antidepressant use should be avoided when patients have multiple depressive episodes</w:t>
            </w:r>
          </w:p>
        </w:tc>
        <w:tc>
          <w:tcPr>
            <w:tcW w:w="380" w:type="dxa"/>
            <w:gridSpan w:val="3"/>
            <w:vAlign w:val="center"/>
            <w:hideMark/>
          </w:tcPr>
          <w:p w:rsidR="00E76163" w:rsidRDefault="00E76163">
            <w:pPr>
              <w:widowControl/>
              <w:jc w:val="left"/>
              <w:rPr>
                <w:rFonts w:cs="ＭＳ Ｐゴシック"/>
              </w:rPr>
            </w:pPr>
          </w:p>
        </w:tc>
      </w:tr>
      <w:tr w:rsidR="00E76163" w:rsidTr="00E76163">
        <w:trPr>
          <w:gridAfter w:val="2"/>
          <w:wAfter w:w="42" w:type="dxa"/>
          <w:trHeight w:val="238"/>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35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7</w:t>
            </w:r>
          </w:p>
        </w:tc>
        <w:tc>
          <w:tcPr>
            <w:tcW w:w="7897" w:type="dxa"/>
            <w:gridSpan w:val="2"/>
            <w:hideMark/>
          </w:tcPr>
          <w:p w:rsidR="00E76163" w:rsidRDefault="00E76163">
            <w:pPr>
              <w:widowControl/>
              <w:rPr>
                <w:rFonts w:ascii="Arial" w:eastAsia="ＭＳ Ｐゴシック" w:hAnsi="Arial" w:cs="Arial"/>
                <w:color w:val="000000"/>
                <w:kern w:val="0"/>
                <w:sz w:val="18"/>
                <w:szCs w:val="18"/>
              </w:rPr>
            </w:pPr>
            <w:proofErr w:type="spellStart"/>
            <w:r>
              <w:rPr>
                <w:rFonts w:ascii="Arial" w:eastAsia="ＭＳ Ｐゴシック" w:hAnsi="Arial" w:cs="Arial"/>
                <w:color w:val="000000"/>
                <w:kern w:val="0"/>
                <w:sz w:val="18"/>
                <w:szCs w:val="18"/>
              </w:rPr>
              <w:t>Sulpiride</w:t>
            </w:r>
            <w:proofErr w:type="spellEnd"/>
            <w:r>
              <w:rPr>
                <w:rFonts w:ascii="Arial" w:eastAsia="ＭＳ Ｐゴシック" w:hAnsi="Arial" w:cs="Arial"/>
                <w:color w:val="000000"/>
                <w:kern w:val="0"/>
                <w:sz w:val="18"/>
                <w:szCs w:val="18"/>
              </w:rPr>
              <w:t xml:space="preserve"> is recommended for mild depression</w:t>
            </w:r>
          </w:p>
        </w:tc>
        <w:tc>
          <w:tcPr>
            <w:tcW w:w="380" w:type="dxa"/>
            <w:gridSpan w:val="3"/>
            <w:vAlign w:val="center"/>
            <w:hideMark/>
          </w:tcPr>
          <w:p w:rsidR="00E76163" w:rsidRDefault="00E76163">
            <w:pPr>
              <w:widowControl/>
              <w:jc w:val="left"/>
              <w:rPr>
                <w:rFonts w:cs="ＭＳ Ｐゴシック"/>
              </w:rPr>
            </w:pPr>
          </w:p>
        </w:tc>
      </w:tr>
      <w:tr w:rsidR="00E76163" w:rsidTr="00E76163">
        <w:trPr>
          <w:gridAfter w:val="2"/>
          <w:wAfter w:w="42" w:type="dxa"/>
          <w:trHeight w:val="198"/>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357" w:type="dxa"/>
            <w:gridSpan w:val="2"/>
          </w:tcPr>
          <w:p w:rsidR="00E76163" w:rsidRDefault="00E76163">
            <w:pPr>
              <w:widowControl/>
              <w:rPr>
                <w:rFonts w:ascii="Arial" w:eastAsia="ＭＳ Ｐゴシック" w:hAnsi="Arial" w:cs="Arial"/>
                <w:color w:val="000000"/>
                <w:kern w:val="0"/>
                <w:sz w:val="18"/>
                <w:szCs w:val="18"/>
              </w:rPr>
            </w:pPr>
          </w:p>
        </w:tc>
        <w:tc>
          <w:tcPr>
            <w:tcW w:w="7897" w:type="dxa"/>
            <w:gridSpan w:val="2"/>
          </w:tcPr>
          <w:p w:rsidR="00E76163" w:rsidRDefault="00E76163">
            <w:pPr>
              <w:widowControl/>
              <w:rPr>
                <w:rFonts w:ascii="Arial" w:eastAsia="ＭＳ Ｐゴシック" w:hAnsi="Arial" w:cs="Arial"/>
                <w:color w:val="000000"/>
                <w:kern w:val="0"/>
                <w:sz w:val="18"/>
                <w:szCs w:val="18"/>
              </w:rPr>
            </w:pPr>
          </w:p>
        </w:tc>
        <w:tc>
          <w:tcPr>
            <w:tcW w:w="380" w:type="dxa"/>
            <w:gridSpan w:val="3"/>
            <w:vAlign w:val="center"/>
          </w:tcPr>
          <w:p w:rsidR="00E76163" w:rsidRDefault="00E76163">
            <w:pPr>
              <w:widowControl/>
              <w:rPr>
                <w:rFonts w:ascii="Arial" w:eastAsia="ＭＳ Ｐゴシック" w:hAnsi="Arial" w:cs="Arial"/>
                <w:color w:val="000000"/>
                <w:kern w:val="0"/>
                <w:sz w:val="18"/>
                <w:szCs w:val="18"/>
              </w:rPr>
            </w:pPr>
          </w:p>
        </w:tc>
      </w:tr>
      <w:tr w:rsidR="00E76163" w:rsidTr="00E76163">
        <w:trPr>
          <w:gridAfter w:val="3"/>
          <w:wAfter w:w="68" w:type="dxa"/>
          <w:trHeight w:val="240"/>
        </w:trPr>
        <w:tc>
          <w:tcPr>
            <w:tcW w:w="8705" w:type="dxa"/>
            <w:gridSpan w:val="5"/>
            <w:vAlign w:val="center"/>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b/>
                <w:bCs/>
                <w:color w:val="000000"/>
                <w:kern w:val="0"/>
                <w:sz w:val="18"/>
                <w:szCs w:val="18"/>
              </w:rPr>
              <w:t>D. Recommended treatment for moderate/severe depression</w:t>
            </w:r>
          </w:p>
        </w:tc>
        <w:tc>
          <w:tcPr>
            <w:tcW w:w="357" w:type="dxa"/>
            <w:gridSpan w:val="2"/>
            <w:vAlign w:val="center"/>
          </w:tcPr>
          <w:p w:rsidR="00E76163" w:rsidRDefault="00E76163">
            <w:pPr>
              <w:widowControl/>
              <w:rPr>
                <w:rFonts w:ascii="Arial" w:eastAsia="ＭＳ Ｐゴシック" w:hAnsi="Arial" w:cs="Arial"/>
                <w:color w:val="000000"/>
                <w:kern w:val="0"/>
                <w:sz w:val="18"/>
                <w:szCs w:val="18"/>
              </w:rPr>
            </w:pPr>
          </w:p>
        </w:tc>
      </w:tr>
      <w:tr w:rsidR="00E76163" w:rsidTr="00E76163">
        <w:trPr>
          <w:gridAfter w:val="2"/>
          <w:wAfter w:w="42" w:type="dxa"/>
          <w:trHeight w:val="238"/>
        </w:trPr>
        <w:tc>
          <w:tcPr>
            <w:tcW w:w="454" w:type="dxa"/>
            <w:vAlign w:val="center"/>
          </w:tcPr>
          <w:p w:rsidR="00E76163" w:rsidRDefault="00E76163">
            <w:pPr>
              <w:widowControl/>
              <w:rPr>
                <w:rFonts w:ascii="Arial" w:eastAsia="ＭＳ Ｐゴシック" w:hAnsi="Arial" w:cs="Arial"/>
                <w:b/>
                <w:bCs/>
                <w:color w:val="000000"/>
                <w:kern w:val="0"/>
                <w:sz w:val="18"/>
                <w:szCs w:val="18"/>
              </w:rPr>
            </w:pPr>
          </w:p>
        </w:tc>
        <w:tc>
          <w:tcPr>
            <w:tcW w:w="35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1</w:t>
            </w:r>
          </w:p>
        </w:tc>
        <w:tc>
          <w:tcPr>
            <w:tcW w:w="789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Antidepressant monotherapy with adequate doses and duration</w:t>
            </w:r>
          </w:p>
        </w:tc>
        <w:tc>
          <w:tcPr>
            <w:tcW w:w="380" w:type="dxa"/>
            <w:gridSpan w:val="3"/>
            <w:vAlign w:val="center"/>
          </w:tcPr>
          <w:p w:rsidR="00E76163" w:rsidRDefault="00E76163">
            <w:pPr>
              <w:widowControl/>
              <w:rPr>
                <w:rFonts w:ascii="Arial" w:eastAsia="ＭＳ Ｐゴシック" w:hAnsi="Arial" w:cs="Arial"/>
                <w:color w:val="000000"/>
                <w:kern w:val="0"/>
                <w:sz w:val="18"/>
                <w:szCs w:val="18"/>
              </w:rPr>
            </w:pPr>
          </w:p>
        </w:tc>
      </w:tr>
      <w:tr w:rsidR="00E76163" w:rsidTr="00E76163">
        <w:trPr>
          <w:gridAfter w:val="2"/>
          <w:wAfter w:w="42" w:type="dxa"/>
          <w:trHeight w:val="238"/>
        </w:trPr>
        <w:tc>
          <w:tcPr>
            <w:tcW w:w="454" w:type="dxa"/>
            <w:vAlign w:val="center"/>
          </w:tcPr>
          <w:p w:rsidR="00E76163" w:rsidRDefault="00E76163">
            <w:pPr>
              <w:widowControl/>
              <w:rPr>
                <w:rFonts w:ascii="Arial" w:eastAsia="ＭＳ Ｐゴシック" w:hAnsi="Arial" w:cs="Arial"/>
                <w:b/>
                <w:bCs/>
                <w:color w:val="000000"/>
                <w:kern w:val="0"/>
                <w:sz w:val="18"/>
                <w:szCs w:val="18"/>
              </w:rPr>
            </w:pPr>
          </w:p>
        </w:tc>
        <w:tc>
          <w:tcPr>
            <w:tcW w:w="35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2</w:t>
            </w:r>
          </w:p>
        </w:tc>
        <w:tc>
          <w:tcPr>
            <w:tcW w:w="789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Combinations of antidepressants with adequate doses and duration</w:t>
            </w:r>
          </w:p>
        </w:tc>
        <w:tc>
          <w:tcPr>
            <w:tcW w:w="380" w:type="dxa"/>
            <w:gridSpan w:val="3"/>
            <w:vAlign w:val="center"/>
          </w:tcPr>
          <w:p w:rsidR="00E76163" w:rsidRDefault="00E76163">
            <w:pPr>
              <w:widowControl/>
              <w:rPr>
                <w:rFonts w:ascii="Arial" w:eastAsia="ＭＳ Ｐゴシック" w:hAnsi="Arial" w:cs="Arial"/>
                <w:color w:val="000000"/>
                <w:kern w:val="0"/>
                <w:sz w:val="18"/>
                <w:szCs w:val="18"/>
              </w:rPr>
            </w:pPr>
          </w:p>
        </w:tc>
      </w:tr>
      <w:tr w:rsidR="00E76163" w:rsidTr="00E76163">
        <w:trPr>
          <w:gridAfter w:val="2"/>
          <w:wAfter w:w="42" w:type="dxa"/>
          <w:trHeight w:val="238"/>
        </w:trPr>
        <w:tc>
          <w:tcPr>
            <w:tcW w:w="454" w:type="dxa"/>
            <w:vAlign w:val="center"/>
          </w:tcPr>
          <w:p w:rsidR="00E76163" w:rsidRDefault="00E76163">
            <w:pPr>
              <w:widowControl/>
              <w:rPr>
                <w:rFonts w:ascii="Arial" w:eastAsia="ＭＳ Ｐゴシック" w:hAnsi="Arial" w:cs="Arial"/>
                <w:b/>
                <w:bCs/>
                <w:color w:val="000000"/>
                <w:kern w:val="0"/>
                <w:sz w:val="18"/>
                <w:szCs w:val="18"/>
              </w:rPr>
            </w:pPr>
          </w:p>
        </w:tc>
        <w:tc>
          <w:tcPr>
            <w:tcW w:w="35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3</w:t>
            </w:r>
          </w:p>
        </w:tc>
        <w:tc>
          <w:tcPr>
            <w:tcW w:w="789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Combination of antidepressants and benzodiazepines or atypical antipsychotics with adequate doses and duration</w:t>
            </w: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238"/>
        </w:trPr>
        <w:tc>
          <w:tcPr>
            <w:tcW w:w="454" w:type="dxa"/>
            <w:vAlign w:val="center"/>
          </w:tcPr>
          <w:p w:rsidR="00E76163" w:rsidRDefault="00E76163">
            <w:pPr>
              <w:widowControl/>
              <w:rPr>
                <w:rFonts w:ascii="Arial" w:eastAsia="ＭＳ Ｐゴシック" w:hAnsi="Arial" w:cs="Arial"/>
                <w:b/>
                <w:bCs/>
                <w:color w:val="000000"/>
                <w:kern w:val="0"/>
                <w:sz w:val="18"/>
                <w:szCs w:val="18"/>
              </w:rPr>
            </w:pPr>
          </w:p>
        </w:tc>
        <w:tc>
          <w:tcPr>
            <w:tcW w:w="71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1579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238"/>
        </w:trPr>
        <w:tc>
          <w:tcPr>
            <w:tcW w:w="454" w:type="dxa"/>
            <w:vAlign w:val="center"/>
          </w:tcPr>
          <w:p w:rsidR="00E76163" w:rsidRDefault="00E76163">
            <w:pPr>
              <w:widowControl/>
              <w:rPr>
                <w:rFonts w:ascii="Arial" w:eastAsia="ＭＳ Ｐゴシック" w:hAnsi="Arial" w:cs="Arial"/>
                <w:b/>
                <w:bCs/>
                <w:color w:val="000000"/>
                <w:kern w:val="0"/>
                <w:sz w:val="18"/>
                <w:szCs w:val="18"/>
              </w:rPr>
            </w:pPr>
          </w:p>
        </w:tc>
        <w:tc>
          <w:tcPr>
            <w:tcW w:w="35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4</w:t>
            </w:r>
          </w:p>
        </w:tc>
        <w:tc>
          <w:tcPr>
            <w:tcW w:w="789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Modified electroconvulsive therapy</w:t>
            </w: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198"/>
        </w:trPr>
        <w:tc>
          <w:tcPr>
            <w:tcW w:w="454" w:type="dxa"/>
            <w:vAlign w:val="center"/>
          </w:tcPr>
          <w:p w:rsidR="00E76163" w:rsidRDefault="00E76163">
            <w:pPr>
              <w:widowControl/>
              <w:rPr>
                <w:rFonts w:ascii="Arial" w:eastAsia="ＭＳ Ｐゴシック" w:hAnsi="Arial" w:cs="Arial"/>
                <w:b/>
                <w:bCs/>
                <w:color w:val="000000"/>
                <w:kern w:val="0"/>
                <w:sz w:val="18"/>
                <w:szCs w:val="18"/>
              </w:rPr>
            </w:pPr>
          </w:p>
        </w:tc>
        <w:tc>
          <w:tcPr>
            <w:tcW w:w="357" w:type="dxa"/>
            <w:gridSpan w:val="2"/>
          </w:tcPr>
          <w:p w:rsidR="00E76163" w:rsidRDefault="00E76163">
            <w:pPr>
              <w:widowControl/>
              <w:rPr>
                <w:rFonts w:ascii="Arial" w:eastAsia="ＭＳ Ｐゴシック" w:hAnsi="Arial" w:cs="Arial"/>
                <w:color w:val="000000"/>
                <w:kern w:val="0"/>
                <w:sz w:val="18"/>
                <w:szCs w:val="18"/>
              </w:rPr>
            </w:pPr>
          </w:p>
        </w:tc>
        <w:tc>
          <w:tcPr>
            <w:tcW w:w="7897" w:type="dxa"/>
            <w:gridSpan w:val="2"/>
          </w:tcPr>
          <w:p w:rsidR="00E76163" w:rsidRDefault="00E76163">
            <w:pPr>
              <w:widowControl/>
              <w:rPr>
                <w:rFonts w:ascii="Arial" w:eastAsia="ＭＳ Ｐゴシック" w:hAnsi="Arial" w:cs="Arial"/>
                <w:color w:val="000000"/>
                <w:kern w:val="0"/>
                <w:sz w:val="18"/>
                <w:szCs w:val="18"/>
              </w:rPr>
            </w:pP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3"/>
          <w:wAfter w:w="68" w:type="dxa"/>
          <w:trHeight w:val="240"/>
        </w:trPr>
        <w:tc>
          <w:tcPr>
            <w:tcW w:w="8705" w:type="dxa"/>
            <w:gridSpan w:val="5"/>
            <w:vAlign w:val="center"/>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b/>
                <w:bCs/>
                <w:color w:val="000000"/>
                <w:kern w:val="0"/>
                <w:sz w:val="18"/>
                <w:szCs w:val="18"/>
              </w:rPr>
              <w:t>E. Recommended treatment for moderate/severe depression if necessary</w:t>
            </w:r>
          </w:p>
        </w:tc>
        <w:tc>
          <w:tcPr>
            <w:tcW w:w="357" w:type="dxa"/>
            <w:gridSpan w:val="2"/>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240"/>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35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1</w:t>
            </w:r>
          </w:p>
        </w:tc>
        <w:tc>
          <w:tcPr>
            <w:tcW w:w="789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Combination of antidepressants and benzodiazepines for a long period</w:t>
            </w: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240"/>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35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2</w:t>
            </w:r>
          </w:p>
        </w:tc>
        <w:tc>
          <w:tcPr>
            <w:tcW w:w="789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Combination of antidepressants and lithium or T3/T4 or atypical antipsychotics</w:t>
            </w: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240"/>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35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3</w:t>
            </w:r>
          </w:p>
        </w:tc>
        <w:tc>
          <w:tcPr>
            <w:tcW w:w="789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Combination of antidepressants and barbiturates or central nervous system stimulants</w:t>
            </w: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198"/>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357" w:type="dxa"/>
            <w:gridSpan w:val="2"/>
          </w:tcPr>
          <w:p w:rsidR="00E76163" w:rsidRDefault="00E76163">
            <w:pPr>
              <w:widowControl/>
              <w:rPr>
                <w:rFonts w:ascii="Arial" w:eastAsia="ＭＳ Ｐゴシック" w:hAnsi="Arial" w:cs="Arial"/>
                <w:color w:val="000000"/>
                <w:kern w:val="0"/>
                <w:sz w:val="18"/>
                <w:szCs w:val="18"/>
              </w:rPr>
            </w:pPr>
          </w:p>
        </w:tc>
        <w:tc>
          <w:tcPr>
            <w:tcW w:w="7897" w:type="dxa"/>
            <w:gridSpan w:val="2"/>
          </w:tcPr>
          <w:p w:rsidR="00E76163" w:rsidRDefault="00E76163">
            <w:pPr>
              <w:widowControl/>
              <w:rPr>
                <w:rFonts w:ascii="Arial" w:eastAsia="ＭＳ Ｐゴシック" w:hAnsi="Arial" w:cs="Arial"/>
                <w:color w:val="000000"/>
                <w:kern w:val="0"/>
                <w:sz w:val="18"/>
                <w:szCs w:val="18"/>
              </w:rPr>
            </w:pP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3"/>
          <w:wAfter w:w="68" w:type="dxa"/>
          <w:trHeight w:val="240"/>
        </w:trPr>
        <w:tc>
          <w:tcPr>
            <w:tcW w:w="8705" w:type="dxa"/>
            <w:gridSpan w:val="5"/>
            <w:vAlign w:val="center"/>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b/>
                <w:bCs/>
                <w:color w:val="000000"/>
                <w:kern w:val="0"/>
                <w:sz w:val="18"/>
                <w:szCs w:val="18"/>
              </w:rPr>
              <w:t>F. Management of psychotic depression</w:t>
            </w:r>
          </w:p>
        </w:tc>
        <w:tc>
          <w:tcPr>
            <w:tcW w:w="357" w:type="dxa"/>
            <w:gridSpan w:val="2"/>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240"/>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35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1</w:t>
            </w:r>
          </w:p>
        </w:tc>
        <w:tc>
          <w:tcPr>
            <w:tcW w:w="789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Monotherapy with antidepressants or antipsychotics is the first-choice strategy</w:t>
            </w: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240"/>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35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2</w:t>
            </w:r>
          </w:p>
        </w:tc>
        <w:tc>
          <w:tcPr>
            <w:tcW w:w="789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The combination of antidepressants and antipsychotics is recommended</w:t>
            </w: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240"/>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35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3</w:t>
            </w:r>
          </w:p>
        </w:tc>
        <w:tc>
          <w:tcPr>
            <w:tcW w:w="789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Modified electroconvulsive therapy is recommended</w:t>
            </w: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240"/>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35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4</w:t>
            </w:r>
          </w:p>
        </w:tc>
        <w:tc>
          <w:tcPr>
            <w:tcW w:w="789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Modified electroconvulsive therapy or use of benzodiazepines is effective for catatonic symptoms</w:t>
            </w: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198"/>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357" w:type="dxa"/>
            <w:gridSpan w:val="2"/>
          </w:tcPr>
          <w:p w:rsidR="00E76163" w:rsidRDefault="00E76163">
            <w:pPr>
              <w:widowControl/>
              <w:rPr>
                <w:rFonts w:ascii="Arial" w:eastAsia="ＭＳ Ｐゴシック" w:hAnsi="Arial" w:cs="Arial"/>
                <w:color w:val="000000"/>
                <w:kern w:val="0"/>
                <w:sz w:val="18"/>
                <w:szCs w:val="18"/>
              </w:rPr>
            </w:pPr>
          </w:p>
        </w:tc>
        <w:tc>
          <w:tcPr>
            <w:tcW w:w="7897" w:type="dxa"/>
            <w:gridSpan w:val="2"/>
          </w:tcPr>
          <w:p w:rsidR="00E76163" w:rsidRDefault="00E76163">
            <w:pPr>
              <w:widowControl/>
              <w:rPr>
                <w:rFonts w:ascii="Arial" w:eastAsia="ＭＳ Ｐゴシック" w:hAnsi="Arial" w:cs="Arial"/>
                <w:color w:val="000000"/>
                <w:kern w:val="0"/>
                <w:sz w:val="18"/>
                <w:szCs w:val="18"/>
              </w:rPr>
            </w:pP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3"/>
          <w:wAfter w:w="68" w:type="dxa"/>
          <w:trHeight w:val="240"/>
        </w:trPr>
        <w:tc>
          <w:tcPr>
            <w:tcW w:w="8705" w:type="dxa"/>
            <w:gridSpan w:val="5"/>
            <w:vAlign w:val="center"/>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b/>
                <w:bCs/>
                <w:color w:val="000000"/>
                <w:kern w:val="0"/>
                <w:sz w:val="18"/>
                <w:szCs w:val="18"/>
              </w:rPr>
              <w:t>G. Management of depression in children and adolescents</w:t>
            </w:r>
          </w:p>
        </w:tc>
        <w:tc>
          <w:tcPr>
            <w:tcW w:w="357" w:type="dxa"/>
            <w:gridSpan w:val="2"/>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238"/>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35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1</w:t>
            </w:r>
          </w:p>
        </w:tc>
        <w:tc>
          <w:tcPr>
            <w:tcW w:w="789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Psychosocial therapy is preferable to pharmacotherapy</w:t>
            </w: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238"/>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35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2</w:t>
            </w:r>
          </w:p>
        </w:tc>
        <w:tc>
          <w:tcPr>
            <w:tcW w:w="789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Environmental management, psychoeducation, supportive intervention, and family support are fundamental interventions that should be provided in all cases</w:t>
            </w: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238"/>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71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1579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238"/>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35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3</w:t>
            </w:r>
          </w:p>
        </w:tc>
        <w:tc>
          <w:tcPr>
            <w:tcW w:w="789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Tricyclic / tetracyclic antidepressants or benzodiazepines are recommended</w:t>
            </w: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238"/>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35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4</w:t>
            </w:r>
          </w:p>
        </w:tc>
        <w:tc>
          <w:tcPr>
            <w:tcW w:w="789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Escitalopram, sertraline, cognitive behavior therapy, or interpersonal therapy can be provided based on the patients’ needs</w:t>
            </w: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238"/>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71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1579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198"/>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357" w:type="dxa"/>
            <w:gridSpan w:val="2"/>
          </w:tcPr>
          <w:p w:rsidR="00E76163" w:rsidRDefault="00E76163">
            <w:pPr>
              <w:widowControl/>
              <w:rPr>
                <w:rFonts w:ascii="Arial" w:eastAsia="ＭＳ Ｐゴシック" w:hAnsi="Arial" w:cs="Arial"/>
                <w:color w:val="000000"/>
                <w:kern w:val="0"/>
                <w:sz w:val="18"/>
                <w:szCs w:val="18"/>
              </w:rPr>
            </w:pPr>
          </w:p>
        </w:tc>
        <w:tc>
          <w:tcPr>
            <w:tcW w:w="7897" w:type="dxa"/>
            <w:gridSpan w:val="2"/>
          </w:tcPr>
          <w:p w:rsidR="00E76163" w:rsidRDefault="00E76163">
            <w:pPr>
              <w:widowControl/>
              <w:rPr>
                <w:rFonts w:ascii="Arial" w:eastAsia="ＭＳ Ｐゴシック" w:hAnsi="Arial" w:cs="Arial"/>
                <w:color w:val="000000"/>
                <w:kern w:val="0"/>
                <w:sz w:val="18"/>
                <w:szCs w:val="18"/>
              </w:rPr>
            </w:pP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3"/>
          <w:wAfter w:w="68" w:type="dxa"/>
          <w:trHeight w:val="240"/>
        </w:trPr>
        <w:tc>
          <w:tcPr>
            <w:tcW w:w="8705" w:type="dxa"/>
            <w:gridSpan w:val="5"/>
            <w:vAlign w:val="center"/>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b/>
                <w:bCs/>
                <w:color w:val="000000"/>
                <w:kern w:val="0"/>
                <w:sz w:val="18"/>
                <w:szCs w:val="18"/>
              </w:rPr>
              <w:t>H. Management of sleep disorders associated with depression</w:t>
            </w:r>
          </w:p>
        </w:tc>
        <w:tc>
          <w:tcPr>
            <w:tcW w:w="357" w:type="dxa"/>
            <w:gridSpan w:val="2"/>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238"/>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35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1</w:t>
            </w:r>
          </w:p>
        </w:tc>
        <w:tc>
          <w:tcPr>
            <w:tcW w:w="7897" w:type="dxa"/>
            <w:gridSpan w:val="2"/>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Insomnia is very common (more than 80%) among depressed patients.</w:t>
            </w: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238"/>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35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2</w:t>
            </w:r>
          </w:p>
        </w:tc>
        <w:tc>
          <w:tcPr>
            <w:tcW w:w="789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Careful differential diagnosis is needed for the management of insomnia associated with depression considering the possible complications of primary sleep disorders</w:t>
            </w: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238"/>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71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1579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238"/>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35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3</w:t>
            </w:r>
          </w:p>
        </w:tc>
        <w:tc>
          <w:tcPr>
            <w:tcW w:w="789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Pharmacotherapy or (cognitive) behavior therapy for insomnia will be administered when sleep hygiene instructions do not work well for the management of insomnia associated with depression</w:t>
            </w: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238"/>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71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1579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238"/>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35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4</w:t>
            </w:r>
          </w:p>
        </w:tc>
        <w:tc>
          <w:tcPr>
            <w:tcW w:w="7897" w:type="dxa"/>
            <w:gridSpan w:val="2"/>
            <w:vMerge w:val="restart"/>
            <w:hideMark/>
          </w:tcPr>
          <w:p w:rsidR="00E76163" w:rsidRDefault="00E76163">
            <w:pPr>
              <w:widowControl/>
              <w:rPr>
                <w:rFonts w:ascii="Arial" w:eastAsia="ＭＳ Ｐゴシック" w:hAnsi="Arial" w:cs="Arial"/>
                <w:color w:val="000000"/>
                <w:kern w:val="0"/>
                <w:sz w:val="18"/>
                <w:szCs w:val="18"/>
              </w:rPr>
            </w:pPr>
            <w:r>
              <w:rPr>
                <w:rFonts w:ascii="Arial" w:eastAsia="ＭＳ Ｐゴシック" w:hAnsi="Arial" w:cs="Arial"/>
                <w:color w:val="000000"/>
                <w:kern w:val="0"/>
                <w:sz w:val="18"/>
                <w:szCs w:val="18"/>
              </w:rPr>
              <w:t xml:space="preserve">Barbiturates / </w:t>
            </w:r>
            <w:proofErr w:type="spellStart"/>
            <w:r>
              <w:rPr>
                <w:rFonts w:ascii="Arial" w:eastAsia="ＭＳ Ｐゴシック" w:hAnsi="Arial" w:cs="Arial"/>
                <w:color w:val="000000"/>
                <w:kern w:val="0"/>
                <w:sz w:val="18"/>
                <w:szCs w:val="18"/>
              </w:rPr>
              <w:t>nonbarbiturates</w:t>
            </w:r>
            <w:proofErr w:type="spellEnd"/>
            <w:r>
              <w:rPr>
                <w:rFonts w:ascii="Arial" w:eastAsia="ＭＳ Ｐゴシック" w:hAnsi="Arial" w:cs="Arial"/>
                <w:color w:val="000000"/>
                <w:kern w:val="0"/>
                <w:sz w:val="18"/>
                <w:szCs w:val="18"/>
              </w:rPr>
              <w:t xml:space="preserve"> are used for insomnia associated with depression, and central </w:t>
            </w:r>
            <w:r>
              <w:rPr>
                <w:rFonts w:ascii="Arial" w:eastAsia="ＭＳ Ｐゴシック" w:hAnsi="Arial" w:cs="Arial"/>
                <w:color w:val="000000"/>
                <w:kern w:val="0"/>
                <w:sz w:val="18"/>
                <w:szCs w:val="18"/>
              </w:rPr>
              <w:lastRenderedPageBreak/>
              <w:t>nervous system stimulants are used for hypersomnia associated with depression</w:t>
            </w: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238"/>
        </w:trPr>
        <w:tc>
          <w:tcPr>
            <w:tcW w:w="454" w:type="dxa"/>
            <w:vAlign w:val="center"/>
          </w:tcPr>
          <w:p w:rsidR="00E76163" w:rsidRDefault="00E76163">
            <w:pPr>
              <w:widowControl/>
              <w:jc w:val="left"/>
              <w:rPr>
                <w:rFonts w:ascii="Arial" w:eastAsia="ＭＳ Ｐゴシック" w:hAnsi="Arial" w:cs="Arial"/>
                <w:b/>
                <w:bCs/>
                <w:color w:val="000000"/>
                <w:kern w:val="0"/>
                <w:sz w:val="18"/>
                <w:szCs w:val="18"/>
              </w:rPr>
            </w:pPr>
          </w:p>
        </w:tc>
        <w:tc>
          <w:tcPr>
            <w:tcW w:w="71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15794" w:type="dxa"/>
            <w:gridSpan w:val="2"/>
            <w:vMerge/>
            <w:vAlign w:val="center"/>
            <w:hideMark/>
          </w:tcPr>
          <w:p w:rsidR="00E76163" w:rsidRDefault="00E76163">
            <w:pPr>
              <w:widowControl/>
              <w:jc w:val="left"/>
              <w:rPr>
                <w:rFonts w:ascii="Arial" w:eastAsia="ＭＳ Ｐゴシック" w:hAnsi="Arial" w:cs="Arial"/>
                <w:color w:val="000000"/>
                <w:kern w:val="0"/>
                <w:sz w:val="18"/>
                <w:szCs w:val="18"/>
              </w:rPr>
            </w:pPr>
          </w:p>
        </w:tc>
        <w:tc>
          <w:tcPr>
            <w:tcW w:w="380" w:type="dxa"/>
            <w:gridSpan w:val="3"/>
            <w:vAlign w:val="center"/>
          </w:tcPr>
          <w:p w:rsidR="00E76163" w:rsidRDefault="00E76163">
            <w:pPr>
              <w:widowControl/>
              <w:jc w:val="left"/>
              <w:rPr>
                <w:rFonts w:ascii="Arial" w:eastAsia="ＭＳ Ｐゴシック" w:hAnsi="Arial" w:cs="Arial"/>
                <w:color w:val="000000"/>
                <w:kern w:val="0"/>
                <w:sz w:val="18"/>
                <w:szCs w:val="18"/>
              </w:rPr>
            </w:pPr>
          </w:p>
        </w:tc>
      </w:tr>
      <w:tr w:rsidR="00E76163" w:rsidTr="00E76163">
        <w:trPr>
          <w:gridAfter w:val="2"/>
          <w:wAfter w:w="42" w:type="dxa"/>
          <w:trHeight w:val="198"/>
        </w:trPr>
        <w:tc>
          <w:tcPr>
            <w:tcW w:w="454" w:type="dxa"/>
            <w:tcBorders>
              <w:top w:val="nil"/>
              <w:left w:val="nil"/>
              <w:bottom w:val="single" w:sz="8" w:space="0" w:color="auto"/>
              <w:right w:val="nil"/>
            </w:tcBorders>
            <w:vAlign w:val="center"/>
            <w:hideMark/>
          </w:tcPr>
          <w:p w:rsidR="00E76163" w:rsidRDefault="00E76163">
            <w:pPr>
              <w:widowControl/>
              <w:jc w:val="left"/>
              <w:rPr>
                <w:rFonts w:cs="ＭＳ Ｐゴシック"/>
              </w:rPr>
            </w:pPr>
          </w:p>
        </w:tc>
        <w:tc>
          <w:tcPr>
            <w:tcW w:w="357" w:type="dxa"/>
            <w:gridSpan w:val="2"/>
            <w:tcBorders>
              <w:top w:val="nil"/>
              <w:left w:val="nil"/>
              <w:bottom w:val="single" w:sz="8" w:space="0" w:color="auto"/>
              <w:right w:val="nil"/>
            </w:tcBorders>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c>
          <w:tcPr>
            <w:tcW w:w="7897" w:type="dxa"/>
            <w:gridSpan w:val="2"/>
            <w:tcBorders>
              <w:top w:val="nil"/>
              <w:left w:val="nil"/>
              <w:bottom w:val="single" w:sz="8" w:space="0" w:color="auto"/>
              <w:right w:val="nil"/>
            </w:tcBorders>
            <w:vAlign w:val="center"/>
            <w:hideMark/>
          </w:tcPr>
          <w:p w:rsidR="00E76163" w:rsidRDefault="00E76163">
            <w:pPr>
              <w:widowControl/>
              <w:jc w:val="left"/>
              <w:rPr>
                <w:rFonts w:ascii="Arial" w:eastAsia="ＭＳ Ｐゴシック" w:hAnsi="Arial" w:cs="Arial"/>
                <w:color w:val="000000"/>
                <w:kern w:val="0"/>
                <w:sz w:val="18"/>
                <w:szCs w:val="18"/>
              </w:rPr>
            </w:pPr>
            <w:r>
              <w:rPr>
                <w:rFonts w:ascii="Arial" w:eastAsia="ＭＳ Ｐゴシック" w:hAnsi="Arial" w:cs="Arial" w:hint="eastAsia"/>
                <w:color w:val="000000"/>
                <w:kern w:val="0"/>
                <w:sz w:val="18"/>
                <w:szCs w:val="18"/>
              </w:rPr>
              <w:t xml:space="preserve">　</w:t>
            </w:r>
          </w:p>
        </w:tc>
        <w:tc>
          <w:tcPr>
            <w:tcW w:w="380" w:type="dxa"/>
            <w:gridSpan w:val="3"/>
            <w:tcBorders>
              <w:top w:val="nil"/>
              <w:left w:val="nil"/>
              <w:bottom w:val="single" w:sz="8" w:space="0" w:color="auto"/>
              <w:right w:val="nil"/>
            </w:tcBorders>
            <w:noWrap/>
            <w:vAlign w:val="bottom"/>
            <w:hideMark/>
          </w:tcPr>
          <w:p w:rsidR="00E76163" w:rsidRDefault="00E76163">
            <w:pPr>
              <w:widowControl/>
              <w:jc w:val="left"/>
              <w:rPr>
                <w:rFonts w:cs="ＭＳ Ｐゴシック"/>
              </w:rPr>
            </w:pPr>
          </w:p>
        </w:tc>
      </w:tr>
    </w:tbl>
    <w:p w:rsidR="00E76163" w:rsidRDefault="00E76163" w:rsidP="00E76163">
      <w:pPr>
        <w:rPr>
          <w:rFonts w:ascii="Arial" w:hAnsi="Arial" w:cs="Arial"/>
          <w:color w:val="000000"/>
        </w:rPr>
      </w:pPr>
    </w:p>
    <w:p w:rsidR="00E76163" w:rsidRDefault="00E76163" w:rsidP="00E76163">
      <w:pPr>
        <w:widowControl/>
        <w:jc w:val="left"/>
        <w:rPr>
          <w:rFonts w:ascii="Lucida Grande" w:hAnsi="Lucida Grande" w:cs="Lucida Grande"/>
          <w:color w:val="000000"/>
        </w:rPr>
      </w:pPr>
      <w:r>
        <w:rPr>
          <w:rFonts w:hint="eastAsia"/>
          <w:kern w:val="0"/>
        </w:rPr>
        <w:br w:type="page"/>
      </w:r>
    </w:p>
    <w:p w:rsidR="00CB4D6A" w:rsidRPr="00E76163" w:rsidRDefault="00CB4D6A"/>
    <w:sectPr w:rsidR="00CB4D6A" w:rsidRPr="00E76163">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Lucida Grande">
    <w:altName w:val="Segoe UI"/>
    <w:charset w:val="01"/>
    <w:family w:val="roman"/>
    <w:pitch w:val="variable"/>
  </w:font>
  <w:font w:name="ＭＳ ゴシック">
    <w:altName w:val="MS Gothic"/>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6163"/>
    <w:rsid w:val="00CB4D6A"/>
    <w:rsid w:val="00E761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616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616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5877579">
      <w:bodyDiv w:val="1"/>
      <w:marLeft w:val="0"/>
      <w:marRight w:val="0"/>
      <w:marTop w:val="0"/>
      <w:marBottom w:val="0"/>
      <w:divBdr>
        <w:top w:val="none" w:sz="0" w:space="0" w:color="auto"/>
        <w:left w:val="none" w:sz="0" w:space="0" w:color="auto"/>
        <w:bottom w:val="none" w:sz="0" w:space="0" w:color="auto"/>
        <w:right w:val="none" w:sz="0" w:space="0" w:color="auto"/>
      </w:divBdr>
    </w:div>
    <w:div w:id="1990208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1213</Words>
  <Characters>6916</Characters>
  <Application>Microsoft Office Word</Application>
  <DocSecurity>0</DocSecurity>
  <Lines>57</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Shusuke</dc:creator>
  <cp:lastModifiedBy>Shusuke</cp:lastModifiedBy>
  <cp:revision>1</cp:revision>
  <dcterms:created xsi:type="dcterms:W3CDTF">2020-09-11T10:24:00Z</dcterms:created>
  <dcterms:modified xsi:type="dcterms:W3CDTF">2020-09-11T10:27:00Z</dcterms:modified>
</cp:coreProperties>
</file>