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FE423" w14:textId="77777777" w:rsidR="00032B6D" w:rsidRPr="006E4346" w:rsidRDefault="00032B6D" w:rsidP="00032B6D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6C52AD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Extended Data </w:t>
      </w:r>
      <w:r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Table</w:t>
      </w:r>
      <w:r w:rsidRPr="006C52AD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1 | CMIP5 models used for the detection and attribution of RSL and ESL changes over the period 1900 to 2005</w:t>
      </w:r>
      <w:r>
        <w:rPr>
          <w:rFonts w:ascii="Times New Roman" w:hAnsi="Times New Roman" w:cs="Times New Roman"/>
          <w:color w:val="222222"/>
          <w:shd w:val="clear" w:color="auto" w:fill="FFFFFF"/>
        </w:rPr>
        <w:t>. Check marks indicate availability of historical and single-forcing experiments in different models, while Xs mark unavailability, in which case the respective experiment is derived from the difference of the other two experiments.</w:t>
      </w:r>
    </w:p>
    <w:tbl>
      <w:tblPr>
        <w:tblW w:w="822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180"/>
        <w:gridCol w:w="2016"/>
        <w:gridCol w:w="2016"/>
        <w:gridCol w:w="2016"/>
      </w:tblGrid>
      <w:tr w:rsidR="00032B6D" w:rsidRPr="006E4346" w14:paraId="6032C3BE" w14:textId="77777777" w:rsidTr="00BC14AB">
        <w:trPr>
          <w:trHeight w:val="312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5EFCBE4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Model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B6D8DA4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istorical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4DFC60A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Natural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67BD31F7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nthropogenic</w:t>
            </w:r>
          </w:p>
        </w:tc>
      </w:tr>
      <w:tr w:rsidR="00032B6D" w:rsidRPr="006E4346" w14:paraId="28FAE6BC" w14:textId="77777777" w:rsidTr="00BC14AB">
        <w:trPr>
          <w:trHeight w:val="288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68C4943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CNRM-CM5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EE33EC6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EEBE496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0AACF9E1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</w:tr>
      <w:tr w:rsidR="00032B6D" w:rsidRPr="006E4346" w14:paraId="0168A8C9" w14:textId="77777777" w:rsidTr="00BC14AB">
        <w:trPr>
          <w:trHeight w:val="288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728467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CSIRO-Mk3.6.0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04E2F8C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282D651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1064ADB5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</w:tr>
      <w:tr w:rsidR="00032B6D" w:rsidRPr="006E4346" w14:paraId="31B1342F" w14:textId="77777777" w:rsidTr="00BC14AB">
        <w:trPr>
          <w:trHeight w:val="294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71FEB0E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CanESM2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E894F3B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4B152ED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61C7310A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222222"/>
                <w:kern w:val="0"/>
                <w:sz w:val="22"/>
                <w:szCs w:val="22"/>
                <w14:ligatures w14:val="none"/>
              </w:rPr>
              <w:t>✘</w:t>
            </w:r>
          </w:p>
        </w:tc>
      </w:tr>
      <w:tr w:rsidR="00032B6D" w:rsidRPr="006E4346" w14:paraId="16F5430E" w14:textId="77777777" w:rsidTr="00BC14AB">
        <w:trPr>
          <w:trHeight w:val="288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62BC9F6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GISS-E2-R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8EFC8DF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1F9D911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19095B03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</w:tr>
      <w:tr w:rsidR="00032B6D" w:rsidRPr="006E4346" w14:paraId="532A1367" w14:textId="77777777" w:rsidTr="00BC14AB">
        <w:trPr>
          <w:trHeight w:val="288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A1A3611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IPSL-CM5A-LR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A991D0B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EFBF3EF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42C9CF7F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</w:tr>
      <w:tr w:rsidR="00032B6D" w:rsidRPr="006E4346" w14:paraId="0E417B6B" w14:textId="77777777" w:rsidTr="00BC14AB">
        <w:trPr>
          <w:trHeight w:val="294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0372F36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IPSL-CM5A-MR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01AE776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32E603A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752E5A0C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222222"/>
                <w:kern w:val="0"/>
                <w:sz w:val="22"/>
                <w:szCs w:val="22"/>
                <w14:ligatures w14:val="none"/>
              </w:rPr>
              <w:t>✘</w:t>
            </w:r>
          </w:p>
        </w:tc>
      </w:tr>
      <w:tr w:rsidR="00032B6D" w:rsidRPr="006E4346" w14:paraId="6662F9BA" w14:textId="77777777" w:rsidTr="00BC14AB">
        <w:trPr>
          <w:trHeight w:val="294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128717F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MIROC-ESM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796BC67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C675CA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24A19878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222222"/>
                <w:kern w:val="0"/>
                <w:sz w:val="22"/>
                <w:szCs w:val="22"/>
                <w14:ligatures w14:val="none"/>
              </w:rPr>
              <w:t>✘</w:t>
            </w:r>
          </w:p>
        </w:tc>
      </w:tr>
      <w:tr w:rsidR="00032B6D" w:rsidRPr="006E4346" w14:paraId="30DD0028" w14:textId="77777777" w:rsidTr="00BC14AB">
        <w:trPr>
          <w:trHeight w:val="294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E132F01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MIROC-ESM-CHEM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FF42C8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BB1D198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0FC26D05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222222"/>
                <w:kern w:val="0"/>
                <w:sz w:val="22"/>
                <w:szCs w:val="22"/>
                <w14:ligatures w14:val="none"/>
              </w:rPr>
              <w:t>✘</w:t>
            </w:r>
          </w:p>
        </w:tc>
      </w:tr>
      <w:tr w:rsidR="00032B6D" w:rsidRPr="006E4346" w14:paraId="044B1399" w14:textId="77777777" w:rsidTr="00BC14AB">
        <w:trPr>
          <w:trHeight w:val="294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95BBFDF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MRI-CGCM3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FDC9079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B9F5038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79D53B26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222222"/>
                <w:kern w:val="0"/>
                <w:sz w:val="22"/>
                <w:szCs w:val="22"/>
                <w14:ligatures w14:val="none"/>
              </w:rPr>
              <w:t>✘</w:t>
            </w:r>
          </w:p>
        </w:tc>
      </w:tr>
      <w:tr w:rsidR="00032B6D" w:rsidRPr="006E4346" w14:paraId="5502339A" w14:textId="77777777" w:rsidTr="00BC14AB">
        <w:trPr>
          <w:trHeight w:val="294"/>
          <w:jc w:val="center"/>
        </w:trPr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F3B928C" w14:textId="77777777" w:rsidR="00032B6D" w:rsidRPr="006E4346" w:rsidRDefault="00032B6D" w:rsidP="00BC1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NorESM1-M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B71E704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BB85C59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000000"/>
                <w:kern w:val="0"/>
                <w:sz w:val="22"/>
                <w:szCs w:val="22"/>
                <w14:ligatures w14:val="none"/>
              </w:rPr>
              <w:t>✔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0ABB7849" w14:textId="77777777" w:rsidR="00032B6D" w:rsidRPr="006E4346" w:rsidRDefault="00032B6D" w:rsidP="00BC1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kern w:val="0"/>
                <w:sz w:val="22"/>
                <w:szCs w:val="22"/>
                <w14:ligatures w14:val="none"/>
              </w:rPr>
            </w:pPr>
            <w:r w:rsidRPr="006E4346">
              <w:rPr>
                <w:rFonts w:ascii="Segoe UI Symbol" w:eastAsia="Times New Roman" w:hAnsi="Segoe UI Symbol" w:cs="Segoe UI Symbol"/>
                <w:color w:val="222222"/>
                <w:kern w:val="0"/>
                <w:sz w:val="22"/>
                <w:szCs w:val="22"/>
                <w14:ligatures w14:val="none"/>
              </w:rPr>
              <w:t>✘</w:t>
            </w:r>
          </w:p>
        </w:tc>
      </w:tr>
    </w:tbl>
    <w:p w14:paraId="508285CB" w14:textId="77777777" w:rsidR="00032B6D" w:rsidRDefault="00032B6D" w:rsidP="00032B6D">
      <w:pPr>
        <w:spacing w:line="480" w:lineRule="auto"/>
        <w:jc w:val="center"/>
        <w:rPr>
          <w:rFonts w:ascii="Times New Roman" w:eastAsia="Arial" w:hAnsi="Times New Roman" w:cs="Times New Roman"/>
          <w:kern w:val="1"/>
          <w:sz w:val="22"/>
          <w:lang w:eastAsia="ja-JP"/>
          <w14:ligatures w14:val="none"/>
        </w:rPr>
      </w:pPr>
    </w:p>
    <w:p w14:paraId="3A539756" w14:textId="77777777" w:rsidR="00032B6D" w:rsidRDefault="00032B6D" w:rsidP="00032B6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33E188DF" w14:textId="77777777" w:rsidR="00032B6D" w:rsidRPr="000A4F5E" w:rsidRDefault="00032B6D" w:rsidP="00032B6D">
      <w:pPr>
        <w:rPr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3479335A" wp14:editId="28B3C87B">
                <wp:extent cx="304800" cy="304800"/>
                <wp:effectExtent l="0" t="0" r="0" b="0"/>
                <wp:docPr id="370679879" name="Rectangl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52CF60" id="Rectangle 9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0A4F5E">
        <w:rPr>
          <w:rFonts w:ascii="Times New Roman" w:eastAsia="Times New Roman" w:hAnsi="Times New Roman" w:cs="Times New Roman"/>
          <w:kern w:val="0"/>
          <w:lang w:eastAsia="en-US"/>
          <w14:ligatures w14:val="none"/>
        </w:rPr>
        <w:t xml:space="preserve"> </w:t>
      </w:r>
      <w:r>
        <w:rPr>
          <w:noProof/>
          <w:sz w:val="22"/>
          <w:szCs w:val="22"/>
        </w:rPr>
        <w:drawing>
          <wp:inline distT="0" distB="0" distL="0" distR="0" wp14:anchorId="141EE6C9" wp14:editId="42FFF9AD">
            <wp:extent cx="4373889" cy="3118110"/>
            <wp:effectExtent l="0" t="0" r="7620" b="6350"/>
            <wp:docPr id="1810836774" name="Picture 5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836774" name="Picture 5" descr="A graph of different colored line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889" cy="311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CA98D" w14:textId="77777777" w:rsidR="00032B6D" w:rsidRDefault="00032B6D" w:rsidP="00032B6D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674669">
        <w:rPr>
          <w:rFonts w:ascii="Times New Roman" w:hAnsi="Times New Roman" w:cs="Times New Roman"/>
          <w:b/>
          <w:bCs/>
          <w:sz w:val="22"/>
          <w:szCs w:val="22"/>
        </w:rPr>
        <w:t>Extended Data Figure 2 | Correction Function for barystatic mass contributions simulated by CMIP5</w:t>
      </w:r>
      <w:r>
        <w:rPr>
          <w:rFonts w:ascii="Times New Roman" w:hAnsi="Times New Roman" w:cs="Times New Roman"/>
          <w:sz w:val="22"/>
          <w:szCs w:val="22"/>
        </w:rPr>
        <w:t>. The correction function is calculated from the ensemble mean difference between glacier and Greenland ice sheet mass balance from observations</w:t>
      </w:r>
      <w:r w:rsidRPr="00FB13A2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>
        <w:rPr>
          <w:rFonts w:ascii="Times New Roman" w:hAnsi="Times New Roman" w:cs="Times New Roman"/>
          <w:sz w:val="22"/>
          <w:szCs w:val="22"/>
        </w:rPr>
        <w:t xml:space="preserve"> and 10 CMIP5 model historical simulations</w:t>
      </w:r>
      <w:r w:rsidRPr="00FB13A2">
        <w:rPr>
          <w:rFonts w:ascii="Times New Roman" w:hAnsi="Times New Roman" w:cs="Times New Roman"/>
          <w:sz w:val="22"/>
          <w:szCs w:val="22"/>
          <w:vertAlign w:val="superscript"/>
        </w:rPr>
        <w:t>18,19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0E117E90" w14:textId="77777777" w:rsidR="00032B6D" w:rsidRDefault="00032B6D" w:rsidP="00032B6D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0BEA8E4D" wp14:editId="4C99CAA5">
            <wp:extent cx="5925324" cy="6297181"/>
            <wp:effectExtent l="0" t="0" r="0" b="8890"/>
            <wp:docPr id="1820455848" name="Picture 4" descr="A group of graphs showing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455848" name="Picture 4" descr="A group of graphs showing different types of data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324" cy="6297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102FF" w14:textId="77777777" w:rsidR="00032B6D" w:rsidRDefault="00032B6D" w:rsidP="00032B6D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7BB4CCF9">
        <w:rPr>
          <w:rFonts w:ascii="Times New Roman" w:hAnsi="Times New Roman" w:cs="Times New Roman"/>
          <w:b/>
          <w:bCs/>
          <w:sz w:val="22"/>
          <w:szCs w:val="22"/>
        </w:rPr>
        <w:t>Extended Data Figure 3 | Comparison of trends in ESLs and RSLs</w:t>
      </w:r>
      <w:r w:rsidRPr="7BB4CCF9">
        <w:rPr>
          <w:rFonts w:ascii="Times New Roman" w:hAnsi="Times New Roman" w:cs="Times New Roman"/>
          <w:sz w:val="22"/>
          <w:szCs w:val="22"/>
        </w:rPr>
        <w:t>. Shown are the time series of the 15-year moving 99.7</w:t>
      </w:r>
      <w:r w:rsidRPr="7BB4CCF9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7BB4CCF9">
        <w:rPr>
          <w:rFonts w:ascii="Times New Roman" w:hAnsi="Times New Roman" w:cs="Times New Roman"/>
          <w:sz w:val="22"/>
          <w:szCs w:val="22"/>
        </w:rPr>
        <w:t xml:space="preserve"> percentile of hourly sea-level records and the associated changes in observed and historically simulated CMIP5 RSL</w:t>
      </w:r>
      <w:r>
        <w:rPr>
          <w:rFonts w:ascii="Times New Roman" w:hAnsi="Times New Roman" w:cs="Times New Roman"/>
          <w:sz w:val="22"/>
          <w:szCs w:val="22"/>
        </w:rPr>
        <w:t xml:space="preserve"> (adjusted by a vertical offset to match the mean of the 99.7</w:t>
      </w:r>
      <w:r w:rsidRPr="007C64E3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>
        <w:rPr>
          <w:rFonts w:ascii="Times New Roman" w:hAnsi="Times New Roman" w:cs="Times New Roman"/>
          <w:sz w:val="22"/>
          <w:szCs w:val="22"/>
        </w:rPr>
        <w:t xml:space="preserve"> percentile over their overlapping period)</w:t>
      </w:r>
      <w:r w:rsidRPr="7BB4CCF9">
        <w:rPr>
          <w:rFonts w:ascii="Times New Roman" w:hAnsi="Times New Roman" w:cs="Times New Roman"/>
          <w:sz w:val="22"/>
          <w:szCs w:val="22"/>
        </w:rPr>
        <w:t xml:space="preserve"> at six selected sites</w:t>
      </w:r>
      <w:r>
        <w:rPr>
          <w:rFonts w:ascii="Times New Roman" w:hAnsi="Times New Roman" w:cs="Times New Roman"/>
          <w:sz w:val="22"/>
          <w:szCs w:val="22"/>
        </w:rPr>
        <w:t>:</w:t>
      </w:r>
      <w:r w:rsidRPr="7BB4CCF9">
        <w:rPr>
          <w:rFonts w:ascii="Times New Roman" w:hAnsi="Times New Roman" w:cs="Times New Roman"/>
          <w:sz w:val="22"/>
          <w:szCs w:val="22"/>
        </w:rPr>
        <w:t xml:space="preserve"> (</w:t>
      </w:r>
      <w:r w:rsidRPr="7BB4CCF9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Pr="7BB4CCF9">
        <w:rPr>
          <w:rFonts w:ascii="Times New Roman" w:hAnsi="Times New Roman" w:cs="Times New Roman"/>
          <w:sz w:val="22"/>
          <w:szCs w:val="22"/>
        </w:rPr>
        <w:t>) Juneau, Alaska, (</w:t>
      </w:r>
      <w:r w:rsidRPr="7BB4CCF9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Pr="7BB4CCF9">
        <w:rPr>
          <w:rFonts w:ascii="Times New Roman" w:hAnsi="Times New Roman" w:cs="Times New Roman"/>
          <w:sz w:val="22"/>
          <w:szCs w:val="22"/>
        </w:rPr>
        <w:t>) Galveston, Texas, (</w:t>
      </w:r>
      <w:r w:rsidRPr="7BB4CCF9">
        <w:rPr>
          <w:rFonts w:ascii="Times New Roman" w:hAnsi="Times New Roman" w:cs="Times New Roman"/>
          <w:b/>
          <w:bCs/>
          <w:sz w:val="22"/>
          <w:szCs w:val="22"/>
        </w:rPr>
        <w:t>c</w:t>
      </w:r>
      <w:r w:rsidRPr="7BB4CCF9">
        <w:rPr>
          <w:rFonts w:ascii="Times New Roman" w:hAnsi="Times New Roman" w:cs="Times New Roman"/>
          <w:sz w:val="22"/>
          <w:szCs w:val="22"/>
        </w:rPr>
        <w:t>), Alesund, Norway, (</w:t>
      </w:r>
      <w:r w:rsidRPr="7BB4CCF9">
        <w:rPr>
          <w:rFonts w:ascii="Times New Roman" w:hAnsi="Times New Roman" w:cs="Times New Roman"/>
          <w:b/>
          <w:bCs/>
          <w:sz w:val="22"/>
          <w:szCs w:val="22"/>
        </w:rPr>
        <w:t>d</w:t>
      </w:r>
      <w:r w:rsidRPr="7BB4CCF9">
        <w:rPr>
          <w:rFonts w:ascii="Times New Roman" w:hAnsi="Times New Roman" w:cs="Times New Roman"/>
          <w:sz w:val="22"/>
          <w:szCs w:val="22"/>
        </w:rPr>
        <w:t>) Wellington, New Zealand, (</w:t>
      </w:r>
      <w:r w:rsidRPr="7BB4CCF9">
        <w:rPr>
          <w:rFonts w:ascii="Times New Roman" w:hAnsi="Times New Roman" w:cs="Times New Roman"/>
          <w:b/>
          <w:bCs/>
          <w:sz w:val="22"/>
          <w:szCs w:val="22"/>
        </w:rPr>
        <w:t>e</w:t>
      </w:r>
      <w:r w:rsidRPr="7BB4CCF9">
        <w:rPr>
          <w:rFonts w:ascii="Times New Roman" w:hAnsi="Times New Roman" w:cs="Times New Roman"/>
          <w:sz w:val="22"/>
          <w:szCs w:val="22"/>
        </w:rPr>
        <w:t>) Pago Pago, American Samoa, (</w:t>
      </w:r>
      <w:r w:rsidRPr="7BB4CCF9"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Pr="7BB4CCF9">
        <w:rPr>
          <w:rFonts w:ascii="Times New Roman" w:hAnsi="Times New Roman" w:cs="Times New Roman"/>
          <w:sz w:val="22"/>
          <w:szCs w:val="22"/>
        </w:rPr>
        <w:t xml:space="preserve">) and Port Adelaide, Australia. </w:t>
      </w:r>
      <w:r w:rsidRPr="7BB4CCF9">
        <w:rPr>
          <w:rFonts w:ascii="Times New Roman" w:hAnsi="Times New Roman" w:cs="Times New Roman"/>
          <w:sz w:val="22"/>
          <w:szCs w:val="22"/>
        </w:rPr>
        <w:lastRenderedPageBreak/>
        <w:t>(</w:t>
      </w:r>
      <w:r w:rsidRPr="7BB4CCF9">
        <w:rPr>
          <w:rFonts w:ascii="Times New Roman" w:hAnsi="Times New Roman" w:cs="Times New Roman"/>
          <w:b/>
          <w:bCs/>
          <w:sz w:val="22"/>
          <w:szCs w:val="22"/>
        </w:rPr>
        <w:t>g</w:t>
      </w:r>
      <w:r w:rsidRPr="7BB4CCF9">
        <w:rPr>
          <w:rFonts w:ascii="Times New Roman" w:hAnsi="Times New Roman" w:cs="Times New Roman"/>
          <w:sz w:val="22"/>
          <w:szCs w:val="22"/>
        </w:rPr>
        <w:t>) shows the linear trends in the 99.7</w:t>
      </w:r>
      <w:r w:rsidRPr="7BB4CCF9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7BB4CCF9">
        <w:rPr>
          <w:rFonts w:ascii="Times New Roman" w:hAnsi="Times New Roman" w:cs="Times New Roman"/>
          <w:sz w:val="22"/>
          <w:szCs w:val="22"/>
        </w:rPr>
        <w:t xml:space="preserve"> percentile vs RSL at all sites. Grey shadings mark three sites Esbjerg, Wilmington, and Amderma, where significant differences between the trends exist.</w:t>
      </w: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034CE2AE" w14:textId="77777777" w:rsidR="00032B6D" w:rsidRDefault="00032B6D" w:rsidP="00032B6D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066F43A2" wp14:editId="2432D172">
            <wp:extent cx="5943600" cy="3973830"/>
            <wp:effectExtent l="0" t="0" r="0" b="7620"/>
            <wp:docPr id="737408056" name="Picture 4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408056" name="Picture 4" descr="A diagram of a graph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0F239" w14:textId="77777777" w:rsidR="00032B6D" w:rsidRPr="00BF38DB" w:rsidRDefault="00032B6D" w:rsidP="00032B6D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7BB4CCF9">
        <w:rPr>
          <w:rFonts w:ascii="Times New Roman" w:hAnsi="Times New Roman" w:cs="Times New Roman"/>
          <w:b/>
          <w:bCs/>
          <w:sz w:val="22"/>
          <w:szCs w:val="22"/>
        </w:rPr>
        <w:t xml:space="preserve">Extended Data Figure </w:t>
      </w:r>
      <w:r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7BB4CCF9">
        <w:rPr>
          <w:rFonts w:ascii="Times New Roman" w:hAnsi="Times New Roman" w:cs="Times New Roman"/>
          <w:b/>
          <w:bCs/>
          <w:sz w:val="22"/>
          <w:szCs w:val="22"/>
        </w:rPr>
        <w:t xml:space="preserve"> | </w:t>
      </w:r>
      <w:r>
        <w:rPr>
          <w:rFonts w:ascii="Times New Roman" w:hAnsi="Times New Roman" w:cs="Times New Roman"/>
          <w:b/>
          <w:bCs/>
          <w:sz w:val="22"/>
          <w:szCs w:val="22"/>
        </w:rPr>
        <w:t>Trends in non-stationary GPD parameters</w:t>
      </w:r>
      <w:r w:rsidRPr="7BB4CCF9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Shown are the trends in the two GPD parameters: shape (</w:t>
      </w:r>
      <w:r w:rsidRPr="000B73A2">
        <w:rPr>
          <w:rFonts w:ascii="Times New Roman" w:hAnsi="Times New Roman" w:cs="Times New Roman"/>
          <w:b/>
          <w:bCs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>), and scale (</w:t>
      </w:r>
      <w:r w:rsidRPr="000B73A2">
        <w:rPr>
          <w:rFonts w:ascii="Times New Roman" w:hAnsi="Times New Roman" w:cs="Times New Roman"/>
          <w:b/>
          <w:bCs/>
          <w:sz w:val="22"/>
          <w:szCs w:val="22"/>
        </w:rPr>
        <w:t>b</w:t>
      </w:r>
      <w:r>
        <w:rPr>
          <w:rFonts w:ascii="Times New Roman" w:hAnsi="Times New Roman" w:cs="Times New Roman"/>
          <w:sz w:val="22"/>
          <w:szCs w:val="22"/>
        </w:rPr>
        <w:t>). Error bars mark 95% confidence intervals. Grey shadings mark sites with statistically significant trends. Dashed lines mark the seven ocean basins with gauges used in this study.</w:t>
      </w:r>
    </w:p>
    <w:p w14:paraId="3F665F50" w14:textId="77777777" w:rsidR="00DE6AE2" w:rsidRDefault="00DE6AE2"/>
    <w:sectPr w:rsidR="00DE6AE2" w:rsidSect="00032B6D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862282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93BF68" w14:textId="77777777" w:rsidR="00032B6D" w:rsidRDefault="00032B6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22BE8B" w14:textId="77777777" w:rsidR="00032B6D" w:rsidRDefault="00032B6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B6D"/>
    <w:rsid w:val="00032B6D"/>
    <w:rsid w:val="00195413"/>
    <w:rsid w:val="003D0186"/>
    <w:rsid w:val="004416B0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B8968"/>
  <w15:chartTrackingRefBased/>
  <w15:docId w15:val="{4C98DFD5-E480-4AB5-810A-B9C22167D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B6D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2B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B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B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B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B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B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B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B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B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B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B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B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B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B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B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B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B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B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B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32B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B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32B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B6D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32B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B6D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032B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B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B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B6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32B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2B6D"/>
    <w:rPr>
      <w:rFonts w:eastAsiaTheme="minorEastAsia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032B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289</Words>
  <Characters>1633</Characters>
  <Application>Microsoft Office Word</Application>
  <DocSecurity>0</DocSecurity>
  <Lines>24</Lines>
  <Paragraphs>7</Paragraphs>
  <ScaleCrop>false</ScaleCrop>
  <Company>Springer Nature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2025-11-07T10:16:00Z</dcterms:created>
  <dcterms:modified xsi:type="dcterms:W3CDTF">2025-11-07T10:17:00Z</dcterms:modified>
</cp:coreProperties>
</file>