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12AF4" w14:textId="77777777" w:rsidR="003F2E5A" w:rsidRDefault="003F2E5A" w:rsidP="003F2E5A">
      <w:pPr>
        <w:jc w:val="center"/>
        <w:rPr>
          <w:b/>
          <w:bCs/>
          <w:u w:val="single"/>
        </w:rPr>
      </w:pPr>
      <w:r>
        <w:rPr>
          <w:b/>
          <w:bCs/>
          <w:u w:val="single"/>
        </w:rPr>
        <w:t>Case Study A</w:t>
      </w:r>
    </w:p>
    <w:p w14:paraId="7329928D" w14:textId="77777777" w:rsidR="003F2E5A" w:rsidRPr="001A6F7D" w:rsidRDefault="003F2E5A" w:rsidP="003F2E5A">
      <w:pPr>
        <w:jc w:val="center"/>
        <w:rPr>
          <w:b/>
          <w:bCs/>
          <w:u w:val="single"/>
        </w:rPr>
      </w:pPr>
      <w:r>
        <w:rPr>
          <w:b/>
          <w:bCs/>
          <w:u w:val="single"/>
        </w:rPr>
        <w:t>Nurse-Led, Community Trust in the East of England</w:t>
      </w:r>
    </w:p>
    <w:p w14:paraId="1CE8291B" w14:textId="77777777" w:rsidR="003F2E5A" w:rsidRDefault="003F2E5A" w:rsidP="003F2E5A">
      <w:pPr>
        <w:rPr>
          <w:b/>
          <w:bCs/>
        </w:rPr>
      </w:pPr>
    </w:p>
    <w:p w14:paraId="117DAA48" w14:textId="77777777" w:rsidR="003F2E5A" w:rsidRPr="00D21F46" w:rsidRDefault="003F2E5A" w:rsidP="003F2E5A">
      <w:pPr>
        <w:rPr>
          <w:b/>
          <w:bCs/>
        </w:rPr>
      </w:pPr>
      <w:r>
        <w:rPr>
          <w:b/>
          <w:bCs/>
        </w:rPr>
        <w:t>Structure and Content</w:t>
      </w:r>
    </w:p>
    <w:p w14:paraId="1CFA4BD9" w14:textId="4B01E0C7" w:rsidR="003F2E5A" w:rsidRPr="00137AFD" w:rsidRDefault="003F2E5A" w:rsidP="003F2E5A">
      <w:r w:rsidRPr="00137AFD">
        <w:t xml:space="preserve">Case </w:t>
      </w:r>
      <w:r>
        <w:t>A</w:t>
      </w:r>
      <w:r w:rsidRPr="00137AFD">
        <w:t xml:space="preserve"> describes a </w:t>
      </w:r>
      <w:r>
        <w:t>six-month review (</w:t>
      </w:r>
      <w:r w:rsidRPr="00137AFD">
        <w:t>6MR</w:t>
      </w:r>
      <w:r>
        <w:t>)</w:t>
      </w:r>
      <w:r w:rsidRPr="00137AFD">
        <w:t xml:space="preserve"> service delivered by a Community NHS Trust based in the East of England. </w:t>
      </w:r>
      <w:r>
        <w:t xml:space="preserve">The 6MR is outsourced to them via the local Acute Trust, creating an intermediary between the providers and the commissioners. </w:t>
      </w:r>
      <w:r w:rsidRPr="00137AFD">
        <w:t xml:space="preserve">The service is </w:t>
      </w:r>
      <w:r>
        <w:t>provided by</w:t>
      </w:r>
      <w:r w:rsidRPr="00137AFD">
        <w:t xml:space="preserve"> three stroke specialist nurses (two Band 7s and one Band 6) who</w:t>
      </w:r>
      <w:r>
        <w:t xml:space="preserve"> are embedded within the Early Supported Discharge (ESD) team. They have</w:t>
      </w:r>
      <w:r w:rsidRPr="00137AFD">
        <w:t xml:space="preserve"> an administrat</w:t>
      </w:r>
      <w:r>
        <w:t>or</w:t>
      </w:r>
      <w:r w:rsidRPr="00137AFD">
        <w:t xml:space="preserve"> who organises </w:t>
      </w:r>
      <w:r>
        <w:t xml:space="preserve">schedules and </w:t>
      </w:r>
      <w:r w:rsidRPr="00137AFD">
        <w:t xml:space="preserve">appointments. </w:t>
      </w:r>
      <w:r>
        <w:t xml:space="preserve">As a service, they have been delivering 6MRs for over 10 years. </w:t>
      </w:r>
      <w:r w:rsidRPr="00137AFD">
        <w:t>The</w:t>
      </w:r>
      <w:r>
        <w:t xml:space="preserve">y </w:t>
      </w:r>
      <w:r w:rsidRPr="00137AFD">
        <w:t>operate a ‘choose and book’ system whereby stroke survivors are sent an invitation to the 6MR and are instructed to make contact to book their appointment. Service users are given the option to have their appointments via telephone or face-to-face</w:t>
      </w:r>
      <w:r>
        <w:t xml:space="preserve"> either</w:t>
      </w:r>
      <w:r w:rsidRPr="00137AFD">
        <w:t xml:space="preserve"> in a clinic setting or within their own homes. Virtual appointments were previous</w:t>
      </w:r>
      <w:r>
        <w:t>ly</w:t>
      </w:r>
      <w:r w:rsidRPr="00137AFD">
        <w:t xml:space="preserve"> offered but </w:t>
      </w:r>
      <w:r>
        <w:t xml:space="preserve">this was stopped </w:t>
      </w:r>
      <w:r w:rsidRPr="00137AFD">
        <w:t>due to poor uptake. Some stroke survivors are sent scheduled appointments for a home visit. This is typically in case</w:t>
      </w:r>
      <w:r>
        <w:t>s</w:t>
      </w:r>
      <w:r w:rsidRPr="00137AFD">
        <w:t xml:space="preserve"> whe</w:t>
      </w:r>
      <w:r>
        <w:t>re</w:t>
      </w:r>
      <w:r w:rsidRPr="00137AFD">
        <w:t xml:space="preserve"> there were concerns that the stroke survivor may not be able to engage with the opt-in process, such as </w:t>
      </w:r>
      <w:r>
        <w:t xml:space="preserve">those </w:t>
      </w:r>
      <w:r w:rsidRPr="00137AFD">
        <w:t>in nursing homes or those with aphasia.</w:t>
      </w:r>
    </w:p>
    <w:p w14:paraId="493C8671" w14:textId="551653FF" w:rsidR="003F2E5A" w:rsidRDefault="003F2E5A" w:rsidP="003F2E5A">
      <w:r>
        <w:t xml:space="preserve">Prior to the 6MR appointment, service users are sent a ‘priming tool’ which includes a list of potential topics they may wish to discuss at the appointment. This allows the stroke survivor time to consider their current areas of concern or most pressing needs prior to the appointment, rather than attending the 6MR appointment unsure what will be discussed. The staff noticed this method improved the efficiency and effectiveness of the 6MR, increasing the agency of the stroke survivor. The 6MR appointment is directed by the stroke survivor, allowing them to discuss whichever area is most important to them. The topics on the priming tool are used as prompts to guide the conversation should the stroke survivor require it. Following the 6MR appointment, a letter detailing the outcome of the review is sent to the individual and their </w:t>
      </w:r>
      <w:r>
        <w:t>General Practitioner (</w:t>
      </w:r>
      <w:r>
        <w:t>GP</w:t>
      </w:r>
      <w:r>
        <w:t>)</w:t>
      </w:r>
      <w:r>
        <w:t xml:space="preserve">. The nurses are able to make direct onward referrals but there is a degree of variation with regards to what services are available in the different areas they cover. For example, the lack of ability to access psychology was an example of a gap within local service provision. This service had previously been available but funding was removed, therefore the proceeding gap was more apparent. Another identified gap was the ability to refer patients back in to specialist rehabilitation services, instead, having to rely on generic community rehabilitation teams. </w:t>
      </w:r>
    </w:p>
    <w:p w14:paraId="31FE8940" w14:textId="77777777" w:rsidR="003F2E5A" w:rsidRDefault="003F2E5A" w:rsidP="003F2E5A">
      <w:r>
        <w:t>Where possible, the providers aimed to minimise onward referrals to the GP, showing an awareness of wanting to limit the impact they had on other parts of the pathway. This was supported by the ideology that they saw themselves as more expert in dealing with the sequelae of stroke and therefore better placed to meet the needs of patients, compared with a GP who potentially had less knowledge on the impact of stroke and less awareness of the available local services.</w:t>
      </w:r>
    </w:p>
    <w:p w14:paraId="0CE41AD2" w14:textId="77777777" w:rsidR="003F2E5A" w:rsidRDefault="003F2E5A" w:rsidP="003F2E5A"/>
    <w:p w14:paraId="25E5911B" w14:textId="77777777" w:rsidR="003F2E5A" w:rsidRPr="00D35B17" w:rsidRDefault="003F2E5A" w:rsidP="003F2E5A">
      <w:pPr>
        <w:rPr>
          <w:b/>
          <w:bCs/>
        </w:rPr>
      </w:pPr>
      <w:r>
        <w:rPr>
          <w:b/>
          <w:bCs/>
        </w:rPr>
        <w:t>Local Context</w:t>
      </w:r>
    </w:p>
    <w:p w14:paraId="72FC6FBA" w14:textId="77777777" w:rsidR="003F2E5A" w:rsidRDefault="003F2E5A" w:rsidP="003F2E5A">
      <w:r>
        <w:t xml:space="preserve">The 6MR service in Case A covers a very large geographical area serving a population of approximately 662,000. The area served is classified as largely rural, but this rural area has a more densely populated city at its core. Whilst public transport is sufficient within the city, transport links </w:t>
      </w:r>
      <w:r>
        <w:lastRenderedPageBreak/>
        <w:t xml:space="preserve">are more limited outside in the rural areas. From these areas, travel costs to healthcare appointments can be very expensive and time-consuming. </w:t>
      </w:r>
    </w:p>
    <w:p w14:paraId="5957383E" w14:textId="77777777" w:rsidR="003F2E5A" w:rsidRDefault="003F2E5A" w:rsidP="003F2E5A">
      <w:r>
        <w:t xml:space="preserve">The area has a mixed level of deprivation with some parts being within the range of most deprived areas within the country, and other parts being in the least deprived. Further consolidating the socioeconomic impact of accessing healthcare, these deprived areas tended to be within the most rural areas, furthest away from hospitals. </w:t>
      </w:r>
    </w:p>
    <w:p w14:paraId="02157E2A" w14:textId="77777777" w:rsidR="003F2E5A" w:rsidRDefault="003F2E5A" w:rsidP="003F2E5A">
      <w:r>
        <w:t xml:space="preserve">The population has less ethnic diversity comparative to the national averages. Those identifying as ‘White’ make up 94% of the local population (compared with 81% nationally). Similarly, 91% were born in the UK (compared to 83% nationally). The local age profile is shifted to the older population with a higher than average population in all age bands from 55 years old and up. The 6MR service in Case A report having little time to collect data on the demographics of those who take up the offer of the 6MR and those who decline it, therefore it is not possible to identify if non-uptake of the 6MR is linked to any particular demographic. This presents a potential unknown health inequality. An example of this is in the case of non-English speakers. Staff reflected that the non-English stroke survivors who had accessed the 6MR were usually already known to the team, having gone through ESD. This, therefore, raises the question whether non-English speakers who didn’t have access to ESD had difficulty accessing the 6MR. </w:t>
      </w:r>
    </w:p>
    <w:p w14:paraId="0D95CA5B" w14:textId="77777777" w:rsidR="003F2E5A" w:rsidRDefault="003F2E5A" w:rsidP="003F2E5A">
      <w:r>
        <w:t>The delivery of 6MR is viewed as a regional priority. Staff are encourage to collect and report their data into the local network (though staff did not routinely prioritise data collection). Externally, regional leaders have observed a gradual shift from a focus solely on acute services to now having an equal consideration for stroke rehabilitation. However, providers did not feel that the 6MR was viewed as a priority internally. They reported feeling that as long as key targets were achieved they were left to manage themselves. Whilst the staff described dismay and frustration at this, there were also benefits. The team have had free reign to develop their service as they see fit with little interference from management.</w:t>
      </w:r>
    </w:p>
    <w:p w14:paraId="4680C846" w14:textId="77777777" w:rsidR="003F2E5A" w:rsidRDefault="003F2E5A" w:rsidP="003F2E5A">
      <w:r>
        <w:t xml:space="preserve">The team regularly collect and submit data to the Sentinel Stroke National Audit Programme (SSNAP) but they are not driven by it. SSNAP is something that the team are committed to inputting data to but if they do not feel the data collected for SSNAP adds value to the patient’s experience then it is excluded from the individual’s review. </w:t>
      </w:r>
    </w:p>
    <w:p w14:paraId="558FED49" w14:textId="77777777" w:rsidR="003F2E5A" w:rsidRDefault="003F2E5A" w:rsidP="003F2E5A"/>
    <w:p w14:paraId="0D8EEAC8" w14:textId="77777777" w:rsidR="003F2E5A" w:rsidRPr="00597478" w:rsidRDefault="003F2E5A" w:rsidP="003F2E5A">
      <w:pPr>
        <w:rPr>
          <w:b/>
          <w:bCs/>
        </w:rPr>
      </w:pPr>
      <w:r>
        <w:rPr>
          <w:b/>
          <w:bCs/>
        </w:rPr>
        <w:t>System Integration</w:t>
      </w:r>
      <w:r w:rsidRPr="00BE4FB3">
        <w:rPr>
          <w:b/>
          <w:bCs/>
        </w:rPr>
        <w:t xml:space="preserve"> </w:t>
      </w:r>
      <w:r>
        <w:rPr>
          <w:b/>
          <w:bCs/>
        </w:rPr>
        <w:t>and Service Evolution</w:t>
      </w:r>
    </w:p>
    <w:p w14:paraId="3ED1A54A" w14:textId="77777777" w:rsidR="003F2E5A" w:rsidRDefault="003F2E5A" w:rsidP="003F2E5A">
      <w:r>
        <w:t>The 6MR service benefits from linking closely with other services. Being embedded within the ESD service provides an increased awareness of the stroke survivors they may interact with. This may be through directly meeting the patient in ESD, or indirectly through information provision between team members. Similarly, maintaining links with local rehabilitation services allows the provision of information pertaining to patients who may go directly to a nursing home. These close links are emphasised through the use of shared IT systems between services that enable all of the information regarding an individual to be found in one place. This has clear efficiency savings for the provider, but service users also described a positive experience whereby they valued how much the provider knew about them (e.g., blood test results, dates of future appointment).</w:t>
      </w:r>
    </w:p>
    <w:p w14:paraId="0BBEEF4A" w14:textId="77777777" w:rsidR="003F2E5A" w:rsidRDefault="003F2E5A" w:rsidP="003F2E5A">
      <w:r>
        <w:t xml:space="preserve">Staff have implemented a gradual change in the content of the review since inception. Initially, the 6MR delivery was based around a checklist, following a standardised format. Over the years, as the nurses have become more knowledgeable and confident in their abilities, there has been a shift to a </w:t>
      </w:r>
      <w:r>
        <w:lastRenderedPageBreak/>
        <w:t xml:space="preserve">more nuanced, adaptable and patient-led focus of the review. The team have become adept at ‘thinking on their feet’ and more readily have the solutions to issues rather than necessitating an onward referral. </w:t>
      </w:r>
    </w:p>
    <w:p w14:paraId="36EE9079" w14:textId="77777777" w:rsidR="003F2E5A" w:rsidRDefault="003F2E5A" w:rsidP="003F2E5A">
      <w:r>
        <w:t xml:space="preserve">Similarly, the structure of the service has also adapted over time. Initially, stroke survivors would be sent an appointment to attend a clinic. However, the uptake of the 6MR using this method was poor, and given the geographical and economic barriers already discussed, the service gradually morphed into one that had in-built flexibility and patient-choice, allowing an improvement in uptake. The ability to evolve in this way was perhaps enabled by the aforementioned lack of managerial oversight. Adaptations of this nature were guided by the team’s shared ethos of ensuring the patient is at the heart of everything they do. </w:t>
      </w:r>
    </w:p>
    <w:p w14:paraId="79293A56" w14:textId="77777777" w:rsidR="003F2E5A" w:rsidRPr="004E0547" w:rsidRDefault="003F2E5A" w:rsidP="003F2E5A"/>
    <w:p w14:paraId="0DECA92A" w14:textId="77777777" w:rsidR="003F2E5A" w:rsidRDefault="003F2E5A" w:rsidP="003F2E5A">
      <w:pPr>
        <w:jc w:val="center"/>
        <w:rPr>
          <w:b/>
          <w:bCs/>
          <w:u w:val="single"/>
        </w:rPr>
      </w:pPr>
    </w:p>
    <w:p w14:paraId="002E026C" w14:textId="77777777" w:rsidR="003F2E5A" w:rsidRDefault="003F2E5A" w:rsidP="003F2E5A">
      <w:pPr>
        <w:jc w:val="center"/>
        <w:rPr>
          <w:b/>
          <w:bCs/>
          <w:u w:val="single"/>
        </w:rPr>
      </w:pPr>
    </w:p>
    <w:p w14:paraId="66409B91" w14:textId="77777777" w:rsidR="003F2E5A" w:rsidRDefault="003F2E5A">
      <w:pPr>
        <w:rPr>
          <w:b/>
          <w:bCs/>
          <w:u w:val="single"/>
        </w:rPr>
      </w:pPr>
      <w:r>
        <w:rPr>
          <w:b/>
          <w:bCs/>
          <w:u w:val="single"/>
        </w:rPr>
        <w:br w:type="page"/>
      </w:r>
    </w:p>
    <w:p w14:paraId="6D666498" w14:textId="1759ACA3" w:rsidR="003F2E5A" w:rsidRDefault="003F2E5A" w:rsidP="003F2E5A">
      <w:pPr>
        <w:jc w:val="center"/>
        <w:rPr>
          <w:b/>
          <w:bCs/>
          <w:u w:val="single"/>
        </w:rPr>
      </w:pPr>
      <w:r>
        <w:rPr>
          <w:b/>
          <w:bCs/>
          <w:u w:val="single"/>
        </w:rPr>
        <w:lastRenderedPageBreak/>
        <w:t>Case Study B</w:t>
      </w:r>
    </w:p>
    <w:p w14:paraId="0C2E0C97" w14:textId="77777777" w:rsidR="003F2E5A" w:rsidRPr="001A6F7D" w:rsidRDefault="003F2E5A" w:rsidP="003F2E5A">
      <w:pPr>
        <w:jc w:val="center"/>
        <w:rPr>
          <w:b/>
          <w:bCs/>
          <w:u w:val="single"/>
        </w:rPr>
      </w:pPr>
      <w:r>
        <w:rPr>
          <w:b/>
          <w:bCs/>
          <w:u w:val="single"/>
        </w:rPr>
        <w:t>Multi-disciplinary, Acute NHS Trust in the South East of England</w:t>
      </w:r>
    </w:p>
    <w:p w14:paraId="5DA5A996" w14:textId="77777777" w:rsidR="003F2E5A" w:rsidRDefault="003F2E5A" w:rsidP="003F2E5A"/>
    <w:p w14:paraId="3767CA31" w14:textId="77777777" w:rsidR="003F2E5A" w:rsidRDefault="003F2E5A" w:rsidP="003F2E5A">
      <w:pPr>
        <w:rPr>
          <w:b/>
          <w:bCs/>
        </w:rPr>
      </w:pPr>
      <w:r>
        <w:rPr>
          <w:b/>
          <w:bCs/>
        </w:rPr>
        <w:t>Structure and Content</w:t>
      </w:r>
    </w:p>
    <w:p w14:paraId="23C48674" w14:textId="3F2806C2" w:rsidR="003F2E5A" w:rsidRDefault="003F2E5A" w:rsidP="003F2E5A">
      <w:r w:rsidRPr="00F71746">
        <w:t>Case B describes a 6MR</w:t>
      </w:r>
      <w:r>
        <w:t xml:space="preserve"> service in the South East, delivered by a multi-disciplinary team embedded within an ESD team. The vast majority of 6MRs are carried out as telephone consultations, however, some reviews are done face-to-face if the clinical need arises (i.e. patients with aphasia). The team have an administrator who contacts patients to schedule appointments for the clinicians. Patients are sent a letter explaining what will happen at the review. The letter also provides a list of potential problems they may wish to discuss and advises them to take their blood pressure on the morning of the review so that it can be recorded at the review.</w:t>
      </w:r>
    </w:p>
    <w:p w14:paraId="4566E303" w14:textId="77777777" w:rsidR="003F2E5A" w:rsidRPr="00F71746" w:rsidRDefault="003F2E5A" w:rsidP="003F2E5A">
      <w:r>
        <w:t>Previously, a member of the multi-disciplinary team who best knew the patient would carry out the 6MR. However, this became cumbersome and inefficient to organise. More recently a system was put in place whereby the responsibility of 6MRs was placed solely on the Band 6 Occupational Therapist within the team. This shift in practice has allowed them to protect allocated time to undertake 6MRs in one morning on a weekly basis, rather than trying to fit in around other clinical work.</w:t>
      </w:r>
    </w:p>
    <w:p w14:paraId="171FBFE3" w14:textId="77777777" w:rsidR="003F2E5A" w:rsidRDefault="003F2E5A" w:rsidP="003F2E5A">
      <w:r>
        <w:t>The service only carries out the 6MR for those patients who have been through their ESD service. However, as the Trust covers a footprint that spans three counties, there are variations in this depending on the patients address. For example, patients who have been through ESD but reside in one of the counties are seen by a third sector organisation for their 6MR. Additionally, non-ESD patients are typically seen by a nurse-led clinic within the same Trust. The sharing of this 6MR delivery does not appear to have over-arching co-ordination, and participants described incidences whereby some patients have been invited to multiple 6MRs. They also expressed a concern that some patients may be inadvertently missed, with no system in place to flag this should it occur.</w:t>
      </w:r>
    </w:p>
    <w:p w14:paraId="38111A1E" w14:textId="61329CDD" w:rsidR="003F2E5A" w:rsidRDefault="003F2E5A" w:rsidP="003F2E5A">
      <w:r>
        <w:t xml:space="preserve">The review process uses an adapted version of the </w:t>
      </w:r>
      <w:r>
        <w:t>Greater Manchester Stroke Assessment Tool (</w:t>
      </w:r>
      <w:r w:rsidRPr="79250896">
        <w:rPr>
          <w:rFonts w:ascii="Calibri" w:eastAsia="Calibri" w:hAnsi="Calibri" w:cs="Calibri"/>
          <w:lang w:val="en-US"/>
        </w:rPr>
        <w:t>GM-SAT©</w:t>
      </w:r>
      <w:r>
        <w:rPr>
          <w:rFonts w:ascii="Calibri" w:eastAsia="Calibri" w:hAnsi="Calibri" w:cs="Calibri"/>
          <w:lang w:val="en-US"/>
        </w:rPr>
        <w:t>)</w:t>
      </w:r>
      <w:r>
        <w:t>. This format is also used as the layout for a letter which is sent to the GP and the patient. The letter provides a summary of the key findings and recommendations for the GP to action. Providers view the 6MR as the last point of input within their care pathway and, therefore, the onus of onward actions (such as referrals) is handed over to the GP. However, staff report that they may sometimes complete the referrals themselves if the impact on their time is minimal. They highlight that a potential downside to handing over the referral process to the GP is that there is no feedback on whether the recommendations have been actioned. Instead, they are reliant on the patient to raise issues again if referrals are not made.</w:t>
      </w:r>
    </w:p>
    <w:p w14:paraId="0323C2A6" w14:textId="77777777" w:rsidR="003F2E5A" w:rsidRDefault="003F2E5A" w:rsidP="003F2E5A"/>
    <w:p w14:paraId="0DEF144D" w14:textId="77777777" w:rsidR="003F2E5A" w:rsidRPr="000B079F" w:rsidRDefault="003F2E5A" w:rsidP="003F2E5A">
      <w:pPr>
        <w:rPr>
          <w:b/>
          <w:bCs/>
        </w:rPr>
      </w:pPr>
      <w:r w:rsidRPr="00B2513C">
        <w:rPr>
          <w:b/>
          <w:bCs/>
        </w:rPr>
        <w:t>Local Context</w:t>
      </w:r>
    </w:p>
    <w:p w14:paraId="27EA9815" w14:textId="77777777" w:rsidR="003F2E5A" w:rsidRPr="00177F65" w:rsidRDefault="003F2E5A" w:rsidP="003F2E5A">
      <w:r w:rsidRPr="00177F65">
        <w:t>The geographical area covered by the service in Case B is a predominantly urbani</w:t>
      </w:r>
      <w:r>
        <w:t>s</w:t>
      </w:r>
      <w:r w:rsidRPr="00177F65">
        <w:t>ed region with a population of approximately 439,000. It is a well-established commuter area, with a workforce that includes a higher-than-average proportion of people in managerial and professional roles. Reflecting this, the region is among the least deprived in the country. The area also has a higher</w:t>
      </w:r>
      <w:r>
        <w:t xml:space="preserve"> proportion</w:t>
      </w:r>
      <w:r w:rsidRPr="00177F65">
        <w:t xml:space="preserve"> of residents aged 35–60</w:t>
      </w:r>
      <w:r>
        <w:t xml:space="preserve"> years compared with national averages</w:t>
      </w:r>
      <w:r w:rsidRPr="00177F65">
        <w:t>, aligning with its professional and commuter demographic.</w:t>
      </w:r>
    </w:p>
    <w:p w14:paraId="6DD91A65" w14:textId="77777777" w:rsidR="003F2E5A" w:rsidRDefault="003F2E5A" w:rsidP="003F2E5A">
      <w:r>
        <w:lastRenderedPageBreak/>
        <w:t>The area has a largely ‘White’ population with 86% identifying with this ethnicity (compared to 81% nationally). However, there is also a significant Nepali population in the local area. Providers identified that this ethnic group had reduced rates of uptake of the 6MR. The reasons for this reduced uptake were assumed to be due to a high number of non-English speakers. Letters were translated into Nepali in an attempt to overcome the language barrier, but to little effect. Ultimately, the team now pass all Nepali patients to the non-ESD 6MR service where one of the nurses undertakes the 6MR in Nepali. Whilst this has no doubt improved the accessibility for this patient group, it has required the addition of another criteria with which to stratify patients into the different 6MR services within the area.</w:t>
      </w:r>
    </w:p>
    <w:p w14:paraId="3CD67A72" w14:textId="77777777" w:rsidR="003F2E5A" w:rsidRDefault="003F2E5A" w:rsidP="003F2E5A">
      <w:r>
        <w:t>Across the system, the provision of 6MRs does not appear to be viewed as a priority area, with other, more pressing, areas of focus such as increasing the offer of rehab intensity. Additionally, there was a sentiment that a disconnect existed between commissioners and 6MR providers within the region. It was highlighted that more scrutiny and interest was placed on 6MRs when a CQUIN, and, therefore, funding, was attached to its delivery. When the CQUIN was removed, interest and oversight of the 6MR waned.</w:t>
      </w:r>
    </w:p>
    <w:p w14:paraId="0B2434AB" w14:textId="77777777" w:rsidR="003F2E5A" w:rsidRDefault="003F2E5A" w:rsidP="003F2E5A">
      <w:r>
        <w:t>Internally, when providers are faced with competing demands, the 6MR can be seen as an expendable element of the wider service provision. Understandably, providers in Case B tend to reallocate capacity when other areas of the pathway are stretched. The 6MR was viewed as an aspect of the pathway that had some flexibility partly because the requirements for reporting on SSNAP allow a three-month window, therefore, there was less comparative pressure to complete. However, this also appeared to be guided by the ethos driving the delivery of 6MR. It seemed to be viewed as an aspect of the pathway the staff are told to deliver due to SSNAP and national guidelines, but less value is attached to it than other aspects of the providers’ work. At times, this led providers to feel like the process became somewhat of a tick-box exercise.</w:t>
      </w:r>
    </w:p>
    <w:p w14:paraId="07054204" w14:textId="77777777" w:rsidR="003F2E5A" w:rsidRDefault="003F2E5A" w:rsidP="003F2E5A"/>
    <w:p w14:paraId="6FC24846" w14:textId="77777777" w:rsidR="003F2E5A" w:rsidRPr="00597478" w:rsidRDefault="003F2E5A" w:rsidP="003F2E5A">
      <w:pPr>
        <w:rPr>
          <w:b/>
          <w:bCs/>
        </w:rPr>
      </w:pPr>
      <w:r>
        <w:rPr>
          <w:b/>
          <w:bCs/>
        </w:rPr>
        <w:t>System Integration</w:t>
      </w:r>
      <w:r w:rsidRPr="00BE4FB3">
        <w:rPr>
          <w:b/>
          <w:bCs/>
        </w:rPr>
        <w:t xml:space="preserve"> </w:t>
      </w:r>
      <w:r>
        <w:rPr>
          <w:b/>
          <w:bCs/>
        </w:rPr>
        <w:t>and Service Evolution</w:t>
      </w:r>
    </w:p>
    <w:p w14:paraId="0B5BA7CF" w14:textId="77777777" w:rsidR="003F2E5A" w:rsidRDefault="003F2E5A" w:rsidP="003F2E5A">
      <w:r>
        <w:t>The key driving force for service delivery was around efficiency. This may have been in response to a doubling of the demand on the service in recent years. Over time, the service in Case B have made a number of changes to their service to optimise the time available to their staff and achieve targets. Provider’s highlighted that their Trust was very target-driven, and this ethos appeared to have filtered down into the 6MR service.</w:t>
      </w:r>
    </w:p>
    <w:p w14:paraId="564165C6" w14:textId="77777777" w:rsidR="003F2E5A" w:rsidRDefault="003F2E5A" w:rsidP="003F2E5A">
      <w:r>
        <w:t>The shift to a mostly telephone-based service is a key example of this efficiency-drive. Staff initially switched to this model during the COVID-19 pandemic when patient-facing interventions were limited. Providers noted that this felt like a better use of their time, which outweighed any potential added gains from face-to-face reviews. This method was reinforced by a perceived acceptance by the service users. However, service users in the current study reported mixed opinions to the telephone review, some reporting it was acceptable and avoided a visit to the hospital, and others highlighting concern that certain aspects may have been missed. Providers also expressed some concerns that they may miss certain aspects of the assessment and highlighted the potential that patients may downplay their issues when on the telephone.</w:t>
      </w:r>
    </w:p>
    <w:p w14:paraId="25EA31E6" w14:textId="77777777" w:rsidR="003F2E5A" w:rsidRDefault="003F2E5A" w:rsidP="003F2E5A">
      <w:r>
        <w:t xml:space="preserve">Using telephone reviews as the dominant method of review presents a potential health inequality. Those service users with minimal impairments following their stroke seemed content with the 6MR process. Those with more complicated unmet needs described a desire to be seen in person, feeling that providers may be able to advise them more effectively if they could see the patient. Stroke </w:t>
      </w:r>
      <w:r>
        <w:lastRenderedPageBreak/>
        <w:t>survivors in nursing homes are another group who potentially do not get as much out of the 6MR as other service users. Providers reported that 6MRs with this group are usually done via a proxy such as a relative or a nurse, bringing into question how accessible this method is for the patient.</w:t>
      </w:r>
    </w:p>
    <w:p w14:paraId="24891DA5" w14:textId="77777777" w:rsidR="003F2E5A" w:rsidRDefault="003F2E5A" w:rsidP="003F2E5A">
      <w:r>
        <w:t>The 6MR service benefits from being embedded within the wider pathway. Providers have instant access to a patient’s history and appointments through their online systems. Service users report recognising and appreciating this aspect as they feel reassured that the provider knows about them in detail. Providers also have access to other healthcare professionals who they can ask for advice should the need arise. The providers view the fact they are embedded within ESD as a major strength and as an aspect that allows the telephone service to work. They report staff doing such a thorough job in ESD that it leaves patients with minimal needs at the 6MR. Additionally, they reported that they were less likely to suggest onward referrals as they already know what has and hasn’t worked for their patients. In some instances, this was certainly the case and patients were left happy and reassured. But, at other times, the stroke survivor experienced a feeling that the 6MR was a data collection exercise for the provider and they were left wanting more.</w:t>
      </w:r>
    </w:p>
    <w:p w14:paraId="46C76466" w14:textId="77777777" w:rsidR="003F2E5A" w:rsidRDefault="003F2E5A" w:rsidP="003F2E5A"/>
    <w:p w14:paraId="6414DC67" w14:textId="77777777" w:rsidR="003F2E5A" w:rsidRDefault="003F2E5A" w:rsidP="003F2E5A"/>
    <w:p w14:paraId="46507307" w14:textId="77777777" w:rsidR="003F2E5A" w:rsidRDefault="003F2E5A" w:rsidP="003F2E5A"/>
    <w:p w14:paraId="392D0C7D" w14:textId="77777777" w:rsidR="003F2E5A" w:rsidRDefault="003F2E5A">
      <w:pPr>
        <w:rPr>
          <w:b/>
          <w:bCs/>
          <w:u w:val="single"/>
        </w:rPr>
      </w:pPr>
      <w:r>
        <w:rPr>
          <w:b/>
          <w:bCs/>
          <w:u w:val="single"/>
        </w:rPr>
        <w:br w:type="page"/>
      </w:r>
    </w:p>
    <w:p w14:paraId="3F11F79F" w14:textId="579CE5E9" w:rsidR="003F2E5A" w:rsidRDefault="003F2E5A" w:rsidP="003F2E5A">
      <w:pPr>
        <w:jc w:val="center"/>
        <w:rPr>
          <w:b/>
          <w:bCs/>
          <w:u w:val="single"/>
        </w:rPr>
      </w:pPr>
      <w:r>
        <w:rPr>
          <w:b/>
          <w:bCs/>
          <w:u w:val="single"/>
        </w:rPr>
        <w:lastRenderedPageBreak/>
        <w:t>Case Study C</w:t>
      </w:r>
    </w:p>
    <w:p w14:paraId="2F5562AF" w14:textId="77777777" w:rsidR="003F2E5A" w:rsidRPr="001A6F7D" w:rsidRDefault="003F2E5A" w:rsidP="003F2E5A">
      <w:pPr>
        <w:jc w:val="center"/>
        <w:rPr>
          <w:b/>
          <w:bCs/>
          <w:u w:val="single"/>
        </w:rPr>
      </w:pPr>
      <w:r>
        <w:rPr>
          <w:b/>
          <w:bCs/>
          <w:u w:val="single"/>
        </w:rPr>
        <w:t>Third Sector Organisation in the North West of England</w:t>
      </w:r>
    </w:p>
    <w:p w14:paraId="79B797D5" w14:textId="77777777" w:rsidR="003F2E5A" w:rsidRDefault="003F2E5A" w:rsidP="003F2E5A"/>
    <w:p w14:paraId="1348B26E" w14:textId="77777777" w:rsidR="003F2E5A" w:rsidRPr="00D21F46" w:rsidRDefault="003F2E5A" w:rsidP="003F2E5A">
      <w:pPr>
        <w:rPr>
          <w:b/>
          <w:bCs/>
        </w:rPr>
      </w:pPr>
      <w:r>
        <w:rPr>
          <w:b/>
          <w:bCs/>
        </w:rPr>
        <w:t>Structure and Content</w:t>
      </w:r>
    </w:p>
    <w:p w14:paraId="66F1D6BD" w14:textId="77777777" w:rsidR="003F2E5A" w:rsidRDefault="003F2E5A" w:rsidP="003F2E5A">
      <w:r>
        <w:t>Case C describes a 6MR service delivered by a third sector organisation in the North West. The 6MR forms one aspect of a wider post-stroke support service that is personalised to the stroke survivor’s needs. This service enables the stroke survivor to contact the team as and when required with a more formalised contact in the form of the 6MR. This service is provided by three stroke co-ordinators who do not have clinical backgrounds. However, members of staff do go through an extensive training programme that includes stroke-specific knowledge and strategies for post-stroke support, communication and coaching skills rooted in a person-centred approach, and training focused on supporting emotional well-being and adjustment.</w:t>
      </w:r>
    </w:p>
    <w:p w14:paraId="66C7F403" w14:textId="77777777" w:rsidR="003F2E5A" w:rsidRDefault="003F2E5A" w:rsidP="003F2E5A">
      <w:r>
        <w:t xml:space="preserve">The service receives approximately 15-25 referrals per month. The team manage this caseload by each stroke co-ordinator being responsible for their ‘patch’ (a third of the overall area covered). This reduces the need for travel time. However, there is flexibility in this depending on an individual’s current caseload and staff frequently cross-cover. The 6MRs are typically done as home visits or telephone appointments. There is the availability for virtual appointments, though this option is rarely used. Appointments are arranged following an initial phone call to discuss the most suitable method for the individual. In care homes, appointments were typically made without the involvement of the stroke survivor and information was gathered from care home staff instead. </w:t>
      </w:r>
    </w:p>
    <w:p w14:paraId="1FE911C0" w14:textId="77777777" w:rsidR="003F2E5A" w:rsidRDefault="003F2E5A" w:rsidP="003F2E5A">
      <w:r>
        <w:t>Reviews follow a semi-structured approach based around the GM-SAT. Certain aspects are aimed at ensuring the correct data is collected for SSNAP purposes, though this information is not necessarily used by the service provider to make decisions about the stroke survivor’s care. The stroke co-ordinators aim to focus the reviews on what matters to the stroke survivor and tailor questions from the assessment tool around this. However, they are limited in terms of what actions they are able to take in response to clinical or medical queries from the stroke survivor. The staff are reliant on referring to GP services for certain aspects of care and are required to adhere to strict pathways in the absence of autonomous clinical decision-making.</w:t>
      </w:r>
    </w:p>
    <w:p w14:paraId="4B5AB37D" w14:textId="77777777" w:rsidR="003F2E5A" w:rsidRDefault="003F2E5A" w:rsidP="003F2E5A"/>
    <w:p w14:paraId="71A499D9" w14:textId="77777777" w:rsidR="003F2E5A" w:rsidRDefault="003F2E5A" w:rsidP="003F2E5A">
      <w:pPr>
        <w:rPr>
          <w:b/>
          <w:bCs/>
        </w:rPr>
      </w:pPr>
      <w:r>
        <w:rPr>
          <w:b/>
          <w:bCs/>
        </w:rPr>
        <w:t>Local Context</w:t>
      </w:r>
    </w:p>
    <w:p w14:paraId="52AF190F" w14:textId="77777777" w:rsidR="003F2E5A" w:rsidRDefault="003F2E5A" w:rsidP="003F2E5A">
      <w:r w:rsidRPr="00F200FF">
        <w:t>The area served</w:t>
      </w:r>
      <w:r>
        <w:t xml:space="preserve"> by this service is a mixture of rural and urban towns, with a main town at its core surrounded by smaller, suburban towns and villages. Road networks are relatively good, supporting the service model focused primarily on home visits. When individuals lived on the outskirts of the area, there was a preference from service providers to do telephone appointments, if appropriate for the stroke survivor, to reduce requirements for travel time.</w:t>
      </w:r>
    </w:p>
    <w:p w14:paraId="22613EC6" w14:textId="77777777" w:rsidR="003F2E5A" w:rsidRDefault="003F2E5A" w:rsidP="003F2E5A">
      <w:r>
        <w:t xml:space="preserve">The population of the area covered is approximately 328,300. Local age profiles show a higher than average population in all age bands from 55 years and up.  The ethnicity profile of the area has limited diversity with 95% of the population identifying as ‘White’ (compared to 81% nationally). Similarly, 92% of the local population were born in the UK (compared to 83% nationally). There are areas of higher deprivation within the main town but, overall, there are low levels of deprivation in the area served, with 52% of households not deprived in any dimension (compared with 48% nationally). Only 1% of the local population cannot speak English well or at all. The limited  6MR </w:t>
      </w:r>
      <w:r>
        <w:lastRenderedPageBreak/>
        <w:t>service reports good links with interpreter services and also use family members to support communication for non-English speakers.</w:t>
      </w:r>
    </w:p>
    <w:p w14:paraId="07B2021B" w14:textId="77777777" w:rsidR="003F2E5A" w:rsidRDefault="003F2E5A" w:rsidP="003F2E5A">
      <w:r>
        <w:t>The regional political landscape was difficult to ascertain at Site C. Despite trying multiple routes, it was not possible to recruit regional leaders who worked within the NHS hierarchy. Informal discussions during recruitment highlighted that there was a level of unrest within leadership positions and a potential restructuring occurring at the time of the case study. There did not appear to be a direct impact of this uncertainty on the third sector 6MR service that was studied. However, the consequences of this on the study were that there was a gap in understanding the regional priority level of the 6MR and the perspectives of regional leaders regarding the current provision of 6MR services.</w:t>
      </w:r>
    </w:p>
    <w:p w14:paraId="530786EC" w14:textId="77777777" w:rsidR="003F2E5A" w:rsidRDefault="003F2E5A" w:rsidP="003F2E5A"/>
    <w:p w14:paraId="62CFDFA7" w14:textId="77777777" w:rsidR="003F2E5A" w:rsidRPr="00597478" w:rsidRDefault="003F2E5A" w:rsidP="003F2E5A">
      <w:pPr>
        <w:rPr>
          <w:b/>
          <w:bCs/>
        </w:rPr>
      </w:pPr>
      <w:r>
        <w:rPr>
          <w:b/>
          <w:bCs/>
        </w:rPr>
        <w:t>System Integration</w:t>
      </w:r>
      <w:r w:rsidRPr="00BE4FB3">
        <w:rPr>
          <w:b/>
          <w:bCs/>
        </w:rPr>
        <w:t xml:space="preserve"> </w:t>
      </w:r>
      <w:r>
        <w:rPr>
          <w:b/>
          <w:bCs/>
        </w:rPr>
        <w:t>and Service Evolution</w:t>
      </w:r>
    </w:p>
    <w:p w14:paraId="5BC3F44A" w14:textId="77777777" w:rsidR="003F2E5A" w:rsidRDefault="003F2E5A" w:rsidP="003F2E5A">
      <w:r>
        <w:t>Providers at Site C see the 6MR as the part of post-stroke care that is formalised for the requirements of reporting to SSNAP and for satisfying commissioners. Consequently, it is prioritised over other aspects of the post-stroke support service, especially during times when there is a mismatch in capacity and demand. However, historically, the 6MR was embedded within a package of post-stroke support that included different groups and routine checks after discharge from hospital. In these circumstances, providers felt they had a greater awareness of individuals’ progress and specific needs, increasing the likelihood that they may resolve issues prior to the 6MR. Unfortunately, as demand grew in the context of funding constraints there was a need to reduce the provision of group activity and the number of co-ordinators.</w:t>
      </w:r>
    </w:p>
    <w:p w14:paraId="077FA6EF" w14:textId="77777777" w:rsidR="003F2E5A" w:rsidRDefault="003F2E5A" w:rsidP="003F2E5A">
      <w:r>
        <w:t>The service has built strong links with NHS teams, regularly attending multidisciplinary team meetings to better understand the needs of stroke survivors who will be entering their service. These links also enable an ease of referrals into the service and minimise the risk that some stroke survivors are missed. This is further supported through access to integrated digital platforms, allowing the providers to check the status of ongoing input and onward referrals. They use this system to check that referrals they make have been actioned. Providers also contact service users following the 6MR to check on the outcomes of the 6MR. This gives the providers an opportunity to take further steps if referrals have not been actioned or if needs remain unmet.</w:t>
      </w:r>
    </w:p>
    <w:p w14:paraId="4733CF74" w14:textId="77777777" w:rsidR="003F2E5A" w:rsidRDefault="003F2E5A" w:rsidP="003F2E5A">
      <w:r w:rsidRPr="00030022">
        <w:t>The providers at Site C aim to ensure that stroke survivors receive a personalised service, grounded in the belief that no issue is too small and every unmet need matters. They note that resolving even minor issues can make a significant difference to the individual, and that simple interventions</w:t>
      </w:r>
      <w:r>
        <w:t xml:space="preserve"> (</w:t>
      </w:r>
      <w:r w:rsidRPr="00030022">
        <w:t>such as a single referral</w:t>
      </w:r>
      <w:r>
        <w:t>)</w:t>
      </w:r>
      <w:r w:rsidRPr="00030022">
        <w:t xml:space="preserve"> can sometimes trigger a positive domino effect. However, the long-term sustainability of this ethos remains uncertain in the context of persistent funding pressures and limited resources.</w:t>
      </w:r>
      <w:r>
        <w:t xml:space="preserve"> </w:t>
      </w:r>
      <w:r w:rsidRPr="00941AE5">
        <w:t>To preserve the value of such personalised support, there may be a need for renewed investment and strategic planning to ensure that the service can continue to respond flexibly and meaningfully to the evolving needs of stroke survivors.</w:t>
      </w:r>
    </w:p>
    <w:p w14:paraId="29AA6A90" w14:textId="77777777" w:rsidR="003F2E5A" w:rsidRDefault="003F2E5A" w:rsidP="003F2E5A"/>
    <w:p w14:paraId="09C6CC7D" w14:textId="77777777" w:rsidR="003F2E5A" w:rsidRDefault="003F2E5A" w:rsidP="003F2E5A">
      <w:pPr>
        <w:tabs>
          <w:tab w:val="left" w:pos="3216"/>
        </w:tabs>
      </w:pPr>
      <w:r>
        <w:tab/>
      </w:r>
    </w:p>
    <w:p w14:paraId="2A9F9767" w14:textId="77777777" w:rsidR="003F2E5A" w:rsidRDefault="003F2E5A" w:rsidP="003F2E5A"/>
    <w:p w14:paraId="074D646A" w14:textId="77777777" w:rsidR="003F2E5A" w:rsidRDefault="003F2E5A" w:rsidP="003F2E5A"/>
    <w:p w14:paraId="3B431BA8" w14:textId="77777777" w:rsidR="003F2E5A" w:rsidRDefault="003F2E5A" w:rsidP="003F2E5A"/>
    <w:p w14:paraId="1888D845" w14:textId="77777777" w:rsidR="003F2E5A" w:rsidRDefault="003F2E5A" w:rsidP="003F2E5A"/>
    <w:p w14:paraId="7D0731A0" w14:textId="77777777" w:rsidR="00B55394" w:rsidRDefault="00B55394"/>
    <w:sectPr w:rsidR="00B55394">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94318" w14:textId="77777777" w:rsidR="003F2E5A" w:rsidRDefault="003F2E5A" w:rsidP="003F2E5A">
      <w:pPr>
        <w:spacing w:after="0" w:line="240" w:lineRule="auto"/>
      </w:pPr>
      <w:r>
        <w:separator/>
      </w:r>
    </w:p>
  </w:endnote>
  <w:endnote w:type="continuationSeparator" w:id="0">
    <w:p w14:paraId="79E6CA44" w14:textId="77777777" w:rsidR="003F2E5A" w:rsidRDefault="003F2E5A" w:rsidP="003F2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3662947"/>
      <w:docPartObj>
        <w:docPartGallery w:val="Page Numbers (Bottom of Page)"/>
        <w:docPartUnique/>
      </w:docPartObj>
    </w:sdtPr>
    <w:sdtEndPr>
      <w:rPr>
        <w:noProof/>
      </w:rPr>
    </w:sdtEndPr>
    <w:sdtContent>
      <w:p w14:paraId="5EFB4C4D" w14:textId="616691C0" w:rsidR="003F2E5A" w:rsidRDefault="003F2E5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4776EB" w14:textId="77777777" w:rsidR="003F2E5A" w:rsidRDefault="003F2E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DA32B" w14:textId="77777777" w:rsidR="003F2E5A" w:rsidRDefault="003F2E5A" w:rsidP="003F2E5A">
      <w:pPr>
        <w:spacing w:after="0" w:line="240" w:lineRule="auto"/>
      </w:pPr>
      <w:r>
        <w:separator/>
      </w:r>
    </w:p>
  </w:footnote>
  <w:footnote w:type="continuationSeparator" w:id="0">
    <w:p w14:paraId="4B5CA488" w14:textId="77777777" w:rsidR="003F2E5A" w:rsidRDefault="003F2E5A" w:rsidP="003F2E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E5A"/>
    <w:rsid w:val="0001436A"/>
    <w:rsid w:val="00022F8B"/>
    <w:rsid w:val="000C0943"/>
    <w:rsid w:val="000D6DAC"/>
    <w:rsid w:val="001060E9"/>
    <w:rsid w:val="00346369"/>
    <w:rsid w:val="003F2E5A"/>
    <w:rsid w:val="008D17F7"/>
    <w:rsid w:val="00B55394"/>
    <w:rsid w:val="00DF64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919CB"/>
  <w15:chartTrackingRefBased/>
  <w15:docId w15:val="{DCE772CD-0513-4894-BF96-2268AFDFC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E5A"/>
  </w:style>
  <w:style w:type="paragraph" w:styleId="Heading1">
    <w:name w:val="heading 1"/>
    <w:basedOn w:val="Normal"/>
    <w:next w:val="Normal"/>
    <w:link w:val="Heading1Char"/>
    <w:uiPriority w:val="9"/>
    <w:qFormat/>
    <w:rsid w:val="003F2E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2E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F2E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F2E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F2E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F2E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2E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2E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2E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E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2E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F2E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F2E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F2E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F2E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E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E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E5A"/>
    <w:rPr>
      <w:rFonts w:eastAsiaTheme="majorEastAsia" w:cstheme="majorBidi"/>
      <w:color w:val="272727" w:themeColor="text1" w:themeTint="D8"/>
    </w:rPr>
  </w:style>
  <w:style w:type="paragraph" w:styleId="Title">
    <w:name w:val="Title"/>
    <w:basedOn w:val="Normal"/>
    <w:next w:val="Normal"/>
    <w:link w:val="TitleChar"/>
    <w:uiPriority w:val="10"/>
    <w:qFormat/>
    <w:rsid w:val="003F2E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E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E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2E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E5A"/>
    <w:pPr>
      <w:spacing w:before="160"/>
      <w:jc w:val="center"/>
    </w:pPr>
    <w:rPr>
      <w:i/>
      <w:iCs/>
      <w:color w:val="404040" w:themeColor="text1" w:themeTint="BF"/>
    </w:rPr>
  </w:style>
  <w:style w:type="character" w:customStyle="1" w:styleId="QuoteChar">
    <w:name w:val="Quote Char"/>
    <w:basedOn w:val="DefaultParagraphFont"/>
    <w:link w:val="Quote"/>
    <w:uiPriority w:val="29"/>
    <w:rsid w:val="003F2E5A"/>
    <w:rPr>
      <w:i/>
      <w:iCs/>
      <w:color w:val="404040" w:themeColor="text1" w:themeTint="BF"/>
    </w:rPr>
  </w:style>
  <w:style w:type="paragraph" w:styleId="ListParagraph">
    <w:name w:val="List Paragraph"/>
    <w:basedOn w:val="Normal"/>
    <w:uiPriority w:val="34"/>
    <w:qFormat/>
    <w:rsid w:val="003F2E5A"/>
    <w:pPr>
      <w:ind w:left="720"/>
      <w:contextualSpacing/>
    </w:pPr>
  </w:style>
  <w:style w:type="character" w:styleId="IntenseEmphasis">
    <w:name w:val="Intense Emphasis"/>
    <w:basedOn w:val="DefaultParagraphFont"/>
    <w:uiPriority w:val="21"/>
    <w:qFormat/>
    <w:rsid w:val="003F2E5A"/>
    <w:rPr>
      <w:i/>
      <w:iCs/>
      <w:color w:val="2F5496" w:themeColor="accent1" w:themeShade="BF"/>
    </w:rPr>
  </w:style>
  <w:style w:type="paragraph" w:styleId="IntenseQuote">
    <w:name w:val="Intense Quote"/>
    <w:basedOn w:val="Normal"/>
    <w:next w:val="Normal"/>
    <w:link w:val="IntenseQuoteChar"/>
    <w:uiPriority w:val="30"/>
    <w:qFormat/>
    <w:rsid w:val="003F2E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F2E5A"/>
    <w:rPr>
      <w:i/>
      <w:iCs/>
      <w:color w:val="2F5496" w:themeColor="accent1" w:themeShade="BF"/>
    </w:rPr>
  </w:style>
  <w:style w:type="character" w:styleId="IntenseReference">
    <w:name w:val="Intense Reference"/>
    <w:basedOn w:val="DefaultParagraphFont"/>
    <w:uiPriority w:val="32"/>
    <w:qFormat/>
    <w:rsid w:val="003F2E5A"/>
    <w:rPr>
      <w:b/>
      <w:bCs/>
      <w:smallCaps/>
      <w:color w:val="2F5496" w:themeColor="accent1" w:themeShade="BF"/>
      <w:spacing w:val="5"/>
    </w:rPr>
  </w:style>
  <w:style w:type="paragraph" w:styleId="Header">
    <w:name w:val="header"/>
    <w:basedOn w:val="Normal"/>
    <w:link w:val="HeaderChar"/>
    <w:uiPriority w:val="99"/>
    <w:unhideWhenUsed/>
    <w:rsid w:val="003F2E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2E5A"/>
  </w:style>
  <w:style w:type="paragraph" w:styleId="Footer">
    <w:name w:val="footer"/>
    <w:basedOn w:val="Normal"/>
    <w:link w:val="FooterChar"/>
    <w:uiPriority w:val="99"/>
    <w:unhideWhenUsed/>
    <w:rsid w:val="003F2E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2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3499</Words>
  <Characters>19946</Characters>
  <Application>Microsoft Office Word</Application>
  <DocSecurity>0</DocSecurity>
  <Lines>166</Lines>
  <Paragraphs>46</Paragraphs>
  <ScaleCrop>false</ScaleCrop>
  <Company/>
  <LinksUpToDate>false</LinksUpToDate>
  <CharactersWithSpaces>23399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holmes</dc:creator>
  <cp:keywords/>
  <dc:description/>
  <cp:lastModifiedBy>rich holmes</cp:lastModifiedBy>
  <cp:revision>1</cp:revision>
  <dcterms:created xsi:type="dcterms:W3CDTF">2025-07-30T13:29:00Z</dcterms:created>
  <dcterms:modified xsi:type="dcterms:W3CDTF">2025-07-30T13:36:00Z</dcterms:modified>
</cp:coreProperties>
</file>