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36D5" w:rsidRPr="008629C0" w:rsidRDefault="009436D5" w:rsidP="009436D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629C0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8629C0">
        <w:rPr>
          <w:rFonts w:ascii="Times New Roman" w:hAnsi="Times New Roman" w:cs="Times New Roman"/>
          <w:b/>
          <w:bCs/>
          <w:sz w:val="24"/>
          <w:szCs w:val="24"/>
        </w:rPr>
        <w:t>dditional file</w:t>
      </w:r>
    </w:p>
    <w:p w:rsidR="009436D5" w:rsidRPr="008629C0" w:rsidRDefault="009436D5" w:rsidP="009436D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629C0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8629C0">
        <w:rPr>
          <w:rFonts w:ascii="Times New Roman" w:hAnsi="Times New Roman" w:cs="Times New Roman"/>
          <w:b/>
          <w:bCs/>
          <w:sz w:val="24"/>
          <w:szCs w:val="24"/>
        </w:rPr>
        <w:t xml:space="preserve">dditional file 1: Figure S1. </w:t>
      </w:r>
    </w:p>
    <w:p w:rsidR="009436D5" w:rsidRDefault="009436D5" w:rsidP="009436D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629C0">
        <w:rPr>
          <w:rFonts w:ascii="Times New Roman" w:hAnsi="Times New Roman" w:cs="Times New Roman"/>
          <w:sz w:val="24"/>
          <w:szCs w:val="24"/>
        </w:rPr>
        <w:t xml:space="preserve">Immunoglobulin subclasses in the SH3BP2-deficient lupus mice. Serum samples were collected from 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>Sh3bp2</w:t>
      </w:r>
      <w:r w:rsidRPr="008629C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+/+ </w:t>
      </w:r>
      <w:r w:rsidRPr="008629C0">
        <w:rPr>
          <w:rFonts w:ascii="Times New Roman" w:hAnsi="Times New Roman" w:cs="Times New Roman"/>
          <w:sz w:val="24"/>
          <w:szCs w:val="24"/>
        </w:rPr>
        <w:t>(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 w:rsidRPr="008629C0">
        <w:rPr>
          <w:rFonts w:ascii="Times New Roman" w:hAnsi="Times New Roman" w:cs="Times New Roman"/>
          <w:sz w:val="24"/>
          <w:szCs w:val="24"/>
        </w:rPr>
        <w:t xml:space="preserve">= 15), 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>Sh3bp2</w:t>
      </w:r>
      <w:r w:rsidRPr="008629C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Δ/Δ </w:t>
      </w:r>
      <w:r w:rsidRPr="008629C0">
        <w:rPr>
          <w:rFonts w:ascii="Times New Roman" w:hAnsi="Times New Roman" w:cs="Times New Roman"/>
          <w:sz w:val="24"/>
          <w:szCs w:val="24"/>
        </w:rPr>
        <w:t>(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 w:rsidRPr="008629C0">
        <w:rPr>
          <w:rFonts w:ascii="Times New Roman" w:hAnsi="Times New Roman" w:cs="Times New Roman"/>
          <w:sz w:val="24"/>
          <w:szCs w:val="24"/>
        </w:rPr>
        <w:t xml:space="preserve">= 16), 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>Fas</w:t>
      </w:r>
      <w:r w:rsidRPr="008629C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lpr/lpr </w:t>
      </w:r>
      <w:r w:rsidRPr="008629C0">
        <w:rPr>
          <w:rFonts w:ascii="Times New Roman" w:hAnsi="Times New Roman" w:cs="Times New Roman"/>
          <w:sz w:val="24"/>
          <w:szCs w:val="24"/>
        </w:rPr>
        <w:t>(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 w:rsidRPr="008629C0">
        <w:rPr>
          <w:rFonts w:ascii="Times New Roman" w:hAnsi="Times New Roman" w:cs="Times New Roman"/>
          <w:sz w:val="24"/>
          <w:szCs w:val="24"/>
        </w:rPr>
        <w:t xml:space="preserve">= 18), and 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>Sh3bp2</w:t>
      </w:r>
      <w:r w:rsidRPr="008629C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Δ/Δ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>Fas</w:t>
      </w:r>
      <w:r w:rsidRPr="008629C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lpr/lpr </w:t>
      </w:r>
      <w:r w:rsidRPr="008629C0">
        <w:rPr>
          <w:rFonts w:ascii="Times New Roman" w:hAnsi="Times New Roman" w:cs="Times New Roman"/>
          <w:sz w:val="24"/>
          <w:szCs w:val="24"/>
        </w:rPr>
        <w:t>(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 xml:space="preserve">n </w:t>
      </w:r>
      <w:r w:rsidRPr="008629C0">
        <w:rPr>
          <w:rFonts w:ascii="Times New Roman" w:hAnsi="Times New Roman" w:cs="Times New Roman"/>
          <w:sz w:val="24"/>
          <w:szCs w:val="24"/>
        </w:rPr>
        <w:t>= 19) mice at 35 weeks of age. Levels of each immunoglobulin subclass were determined by ELISA. Each dot denotes an individual mouse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629C0">
        <w:rPr>
          <w:rFonts w:ascii="Times New Roman" w:hAnsi="Times New Roman" w:cs="Times New Roman"/>
          <w:sz w:val="24"/>
          <w:szCs w:val="24"/>
        </w:rPr>
        <w:t xml:space="preserve"> and horizontal lines represent the mean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629C0">
        <w:rPr>
          <w:rFonts w:ascii="Times New Roman" w:hAnsi="Times New Roman" w:cs="Times New Roman"/>
          <w:sz w:val="24"/>
          <w:szCs w:val="24"/>
        </w:rPr>
        <w:t>. *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8629C0">
        <w:rPr>
          <w:rFonts w:ascii="Times New Roman" w:hAnsi="Times New Roman" w:cs="Times New Roman"/>
          <w:sz w:val="24"/>
          <w:szCs w:val="24"/>
        </w:rPr>
        <w:t>&lt; 0.05; **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8629C0">
        <w:rPr>
          <w:rFonts w:ascii="Times New Roman" w:hAnsi="Times New Roman" w:cs="Times New Roman"/>
          <w:sz w:val="24"/>
          <w:szCs w:val="24"/>
        </w:rPr>
        <w:t>&lt; 0.01; ***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8629C0">
        <w:rPr>
          <w:rFonts w:ascii="Times New Roman" w:hAnsi="Times New Roman" w:cs="Times New Roman"/>
          <w:sz w:val="24"/>
          <w:szCs w:val="24"/>
        </w:rPr>
        <w:t xml:space="preserve">&lt; 0.001; n.s.= not significant. </w:t>
      </w:r>
    </w:p>
    <w:p w:rsidR="009436D5" w:rsidRDefault="009436D5" w:rsidP="009436D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436D5" w:rsidRDefault="009436D5" w:rsidP="009436D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629C0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8629C0">
        <w:rPr>
          <w:rFonts w:ascii="Times New Roman" w:hAnsi="Times New Roman" w:cs="Times New Roman"/>
          <w:b/>
          <w:bCs/>
          <w:sz w:val="24"/>
          <w:szCs w:val="24"/>
        </w:rPr>
        <w:t xml:space="preserve">dditional file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629C0">
        <w:rPr>
          <w:rFonts w:ascii="Times New Roman" w:hAnsi="Times New Roman" w:cs="Times New Roman"/>
          <w:b/>
          <w:bCs/>
          <w:sz w:val="24"/>
          <w:szCs w:val="24"/>
        </w:rPr>
        <w:t>: Figure S2.</w:t>
      </w:r>
      <w:r w:rsidRPr="008629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36D5" w:rsidRDefault="009436D5" w:rsidP="009436D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629C0">
        <w:rPr>
          <w:rFonts w:ascii="Times New Roman" w:hAnsi="Times New Roman" w:cs="Times New Roman"/>
          <w:sz w:val="24"/>
          <w:szCs w:val="24"/>
        </w:rPr>
        <w:t>SH3BP2 deficiency does not</w:t>
      </w:r>
      <w:r w:rsidRPr="00100EAF">
        <w:rPr>
          <w:rFonts w:ascii="Times New Roman" w:hAnsi="Times New Roman" w:cs="Times New Roman"/>
          <w:sz w:val="24"/>
          <w:szCs w:val="24"/>
        </w:rPr>
        <w:t xml:space="preserve"> affect the in vitro activation and proliferation of CD4</w:t>
      </w:r>
      <w:r w:rsidRPr="00100EA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00EAF">
        <w:rPr>
          <w:rFonts w:ascii="Times New Roman" w:hAnsi="Times New Roman" w:cs="Times New Roman"/>
          <w:sz w:val="24"/>
          <w:szCs w:val="24"/>
        </w:rPr>
        <w:t xml:space="preserve"> T cells. </w:t>
      </w:r>
      <w:r w:rsidRPr="00100EA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100EAF">
        <w:rPr>
          <w:rFonts w:ascii="Times New Roman" w:hAnsi="Times New Roman" w:cs="Times New Roman"/>
          <w:sz w:val="24"/>
          <w:szCs w:val="24"/>
        </w:rPr>
        <w:t xml:space="preserve"> Flow cytometry analyses for cell surface protein expression on CD4</w:t>
      </w:r>
      <w:r w:rsidRPr="00100EA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00EAF">
        <w:rPr>
          <w:rFonts w:ascii="Times New Roman" w:hAnsi="Times New Roman" w:cs="Times New Roman"/>
          <w:sz w:val="24"/>
          <w:szCs w:val="24"/>
        </w:rPr>
        <w:t xml:space="preserve"> T cells. Isolated CD4</w:t>
      </w:r>
      <w:r w:rsidRPr="00100EA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00EAF">
        <w:rPr>
          <w:rFonts w:ascii="Times New Roman" w:hAnsi="Times New Roman" w:cs="Times New Roman"/>
          <w:sz w:val="24"/>
          <w:szCs w:val="24"/>
        </w:rPr>
        <w:t xml:space="preserve"> T cells were stimulated with immobilized anti-CD3/anti-CD28 at indicated concentrations for 24 h. </w:t>
      </w:r>
      <w:r w:rsidRPr="00100EA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100EAF">
        <w:rPr>
          <w:rFonts w:ascii="Times New Roman" w:hAnsi="Times New Roman" w:cs="Times New Roman"/>
          <w:sz w:val="24"/>
          <w:szCs w:val="24"/>
        </w:rPr>
        <w:t xml:space="preserve"> In vitro pro</w:t>
      </w:r>
      <w:r w:rsidRPr="008629C0">
        <w:rPr>
          <w:rFonts w:ascii="Times New Roman" w:hAnsi="Times New Roman" w:cs="Times New Roman"/>
          <w:sz w:val="24"/>
          <w:szCs w:val="24"/>
        </w:rPr>
        <w:t>liferation of CD4</w:t>
      </w:r>
      <w:r w:rsidRPr="008629C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8629C0">
        <w:rPr>
          <w:rFonts w:ascii="Times New Roman" w:hAnsi="Times New Roman" w:cs="Times New Roman"/>
          <w:sz w:val="24"/>
          <w:szCs w:val="24"/>
        </w:rPr>
        <w:t xml:space="preserve"> T cells was measured by CFSE dilution at 72 h upon stimulation (anti-CD3 and anti-CD28 antibodies). Representative flow cytometry histograms are shown. CFSE, carboxyfluorescein succinimidyl ester. </w:t>
      </w:r>
    </w:p>
    <w:p w:rsidR="009436D5" w:rsidRDefault="009436D5" w:rsidP="009436D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436D5" w:rsidRDefault="009436D5" w:rsidP="009436D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629C0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8629C0">
        <w:rPr>
          <w:rFonts w:ascii="Times New Roman" w:hAnsi="Times New Roman" w:cs="Times New Roman"/>
          <w:b/>
          <w:bCs/>
          <w:sz w:val="24"/>
          <w:szCs w:val="24"/>
        </w:rPr>
        <w:t xml:space="preserve">dditional file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629C0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629C0">
        <w:rPr>
          <w:rFonts w:ascii="Times New Roman" w:hAnsi="Times New Roman" w:cs="Times New Roman"/>
          <w:b/>
          <w:bCs/>
          <w:sz w:val="24"/>
          <w:szCs w:val="24"/>
        </w:rPr>
        <w:t>Figure S3.</w:t>
      </w:r>
      <w:r w:rsidRPr="008629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36D5" w:rsidRPr="000176D7" w:rsidRDefault="009436D5" w:rsidP="009436D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629C0">
        <w:rPr>
          <w:rFonts w:ascii="Times New Roman" w:hAnsi="Times New Roman" w:cs="Times New Roman"/>
          <w:sz w:val="24"/>
          <w:szCs w:val="24"/>
        </w:rPr>
        <w:lastRenderedPageBreak/>
        <w:t xml:space="preserve">Gene expression patterns in bone marrow-derived macrophages. Bone marrow cells were isolated from the indicated mice and cultured with M-CSF. Gene expression levels in the yielded bone marrow-derived macrophages were determined by quantitative real-time PCR analysis. Expression levels of 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 xml:space="preserve">Cd80 </w:t>
      </w:r>
      <w:r w:rsidRPr="008629C0">
        <w:rPr>
          <w:rFonts w:ascii="Times New Roman" w:hAnsi="Times New Roman" w:cs="Times New Roman"/>
          <w:sz w:val="24"/>
          <w:szCs w:val="24"/>
        </w:rPr>
        <w:t>(</w:t>
      </w:r>
      <w:r w:rsidRPr="008629C0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629C0">
        <w:rPr>
          <w:rFonts w:ascii="Times New Roman" w:hAnsi="Times New Roman" w:cs="Times New Roman"/>
          <w:sz w:val="24"/>
          <w:szCs w:val="24"/>
        </w:rPr>
        <w:t>)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629C0">
        <w:rPr>
          <w:rFonts w:ascii="Times New Roman" w:hAnsi="Times New Roman" w:cs="Times New Roman"/>
          <w:sz w:val="24"/>
          <w:szCs w:val="24"/>
        </w:rPr>
        <w:t>and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 xml:space="preserve"> Cd86 </w:t>
      </w:r>
      <w:r w:rsidRPr="008629C0">
        <w:rPr>
          <w:rFonts w:ascii="Times New Roman" w:hAnsi="Times New Roman" w:cs="Times New Roman"/>
          <w:sz w:val="24"/>
          <w:szCs w:val="24"/>
        </w:rPr>
        <w:t>(</w:t>
      </w:r>
      <w:r w:rsidRPr="008629C0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8629C0">
        <w:rPr>
          <w:rFonts w:ascii="Times New Roman" w:hAnsi="Times New Roman" w:cs="Times New Roman"/>
          <w:sz w:val="24"/>
          <w:szCs w:val="24"/>
        </w:rPr>
        <w:t>) at the basal state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8629C0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629C0">
        <w:rPr>
          <w:rFonts w:ascii="Times New Roman" w:hAnsi="Times New Roman" w:cs="Times New Roman"/>
          <w:sz w:val="24"/>
          <w:szCs w:val="24"/>
        </w:rPr>
        <w:t xml:space="preserve">Bone marrow-derived macrophages were treated with TLR ligands for 6 h, and </w:t>
      </w:r>
      <w:r w:rsidRPr="008629C0">
        <w:rPr>
          <w:rFonts w:ascii="Times New Roman" w:hAnsi="Times New Roman" w:cs="Times New Roman"/>
          <w:i/>
          <w:iCs/>
          <w:sz w:val="24"/>
          <w:szCs w:val="24"/>
        </w:rPr>
        <w:t>Tnf</w:t>
      </w:r>
      <w:r w:rsidRPr="008629C0">
        <w:rPr>
          <w:rFonts w:ascii="Times New Roman" w:hAnsi="Times New Roman" w:cs="Times New Roman"/>
          <w:sz w:val="24"/>
          <w:szCs w:val="24"/>
        </w:rPr>
        <w:t xml:space="preserve"> mRNA expression levels were determined. Values are presented as the mean ± SD. LPS, lipopolysaccharide; poly(I:C), polyinosinic-polycytidylic acid; ssRNA, single-stranded RNA; ODN, oligodeoxynucleotide. </w:t>
      </w:r>
    </w:p>
    <w:p w:rsidR="00E8120E" w:rsidRDefault="00E8120E">
      <w:bookmarkStart w:id="0" w:name="_GoBack"/>
      <w:bookmarkEnd w:id="0"/>
    </w:p>
    <w:sectPr w:rsidR="00E8120E" w:rsidSect="00E17829">
      <w:headerReference w:type="default" r:id="rId4"/>
      <w:footerReference w:type="default" r:id="rId5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36350815"/>
      <w:docPartObj>
        <w:docPartGallery w:val="Page Numbers (Bottom of Page)"/>
        <w:docPartUnique/>
      </w:docPartObj>
    </w:sdtPr>
    <w:sdtEndPr/>
    <w:sdtContent>
      <w:p w:rsidR="00D02363" w:rsidRPr="0003442B" w:rsidRDefault="009436D5" w:rsidP="00EA01BF">
        <w:pPr>
          <w:pStyle w:val="Footer"/>
          <w:jc w:val="center"/>
        </w:pPr>
        <w:r w:rsidRPr="0003442B">
          <w:fldChar w:fldCharType="begin"/>
        </w:r>
        <w:r w:rsidRPr="0003442B">
          <w:instrText>PAGE   \* MERGEFORMAT</w:instrText>
        </w:r>
        <w:r w:rsidRPr="0003442B">
          <w:fldChar w:fldCharType="separate"/>
        </w:r>
        <w:r>
          <w:rPr>
            <w:noProof/>
          </w:rPr>
          <w:t>2</w:t>
        </w:r>
        <w:r w:rsidRPr="0003442B"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2363" w:rsidRPr="0003442B" w:rsidRDefault="009436D5">
    <w:pPr>
      <w:pStyle w:val="Header"/>
    </w:pPr>
    <w:r w:rsidRPr="00D14CEC">
      <w:rPr>
        <w:rFonts w:ascii="Times New Roman" w:hAnsi="Times New Roman" w:cs="Times New Roman"/>
        <w:bCs/>
        <w:sz w:val="22"/>
      </w:rPr>
      <w:t>SH3BP2 regulates the development of lupus</w:t>
    </w:r>
    <w:r>
      <w:ptab w:relativeTo="margin" w:alignment="center" w:leader="none"/>
    </w:r>
    <w:r>
      <w:ptab w:relativeTo="margin" w:alignment="right" w:leader="none"/>
    </w:r>
    <w:r>
      <w:t>K. Kawahara, et al.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6D5"/>
    <w:rsid w:val="009436D5"/>
    <w:rsid w:val="00E81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861420-85C6-4B20-87A1-2D9B4C9B9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36D5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36D5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9436D5"/>
    <w:rPr>
      <w:rFonts w:eastAsiaTheme="minorEastAsia"/>
      <w:kern w:val="2"/>
      <w:sz w:val="21"/>
      <w:szCs w:val="21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9436D5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9436D5"/>
    <w:rPr>
      <w:rFonts w:eastAsiaTheme="minorEastAsia"/>
      <w:kern w:val="2"/>
      <w:sz w:val="21"/>
      <w:szCs w:val="21"/>
      <w:lang w:eastAsia="ja-JP"/>
    </w:rPr>
  </w:style>
  <w:style w:type="character" w:styleId="LineNumber">
    <w:name w:val="line number"/>
    <w:basedOn w:val="DefaultParagraphFont"/>
    <w:uiPriority w:val="99"/>
    <w:semiHidden/>
    <w:unhideWhenUsed/>
    <w:rsid w:val="009436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248</Words>
  <Characters>1416</Characters>
  <Application>Microsoft Office Word</Application>
  <DocSecurity>0</DocSecurity>
  <Lines>11</Lines>
  <Paragraphs>3</Paragraphs>
  <ScaleCrop>false</ScaleCrop>
  <Company>Springer Nature</Company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2020-09-12T10:45:00Z</dcterms:created>
  <dcterms:modified xsi:type="dcterms:W3CDTF">2020-09-12T10:46:00Z</dcterms:modified>
</cp:coreProperties>
</file>