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72F6B">
      <w:pPr>
        <w:jc w:val="center"/>
      </w:pPr>
      <w:r>
        <w:rPr>
          <w:rFonts w:hint="eastAsia"/>
        </w:rPr>
        <w:drawing>
          <wp:inline distT="0" distB="0" distL="0" distR="0">
            <wp:extent cx="4319905" cy="5507355"/>
            <wp:effectExtent l="0" t="0" r="4445" b="0"/>
            <wp:docPr id="2112749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74997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550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81C79">
      <w:pPr>
        <w:jc w:val="center"/>
      </w:pPr>
    </w:p>
    <w:p w14:paraId="20FAAAD2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Age-specific numbers and age-standardized incidence and prevalence rates of MVRI leading to VF in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Global</w:t>
      </w:r>
      <w:r>
        <w:rPr>
          <w:rFonts w:ascii="Times New Roman" w:hAnsi="Times New Roman"/>
          <w:sz w:val="24"/>
          <w:szCs w:val="24"/>
        </w:rPr>
        <w:t xml:space="preserve"> in 1990 and 2021. (A) Age-specific incidence numbers in 1990. (B) Age-specific incidence numbers in 2021. (C) Age-specific prevalence numbers in 1990. (D) Age-specific prevalence numbers in 2021. (E) The age-standardized incidence rate in 1990. (F) The age-standardized incidence rate in 2021. (G) Age-standardized prevalence rates in 1990. (H) The age-standardized prevalence rate in 2021.</w:t>
      </w:r>
    </w:p>
    <w:p w14:paraId="2F1B4392">
      <w:pPr>
        <w:jc w:val="center"/>
      </w:pPr>
    </w:p>
    <w:p w14:paraId="689D7FA2">
      <w:pPr>
        <w:jc w:val="center"/>
      </w:pPr>
    </w:p>
    <w:p w14:paraId="28481286">
      <w:pPr>
        <w:jc w:val="center"/>
      </w:pPr>
    </w:p>
    <w:p w14:paraId="541C7B6E">
      <w:pPr>
        <w:jc w:val="center"/>
      </w:pPr>
    </w:p>
    <w:p w14:paraId="28A51B3A">
      <w:pPr>
        <w:jc w:val="center"/>
      </w:pPr>
    </w:p>
    <w:p w14:paraId="17F9125B">
      <w:pPr>
        <w:jc w:val="center"/>
      </w:pPr>
    </w:p>
    <w:p w14:paraId="7E6F8386">
      <w:pPr>
        <w:jc w:val="center"/>
      </w:pPr>
    </w:p>
    <w:p w14:paraId="378C3689">
      <w:pPr>
        <w:jc w:val="center"/>
      </w:pPr>
    </w:p>
    <w:p w14:paraId="55797706">
      <w:pPr>
        <w:jc w:val="center"/>
      </w:pPr>
    </w:p>
    <w:p w14:paraId="0DFC0704">
      <w:pPr>
        <w:jc w:val="center"/>
      </w:pPr>
    </w:p>
    <w:p w14:paraId="7E074029">
      <w:pPr>
        <w:spacing w:line="480" w:lineRule="auto"/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4319905" cy="5503545"/>
            <wp:effectExtent l="0" t="0" r="4445" b="1905"/>
            <wp:docPr id="13487830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783066" name="图片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5503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C07DD">
      <w:pPr>
        <w:spacing w:line="480" w:lineRule="auto"/>
        <w:rPr>
          <w:rFonts w:hint="eastAsia"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Age-specific numbers and age-standardized incidence and prevalence rates of MVRI leading to VF in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India</w:t>
      </w:r>
      <w:r>
        <w:rPr>
          <w:rFonts w:ascii="Times New Roman" w:hAnsi="Times New Roman"/>
          <w:sz w:val="24"/>
          <w:szCs w:val="24"/>
        </w:rPr>
        <w:t xml:space="preserve"> in 1990 and 2021. (A) Age-specific incidence numbers in 1990. (B) Age-specific incidence numbers in 2021. (C) Age-specific prevalence numbers in 1990. (D) Age-specific prevalence numbers in 2021. (E) The age-standardized incidence rate in 1990. (F) The age-standardized incidence rate in 2021. (G) Age-standardized prevalence rates in 1990. (H) The age-standardized prevalence rate in 2021.</w:t>
      </w:r>
    </w:p>
    <w:p w14:paraId="4022923B">
      <w:pPr>
        <w:jc w:val="center"/>
        <w:rPr>
          <w:rFonts w:hint="eastAsia"/>
        </w:rPr>
      </w:pPr>
    </w:p>
    <w:p w14:paraId="2C59C2A5">
      <w:pPr>
        <w:jc w:val="center"/>
      </w:pPr>
      <w:r>
        <w:rPr>
          <w:rFonts w:hint="eastAsia"/>
        </w:rPr>
        <w:drawing>
          <wp:inline distT="0" distB="0" distL="0" distR="0">
            <wp:extent cx="4319905" cy="6480175"/>
            <wp:effectExtent l="0" t="0" r="4445" b="0"/>
            <wp:docPr id="891793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79310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648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FB96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2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Trends in All-Age Cases and Age-Standardized Incidence, Prevalence, and Years of Disabled Life Lost (YLDs) Rates for VFs by Sex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in Global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, 1990-2021 (A) Number and Rate of Incidence (B) Number and Rate of Prevalence (C) Number and Rate of YLDs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</w:p>
    <w:p w14:paraId="13456B77">
      <w:pPr>
        <w:jc w:val="center"/>
      </w:pPr>
    </w:p>
    <w:p w14:paraId="72A98F57">
      <w:pPr>
        <w:jc w:val="center"/>
      </w:pPr>
    </w:p>
    <w:p w14:paraId="382CBD0D">
      <w:pPr>
        <w:jc w:val="center"/>
      </w:pPr>
    </w:p>
    <w:p w14:paraId="4859DCA3">
      <w:pPr>
        <w:jc w:val="center"/>
      </w:pPr>
    </w:p>
    <w:p w14:paraId="4C6217A2">
      <w:pPr>
        <w:jc w:val="center"/>
      </w:pPr>
    </w:p>
    <w:p w14:paraId="090C73D6">
      <w:pPr>
        <w:jc w:val="center"/>
      </w:pPr>
    </w:p>
    <w:p w14:paraId="38C84C11">
      <w:pPr>
        <w:jc w:val="center"/>
      </w:pPr>
    </w:p>
    <w:p w14:paraId="626E2205">
      <w:pPr>
        <w:jc w:val="center"/>
      </w:pPr>
    </w:p>
    <w:p w14:paraId="6BC0AA49">
      <w:pPr>
        <w:jc w:val="center"/>
      </w:pPr>
      <w:r>
        <w:drawing>
          <wp:inline distT="0" distB="0" distL="0" distR="0">
            <wp:extent cx="4319905" cy="6480175"/>
            <wp:effectExtent l="0" t="0" r="4445" b="0"/>
            <wp:docPr id="23129020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290209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648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E0E2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2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Trends in All-Age Cases and Age-Standardized Incidence, Prevalence, and Years of Disabled Life Lost (YLDs) Rates for VFs by Sex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in India,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1990-2021 (A) Number and Rate of Incidence (B) Number and Rate of Prevalence (C) Number and Rate of YLDs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</w:p>
    <w:p w14:paraId="617FD041">
      <w:pPr>
        <w:jc w:val="center"/>
      </w:pPr>
    </w:p>
    <w:p w14:paraId="2351B998">
      <w:pPr>
        <w:jc w:val="center"/>
      </w:pPr>
    </w:p>
    <w:p w14:paraId="56080D41">
      <w:pPr>
        <w:jc w:val="center"/>
      </w:pPr>
    </w:p>
    <w:p w14:paraId="0E24FA57">
      <w:pPr>
        <w:jc w:val="center"/>
      </w:pPr>
    </w:p>
    <w:p w14:paraId="32E3EC5F">
      <w:pPr>
        <w:jc w:val="center"/>
      </w:pPr>
    </w:p>
    <w:p w14:paraId="45B66BC4">
      <w:pPr>
        <w:jc w:val="center"/>
      </w:pPr>
    </w:p>
    <w:p w14:paraId="7CA9A8F1">
      <w:pPr>
        <w:jc w:val="center"/>
      </w:pPr>
    </w:p>
    <w:p w14:paraId="3D1CAD5D">
      <w:pPr>
        <w:jc w:val="center"/>
      </w:pPr>
    </w:p>
    <w:p w14:paraId="46B0C32A">
      <w:pPr>
        <w:jc w:val="center"/>
      </w:pPr>
      <w:r>
        <w:rPr>
          <w:rFonts w:hint="eastAsia"/>
        </w:rPr>
        <w:drawing>
          <wp:inline distT="0" distB="0" distL="0" distR="0">
            <wp:extent cx="4319905" cy="4319905"/>
            <wp:effectExtent l="0" t="0" r="4445" b="4445"/>
            <wp:docPr id="155746989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469890" name="图片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B5571">
      <w:pPr>
        <w:spacing w:line="480" w:lineRule="auto"/>
        <w:rPr>
          <w:rFonts w:ascii="Times New Roman" w:hAnsi="Times New Roman" w:eastAsia="宋体" w:cs="Times New Roman"/>
          <w:color w:val="060607"/>
          <w:spacing w:val="3"/>
          <w:sz w:val="24"/>
          <w:shd w:val="clear" w:color="auto" w:fill="FFFFFF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3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eastAsia="Helvetica" w:cs="Times New Roman"/>
          <w:color w:val="060607"/>
          <w:spacing w:val="3"/>
          <w:sz w:val="24"/>
          <w:shd w:val="clear" w:color="auto" w:fill="FFFFFF"/>
        </w:rPr>
        <w:t xml:space="preserve">In </w:t>
      </w:r>
      <w:r>
        <w:rPr>
          <w:rFonts w:hint="eastAsia" w:ascii="Times New Roman" w:hAnsi="Times New Roman" w:eastAsia="宋体" w:cs="Times New Roman"/>
          <w:color w:val="060607"/>
          <w:spacing w:val="3"/>
          <w:sz w:val="24"/>
          <w:shd w:val="clear" w:color="auto" w:fill="FFFFFF"/>
          <w:lang w:val="en-US" w:eastAsia="zh-CN"/>
        </w:rPr>
        <w:t>Global</w:t>
      </w:r>
      <w:r>
        <w:rPr>
          <w:rFonts w:ascii="Times New Roman" w:hAnsi="Times New Roman" w:eastAsia="Helvetica" w:cs="Times New Roman"/>
          <w:color w:val="060607"/>
          <w:spacing w:val="3"/>
          <w:sz w:val="24"/>
          <w:shd w:val="clear" w:color="auto" w:fill="FFFFFF"/>
        </w:rPr>
        <w:t xml:space="preserve"> from 1990 to 2021, Joinpoint regression analysis was applied to the ASIR, ASPR and A</w:t>
      </w:r>
      <w:bookmarkStart w:id="0" w:name="_GoBack"/>
      <w:bookmarkEnd w:id="0"/>
      <w:r>
        <w:rPr>
          <w:rFonts w:ascii="Times New Roman" w:hAnsi="Times New Roman" w:eastAsia="Helvetica" w:cs="Times New Roman"/>
          <w:color w:val="060607"/>
          <w:spacing w:val="3"/>
          <w:sz w:val="24"/>
          <w:shd w:val="clear" w:color="auto" w:fill="FFFFFF"/>
        </w:rPr>
        <w:t>SYR of VFs due to MVRI among males, females and both sexes, with a significance level of p&lt;0.05</w:t>
      </w:r>
      <w:r>
        <w:rPr>
          <w:rFonts w:ascii="Times New Roman" w:hAnsi="Times New Roman" w:eastAsia="宋体" w:cs="Times New Roman"/>
          <w:color w:val="060607"/>
          <w:spacing w:val="3"/>
          <w:sz w:val="24"/>
          <w:shd w:val="clear" w:color="auto" w:fill="FFFFFF"/>
        </w:rPr>
        <w:t>.</w:t>
      </w:r>
    </w:p>
    <w:p w14:paraId="227FBA6C">
      <w:pPr>
        <w:jc w:val="center"/>
      </w:pPr>
    </w:p>
    <w:p w14:paraId="7761A24C">
      <w:pPr>
        <w:jc w:val="center"/>
        <w:rPr>
          <w:rFonts w:hint="eastAsia"/>
        </w:rPr>
      </w:pPr>
    </w:p>
    <w:p w14:paraId="5D8A190D">
      <w:pPr>
        <w:jc w:val="center"/>
      </w:pPr>
      <w:r>
        <w:rPr>
          <w:rFonts w:hint="eastAsia"/>
        </w:rPr>
        <w:drawing>
          <wp:inline distT="0" distB="0" distL="0" distR="0">
            <wp:extent cx="4319905" cy="4319905"/>
            <wp:effectExtent l="0" t="0" r="4445" b="4445"/>
            <wp:docPr id="76376502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765027" name="图片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7D554">
      <w:pPr>
        <w:spacing w:line="480" w:lineRule="auto"/>
        <w:rPr>
          <w:rFonts w:ascii="Times New Roman" w:hAnsi="Times New Roman" w:eastAsia="宋体" w:cs="Times New Roman"/>
          <w:color w:val="060607"/>
          <w:spacing w:val="3"/>
          <w:sz w:val="24"/>
          <w:shd w:val="clear" w:color="auto" w:fill="FFFFFF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3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eastAsia="Helvetica" w:cs="Times New Roman"/>
          <w:color w:val="060607"/>
          <w:spacing w:val="3"/>
          <w:sz w:val="24"/>
          <w:shd w:val="clear" w:color="auto" w:fill="FFFFFF"/>
        </w:rPr>
        <w:t xml:space="preserve">In </w:t>
      </w:r>
      <w:r>
        <w:rPr>
          <w:rFonts w:hint="eastAsia" w:ascii="Times New Roman" w:hAnsi="Times New Roman" w:eastAsia="宋体" w:cs="Times New Roman"/>
          <w:color w:val="060607"/>
          <w:spacing w:val="3"/>
          <w:sz w:val="24"/>
          <w:shd w:val="clear" w:color="auto" w:fill="FFFFFF"/>
          <w:lang w:val="en-US" w:eastAsia="zh-CN"/>
        </w:rPr>
        <w:t>India</w:t>
      </w:r>
      <w:r>
        <w:rPr>
          <w:rFonts w:ascii="Times New Roman" w:hAnsi="Times New Roman" w:eastAsia="Helvetica" w:cs="Times New Roman"/>
          <w:color w:val="060607"/>
          <w:spacing w:val="3"/>
          <w:sz w:val="24"/>
          <w:shd w:val="clear" w:color="auto" w:fill="FFFFFF"/>
        </w:rPr>
        <w:t xml:space="preserve"> from 1990 to 2021, Joinpoint regression analysis was applied to the ASIR, ASPR and ASYR of VFs due to MVRI among males, females and both sexes, with a significance level of p&lt;0.05</w:t>
      </w:r>
      <w:r>
        <w:rPr>
          <w:rFonts w:ascii="Times New Roman" w:hAnsi="Times New Roman" w:eastAsia="宋体" w:cs="Times New Roman"/>
          <w:color w:val="060607"/>
          <w:spacing w:val="3"/>
          <w:sz w:val="24"/>
          <w:shd w:val="clear" w:color="auto" w:fill="FFFFFF"/>
        </w:rPr>
        <w:t>.</w:t>
      </w:r>
    </w:p>
    <w:p w14:paraId="6B64431D">
      <w:pPr>
        <w:jc w:val="center"/>
      </w:pPr>
    </w:p>
    <w:p w14:paraId="7CB54A58">
      <w:pPr>
        <w:jc w:val="center"/>
      </w:pPr>
    </w:p>
    <w:p w14:paraId="4CDE48AE">
      <w:pPr>
        <w:jc w:val="center"/>
      </w:pPr>
    </w:p>
    <w:p w14:paraId="3BA1986A">
      <w:pPr>
        <w:jc w:val="center"/>
      </w:pPr>
    </w:p>
    <w:p w14:paraId="1AE8487B">
      <w:pPr>
        <w:jc w:val="center"/>
      </w:pPr>
    </w:p>
    <w:p w14:paraId="6997FCD5">
      <w:pPr>
        <w:jc w:val="center"/>
        <w:rPr>
          <w:rFonts w:hint="eastAsia"/>
        </w:rPr>
      </w:pPr>
    </w:p>
    <w:p w14:paraId="401D6569">
      <w:pPr>
        <w:jc w:val="center"/>
      </w:pPr>
      <w:r>
        <w:rPr>
          <w:rFonts w:hint="eastAsia"/>
        </w:rPr>
        <w:drawing>
          <wp:inline distT="0" distB="0" distL="0" distR="0">
            <wp:extent cx="5273675" cy="3241040"/>
            <wp:effectExtent l="0" t="0" r="3175" b="0"/>
            <wp:docPr id="159209913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099132" name="图片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4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02B8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4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Age, period, and cohort effects on the 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revalence of VFs in China. (A) AS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Rs of VFs in different periods. each line connects AS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Rs of 5 years. (B) AS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Rs of VFs in different birth cohorts. each line connects age-specific 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revalence rates of a 5-year birth cohort. (C) Period-specific 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revalence rates for VFs in different age cohorts. Each line connects a 5-year age-specific 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revalence rate for the age cohort. (D) Birth cohort-specific 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revalence rates for VFs in different age groups. Each line connects a birth cohort-specific 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revalence rate for a 5-year age group. AS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R Age-standardized 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revalence rate.</w:t>
      </w:r>
    </w:p>
    <w:p w14:paraId="39F8E3C1">
      <w:pPr>
        <w:jc w:val="center"/>
      </w:pPr>
    </w:p>
    <w:p w14:paraId="6523190C">
      <w:pPr>
        <w:jc w:val="center"/>
      </w:pPr>
    </w:p>
    <w:p w14:paraId="18589F4F">
      <w:pPr>
        <w:jc w:val="center"/>
      </w:pPr>
    </w:p>
    <w:p w14:paraId="46658702">
      <w:pPr>
        <w:jc w:val="center"/>
        <w:rPr>
          <w:rFonts w:hint="eastAsia"/>
        </w:rPr>
      </w:pPr>
    </w:p>
    <w:p w14:paraId="34279233">
      <w:pPr>
        <w:jc w:val="center"/>
        <w:rPr>
          <w:rFonts w:hint="eastAsia"/>
        </w:rPr>
      </w:pPr>
    </w:p>
    <w:p w14:paraId="25C7DEC2">
      <w:pPr>
        <w:jc w:val="center"/>
      </w:pPr>
      <w:r>
        <w:rPr>
          <w:rFonts w:hint="eastAsia"/>
        </w:rPr>
        <w:drawing>
          <wp:inline distT="0" distB="0" distL="0" distR="0">
            <wp:extent cx="5305425" cy="3141345"/>
            <wp:effectExtent l="0" t="0" r="9525" b="1905"/>
            <wp:docPr id="90993425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934256" name="图片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314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442C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Supplementary Figure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4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Age, period, and cohort effects on the 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YLDs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of VFs in China. (A) AS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Y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Rs of VFs in different periods. each line connects AS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Y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Rs of 5 years. (B) AS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Y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Rs of VFs in different birth cohorts. each line connects age-specific 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YLDs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rates of a 5-year birth cohort. (C) Period-specific 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YLDs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rates for VFs in different age cohorts. Each line connects a 5-year age-specific 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YLDs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rate for the age cohort. (D) Birth cohort-specific 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YLDs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rates for VFs in different age groups. Each line connects a birth cohort-specific 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YLDs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rate for a 5-year age group. AS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Y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R Age-standardized </w:t>
      </w:r>
      <w:r>
        <w:rPr>
          <w:rFonts w:hint="eastAsia" w:ascii="Times New Roman" w:hAnsi="Times New Roman" w:cs="Times New Roman" w:eastAsiaTheme="maj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YLDs</w:t>
      </w:r>
      <w:r>
        <w:rPr>
          <w:rFonts w:ascii="Times New Roman" w:hAnsi="Times New Roman" w:cs="Times New Roman" w:eastAsiaTheme="maj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rate.</w:t>
      </w:r>
    </w:p>
    <w:p w14:paraId="663F220F">
      <w:pPr>
        <w:jc w:val="center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C30"/>
    <w:rsid w:val="00125DB7"/>
    <w:rsid w:val="00320C30"/>
    <w:rsid w:val="003D68AB"/>
    <w:rsid w:val="003F78A0"/>
    <w:rsid w:val="00407BB8"/>
    <w:rsid w:val="005A6CD9"/>
    <w:rsid w:val="00642004"/>
    <w:rsid w:val="0069240F"/>
    <w:rsid w:val="00810D83"/>
    <w:rsid w:val="00873280"/>
    <w:rsid w:val="008F1A6C"/>
    <w:rsid w:val="00CD2DFF"/>
    <w:rsid w:val="00D16BE7"/>
    <w:rsid w:val="00DA47A6"/>
    <w:rsid w:val="092B1BA4"/>
    <w:rsid w:val="0C8D626F"/>
    <w:rsid w:val="13833692"/>
    <w:rsid w:val="32147F72"/>
    <w:rsid w:val="6FE50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2">
    <w:name w:val="head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8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customStyle="1" w:styleId="17">
    <w:name w:val="三线表"/>
    <w:basedOn w:val="15"/>
    <w:uiPriority w:val="99"/>
    <w:rPr>
      <w:rFonts w:eastAsia="Times New Roman"/>
    </w:rPr>
    <w:tblPr>
      <w:tblBorders>
        <w:top w:val="single" w:color="auto" w:sz="12" w:space="0"/>
        <w:bottom w:val="single" w:color="auto" w:sz="12" w:space="0"/>
      </w:tblBorders>
    </w:tblPr>
    <w:tblStylePr w:type="firstRow"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8">
    <w:name w:val="1"/>
    <w:basedOn w:val="15"/>
    <w:uiPriority w:val="99"/>
    <w:pPr>
      <w:spacing w:line="240" w:lineRule="auto"/>
      <w:jc w:val="left"/>
    </w:pPr>
    <w:rPr>
      <w:rFonts w:ascii="Times New Roman" w:hAnsi="Times New Roman" w:eastAsia="Times New Roman"/>
      <w:kern w:val="0"/>
      <w:sz w:val="20"/>
      <w:szCs w:val="20"/>
    </w:rPr>
    <w:tblPr>
      <w:tblBorders>
        <w:top w:val="single" w:color="auto" w:sz="8" w:space="0"/>
        <w:bottom w:val="single" w:color="auto" w:sz="8" w:space="0"/>
      </w:tblBorders>
    </w:tblPr>
    <w:tblStylePr w:type="firstRow">
      <w:tcPr>
        <w:tcBorders>
          <w:top w:val="single" w:color="auto" w:sz="4" w:space="0"/>
          <w:left w:val="nil"/>
          <w:bottom w:val="single" w:color="auto" w:sz="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9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0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1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2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3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4">
    <w:name w:val="标题 6 字符"/>
    <w:basedOn w:val="16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5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6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6"/>
    <w:link w:val="34"/>
    <w:qFormat/>
    <w:uiPriority w:val="30"/>
    <w:rPr>
      <w:i/>
      <w:iCs/>
      <w:color w:val="104862" w:themeColor="accent1" w:themeShade="BF"/>
    </w:rPr>
  </w:style>
  <w:style w:type="character" w:customStyle="1" w:styleId="36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7">
    <w:name w:val="页眉 字符"/>
    <w:basedOn w:val="16"/>
    <w:link w:val="12"/>
    <w:uiPriority w:val="99"/>
    <w:rPr>
      <w:sz w:val="18"/>
      <w:szCs w:val="18"/>
    </w:rPr>
  </w:style>
  <w:style w:type="character" w:customStyle="1" w:styleId="38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48</Lines>
  <Paragraphs>0</Paragraphs>
  <TotalTime>7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2025-03-20T07:56:00Z</dcterms:created>
  <dc:creator>中江 蓝</dc:creator>
  <cp:lastModifiedBy>半梦</cp:lastModifiedBy>
  <dcterms:modified xsi:type="dcterms:W3CDTF">2025-03-21T13:48:29Z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b310b8906b2e7fb3810f6fb8cf87a8d87c0b8280c504a7d76ec04a08f2cd952f</vt:lpwstr>
  </property>
  <property fmtid="{D5CDD505-2E9C-101B-9397-08002B2CF9AE}" pid="3" name="KSOTemplateDocerSaveRecord">
    <vt:lpwstr>eyJoZGlkIjoiMGFkMGY3N2Q0NjU3N2E0NGQxNzhlZmI2OWMyODUzMDMiLCJ1c2VySWQiOiI1MzQ4OTI1MDkifQ==</vt:lpwstr>
  </property>
  <property fmtid="{D5CDD505-2E9C-101B-9397-08002B2CF9AE}" pid="4" name="KSOProductBuildVer">
    <vt:lpwstr>2052-12.1.0.20305</vt:lpwstr>
  </property>
  <property fmtid="{D5CDD505-2E9C-101B-9397-08002B2CF9AE}" pid="5" name="ICV">
    <vt:lpwstr>9E7F658CBE73409181D7022F740DD99C_13</vt:lpwstr>
  </property>
</Properties>
</file>