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B72F54" w14:textId="77777777" w:rsidR="00B548E1" w:rsidRPr="003169AF" w:rsidRDefault="00B548E1" w:rsidP="00B548E1">
      <w:pPr>
        <w:pStyle w:val="Bibliography"/>
        <w:spacing w:line="480" w:lineRule="auto"/>
        <w:ind w:left="0" w:firstLine="0"/>
        <w:rPr>
          <w:rFonts w:ascii="Arial" w:hAnsi="Arial" w:cs="Arial"/>
          <w:b/>
          <w:bCs/>
          <w:sz w:val="24"/>
          <w:szCs w:val="24"/>
        </w:rPr>
      </w:pPr>
      <w:r w:rsidRPr="003169AF">
        <w:rPr>
          <w:rFonts w:ascii="Arial" w:hAnsi="Arial" w:cs="Arial"/>
          <w:b/>
          <w:bCs/>
          <w:sz w:val="24"/>
          <w:szCs w:val="24"/>
        </w:rPr>
        <w:t>Appendices</w:t>
      </w:r>
    </w:p>
    <w:p w14:paraId="699F6D06" w14:textId="77777777" w:rsidR="00B548E1" w:rsidRPr="003169AF" w:rsidRDefault="00B548E1" w:rsidP="00B548E1">
      <w:pPr>
        <w:pStyle w:val="Heading2"/>
        <w:spacing w:line="240" w:lineRule="auto"/>
        <w:rPr>
          <w:rFonts w:ascii="Arial" w:hAnsi="Arial" w:cs="Arial"/>
          <w:b/>
          <w:bCs/>
          <w:color w:val="auto"/>
          <w:sz w:val="24"/>
          <w:szCs w:val="24"/>
        </w:rPr>
      </w:pPr>
      <w:bookmarkStart w:id="0" w:name="_Toc185280920"/>
      <w:r w:rsidRPr="003169AF">
        <w:rPr>
          <w:rFonts w:ascii="Arial" w:hAnsi="Arial" w:cs="Arial"/>
          <w:b/>
          <w:bCs/>
          <w:color w:val="auto"/>
          <w:sz w:val="24"/>
          <w:szCs w:val="24"/>
        </w:rPr>
        <w:t>Annex 1. Search terms and Boolean operators</w:t>
      </w:r>
      <w:bookmarkEnd w:id="0"/>
    </w:p>
    <w:tbl>
      <w:tblPr>
        <w:tblStyle w:val="TableGrid"/>
        <w:tblW w:w="10098" w:type="dxa"/>
        <w:tblLook w:val="04A0" w:firstRow="1" w:lastRow="0" w:firstColumn="1" w:lastColumn="0" w:noHBand="0" w:noVBand="1"/>
      </w:tblPr>
      <w:tblGrid>
        <w:gridCol w:w="1548"/>
        <w:gridCol w:w="1334"/>
        <w:gridCol w:w="2679"/>
        <w:gridCol w:w="4537"/>
      </w:tblGrid>
      <w:tr w:rsidR="00B548E1" w14:paraId="665541DF" w14:textId="77777777" w:rsidTr="00057600">
        <w:tc>
          <w:tcPr>
            <w:tcW w:w="1548" w:type="dxa"/>
          </w:tcPr>
          <w:p w14:paraId="24267246" w14:textId="77777777" w:rsidR="00B548E1" w:rsidRPr="003169AF" w:rsidRDefault="00B548E1" w:rsidP="00057600">
            <w:pPr>
              <w:rPr>
                <w:rFonts w:ascii="Arial" w:hAnsi="Arial" w:cs="Arial"/>
                <w:b/>
                <w:bCs/>
                <w:sz w:val="16"/>
                <w:szCs w:val="16"/>
              </w:rPr>
            </w:pPr>
            <w:r w:rsidRPr="003169AF">
              <w:rPr>
                <w:rFonts w:ascii="Arial" w:hAnsi="Arial" w:cs="Arial"/>
                <w:b/>
                <w:bCs/>
                <w:sz w:val="16"/>
                <w:szCs w:val="16"/>
              </w:rPr>
              <w:t>Database</w:t>
            </w:r>
          </w:p>
        </w:tc>
        <w:tc>
          <w:tcPr>
            <w:tcW w:w="1334" w:type="dxa"/>
          </w:tcPr>
          <w:p w14:paraId="71FA9AE7" w14:textId="77777777" w:rsidR="00B548E1" w:rsidRPr="003169AF" w:rsidRDefault="00B548E1" w:rsidP="00057600">
            <w:pPr>
              <w:jc w:val="center"/>
              <w:rPr>
                <w:rFonts w:ascii="Arial" w:hAnsi="Arial" w:cs="Arial"/>
                <w:b/>
                <w:bCs/>
                <w:sz w:val="16"/>
                <w:szCs w:val="16"/>
              </w:rPr>
            </w:pPr>
          </w:p>
        </w:tc>
        <w:tc>
          <w:tcPr>
            <w:tcW w:w="2679" w:type="dxa"/>
          </w:tcPr>
          <w:p w14:paraId="361587F4" w14:textId="77777777" w:rsidR="00B548E1" w:rsidRPr="003169AF" w:rsidRDefault="00B548E1" w:rsidP="00057600">
            <w:pPr>
              <w:jc w:val="center"/>
              <w:rPr>
                <w:rFonts w:ascii="Arial" w:hAnsi="Arial" w:cs="Arial"/>
                <w:b/>
                <w:bCs/>
                <w:sz w:val="16"/>
                <w:szCs w:val="16"/>
              </w:rPr>
            </w:pPr>
            <w:r w:rsidRPr="003169AF">
              <w:rPr>
                <w:rFonts w:ascii="Arial" w:hAnsi="Arial" w:cs="Arial"/>
                <w:b/>
                <w:bCs/>
                <w:sz w:val="16"/>
                <w:szCs w:val="16"/>
              </w:rPr>
              <w:t>Keywords</w:t>
            </w:r>
          </w:p>
        </w:tc>
        <w:tc>
          <w:tcPr>
            <w:tcW w:w="4537" w:type="dxa"/>
          </w:tcPr>
          <w:p w14:paraId="730D752D" w14:textId="77777777" w:rsidR="00B548E1" w:rsidRPr="003169AF" w:rsidRDefault="00B548E1" w:rsidP="00057600">
            <w:pPr>
              <w:rPr>
                <w:rFonts w:ascii="Arial" w:hAnsi="Arial" w:cs="Arial"/>
                <w:b/>
                <w:bCs/>
                <w:sz w:val="16"/>
                <w:szCs w:val="16"/>
              </w:rPr>
            </w:pPr>
            <w:r w:rsidRPr="003169AF">
              <w:rPr>
                <w:rFonts w:ascii="Arial" w:hAnsi="Arial" w:cs="Arial"/>
                <w:b/>
                <w:bCs/>
                <w:sz w:val="16"/>
                <w:szCs w:val="16"/>
              </w:rPr>
              <w:t>PCC search terms with Boolean operators (combined vertically for searching in the databases)</w:t>
            </w:r>
          </w:p>
        </w:tc>
      </w:tr>
      <w:tr w:rsidR="00B548E1" w14:paraId="4CF23805" w14:textId="77777777" w:rsidTr="00057600">
        <w:tc>
          <w:tcPr>
            <w:tcW w:w="1548" w:type="dxa"/>
            <w:vMerge w:val="restart"/>
          </w:tcPr>
          <w:p w14:paraId="6FCCF208" w14:textId="77777777" w:rsidR="00B548E1" w:rsidRPr="003169AF" w:rsidRDefault="00B548E1" w:rsidP="00057600">
            <w:pPr>
              <w:rPr>
                <w:rFonts w:ascii="Arial" w:hAnsi="Arial" w:cs="Arial"/>
                <w:sz w:val="16"/>
                <w:szCs w:val="16"/>
              </w:rPr>
            </w:pPr>
            <w:r w:rsidRPr="003169AF">
              <w:rPr>
                <w:rFonts w:ascii="Arial" w:hAnsi="Arial" w:cs="Arial"/>
                <w:sz w:val="16"/>
                <w:szCs w:val="16"/>
              </w:rPr>
              <w:t>PubMed (searching anywhere)</w:t>
            </w:r>
          </w:p>
        </w:tc>
        <w:tc>
          <w:tcPr>
            <w:tcW w:w="1334" w:type="dxa"/>
          </w:tcPr>
          <w:p w14:paraId="246E1DEF" w14:textId="77777777" w:rsidR="00B548E1" w:rsidRPr="003169AF" w:rsidRDefault="00B548E1" w:rsidP="00057600">
            <w:pPr>
              <w:rPr>
                <w:rFonts w:ascii="Arial" w:hAnsi="Arial" w:cs="Arial"/>
                <w:sz w:val="16"/>
                <w:szCs w:val="16"/>
              </w:rPr>
            </w:pPr>
            <w:r w:rsidRPr="003169AF">
              <w:rPr>
                <w:rFonts w:ascii="Arial" w:hAnsi="Arial" w:cs="Arial"/>
                <w:sz w:val="16"/>
                <w:szCs w:val="16"/>
              </w:rPr>
              <w:t>Population</w:t>
            </w:r>
          </w:p>
        </w:tc>
        <w:tc>
          <w:tcPr>
            <w:tcW w:w="2679" w:type="dxa"/>
          </w:tcPr>
          <w:p w14:paraId="2F7F2B93" w14:textId="77777777" w:rsidR="00B548E1" w:rsidRPr="003169AF" w:rsidRDefault="00B548E1" w:rsidP="00057600">
            <w:pPr>
              <w:rPr>
                <w:rFonts w:ascii="Arial" w:hAnsi="Arial" w:cs="Arial"/>
                <w:sz w:val="16"/>
                <w:szCs w:val="16"/>
              </w:rPr>
            </w:pPr>
            <w:r w:rsidRPr="003169AF">
              <w:rPr>
                <w:rFonts w:ascii="Arial" w:hAnsi="Arial" w:cs="Arial"/>
                <w:sz w:val="16"/>
                <w:szCs w:val="16"/>
              </w:rPr>
              <w:t>Children, Adolescents, Infant, Teenager</w:t>
            </w:r>
          </w:p>
        </w:tc>
        <w:tc>
          <w:tcPr>
            <w:tcW w:w="4537" w:type="dxa"/>
          </w:tcPr>
          <w:p w14:paraId="3CB76066" w14:textId="77777777" w:rsidR="00B548E1" w:rsidRPr="003169AF" w:rsidRDefault="00B548E1" w:rsidP="00057600">
            <w:pPr>
              <w:rPr>
                <w:rFonts w:ascii="Arial" w:hAnsi="Arial" w:cs="Arial"/>
                <w:sz w:val="16"/>
                <w:szCs w:val="16"/>
              </w:rPr>
            </w:pPr>
            <w:r w:rsidRPr="003169AF">
              <w:rPr>
                <w:rFonts w:ascii="Arial" w:hAnsi="Arial" w:cs="Arial"/>
                <w:sz w:val="16"/>
                <w:szCs w:val="16"/>
              </w:rPr>
              <w:t>children OR adolescent OR infant OR teenager</w:t>
            </w:r>
          </w:p>
          <w:p w14:paraId="61F9F328" w14:textId="77777777" w:rsidR="00B548E1" w:rsidRPr="003169AF" w:rsidRDefault="00B548E1" w:rsidP="00057600">
            <w:pPr>
              <w:rPr>
                <w:rFonts w:ascii="Arial" w:hAnsi="Arial" w:cs="Arial"/>
                <w:sz w:val="16"/>
                <w:szCs w:val="16"/>
              </w:rPr>
            </w:pPr>
            <w:r w:rsidRPr="003169AF">
              <w:rPr>
                <w:rFonts w:ascii="Arial" w:hAnsi="Arial" w:cs="Arial"/>
                <w:sz w:val="16"/>
                <w:szCs w:val="16"/>
              </w:rPr>
              <w:t>AND</w:t>
            </w:r>
          </w:p>
        </w:tc>
      </w:tr>
      <w:tr w:rsidR="00B548E1" w14:paraId="0541A53C" w14:textId="77777777" w:rsidTr="00057600">
        <w:tc>
          <w:tcPr>
            <w:tcW w:w="1548" w:type="dxa"/>
            <w:vMerge/>
          </w:tcPr>
          <w:p w14:paraId="035C06A4" w14:textId="77777777" w:rsidR="00B548E1" w:rsidRPr="003169AF" w:rsidRDefault="00B548E1" w:rsidP="00057600">
            <w:pPr>
              <w:rPr>
                <w:rFonts w:ascii="Arial" w:hAnsi="Arial" w:cs="Arial"/>
                <w:sz w:val="16"/>
                <w:szCs w:val="16"/>
              </w:rPr>
            </w:pPr>
          </w:p>
        </w:tc>
        <w:tc>
          <w:tcPr>
            <w:tcW w:w="1334" w:type="dxa"/>
          </w:tcPr>
          <w:p w14:paraId="7C77677D" w14:textId="77777777" w:rsidR="00B548E1" w:rsidRPr="003169AF" w:rsidRDefault="00B548E1" w:rsidP="00057600">
            <w:pPr>
              <w:rPr>
                <w:rFonts w:ascii="Arial" w:hAnsi="Arial" w:cs="Arial"/>
                <w:sz w:val="16"/>
                <w:szCs w:val="16"/>
              </w:rPr>
            </w:pPr>
            <w:r w:rsidRPr="003169AF">
              <w:rPr>
                <w:rFonts w:ascii="Arial" w:hAnsi="Arial" w:cs="Arial"/>
                <w:sz w:val="16"/>
                <w:szCs w:val="16"/>
              </w:rPr>
              <w:t>Concept</w:t>
            </w:r>
          </w:p>
        </w:tc>
        <w:tc>
          <w:tcPr>
            <w:tcW w:w="2679" w:type="dxa"/>
          </w:tcPr>
          <w:p w14:paraId="0BCA232B" w14:textId="77777777" w:rsidR="00B548E1" w:rsidRPr="003169AF" w:rsidRDefault="00B548E1" w:rsidP="00057600">
            <w:pPr>
              <w:rPr>
                <w:rFonts w:ascii="Arial" w:hAnsi="Arial" w:cs="Arial"/>
                <w:sz w:val="16"/>
                <w:szCs w:val="16"/>
              </w:rPr>
            </w:pPr>
            <w:r w:rsidRPr="003169AF">
              <w:rPr>
                <w:rFonts w:ascii="Arial" w:hAnsi="Arial" w:cs="Arial"/>
                <w:sz w:val="16"/>
                <w:szCs w:val="16"/>
              </w:rPr>
              <w:t>behavior change wheel, behavior change wheel, com-b, capability, opportunity, motivation</w:t>
            </w:r>
          </w:p>
        </w:tc>
        <w:tc>
          <w:tcPr>
            <w:tcW w:w="4537" w:type="dxa"/>
          </w:tcPr>
          <w:p w14:paraId="64B3ECBB" w14:textId="77777777" w:rsidR="00B548E1" w:rsidRPr="003169AF" w:rsidRDefault="00B548E1" w:rsidP="00057600">
            <w:pPr>
              <w:rPr>
                <w:rFonts w:ascii="Arial" w:hAnsi="Arial" w:cs="Arial"/>
                <w:sz w:val="16"/>
                <w:szCs w:val="16"/>
              </w:rPr>
            </w:pPr>
            <w:r w:rsidRPr="003169AF">
              <w:rPr>
                <w:rFonts w:ascii="Arial" w:hAnsi="Arial" w:cs="Arial"/>
                <w:sz w:val="16"/>
                <w:szCs w:val="16"/>
              </w:rPr>
              <w:t>behaviour change wheel OR behavior change wheel com-b OR capability OR opportunity OR motivation</w:t>
            </w:r>
          </w:p>
          <w:p w14:paraId="658DA00B" w14:textId="77777777" w:rsidR="00B548E1" w:rsidRPr="003169AF" w:rsidRDefault="00B548E1" w:rsidP="00057600">
            <w:pPr>
              <w:rPr>
                <w:rFonts w:ascii="Arial" w:hAnsi="Arial" w:cs="Arial"/>
                <w:sz w:val="16"/>
                <w:szCs w:val="16"/>
              </w:rPr>
            </w:pPr>
            <w:r w:rsidRPr="003169AF">
              <w:rPr>
                <w:rFonts w:ascii="Arial" w:hAnsi="Arial" w:cs="Arial"/>
                <w:sz w:val="16"/>
                <w:szCs w:val="16"/>
              </w:rPr>
              <w:t>AND</w:t>
            </w:r>
          </w:p>
        </w:tc>
      </w:tr>
      <w:tr w:rsidR="00B548E1" w14:paraId="311D8F44" w14:textId="77777777" w:rsidTr="00057600">
        <w:tc>
          <w:tcPr>
            <w:tcW w:w="1548" w:type="dxa"/>
            <w:vMerge/>
          </w:tcPr>
          <w:p w14:paraId="426C9D1A" w14:textId="77777777" w:rsidR="00B548E1" w:rsidRPr="003169AF" w:rsidRDefault="00B548E1" w:rsidP="00057600">
            <w:pPr>
              <w:rPr>
                <w:rFonts w:ascii="Arial" w:hAnsi="Arial" w:cs="Arial"/>
                <w:sz w:val="16"/>
                <w:szCs w:val="16"/>
              </w:rPr>
            </w:pPr>
          </w:p>
        </w:tc>
        <w:tc>
          <w:tcPr>
            <w:tcW w:w="1334" w:type="dxa"/>
            <w:vMerge w:val="restart"/>
          </w:tcPr>
          <w:p w14:paraId="5BD3D206" w14:textId="77777777" w:rsidR="00B548E1" w:rsidRPr="003169AF" w:rsidRDefault="00B548E1" w:rsidP="00057600">
            <w:pPr>
              <w:rPr>
                <w:rFonts w:ascii="Arial" w:hAnsi="Arial" w:cs="Arial"/>
                <w:sz w:val="16"/>
                <w:szCs w:val="16"/>
              </w:rPr>
            </w:pPr>
            <w:r w:rsidRPr="003169AF">
              <w:rPr>
                <w:rFonts w:ascii="Arial" w:hAnsi="Arial" w:cs="Arial"/>
                <w:sz w:val="16"/>
                <w:szCs w:val="16"/>
              </w:rPr>
              <w:t>Context</w:t>
            </w:r>
          </w:p>
        </w:tc>
        <w:tc>
          <w:tcPr>
            <w:tcW w:w="2679" w:type="dxa"/>
          </w:tcPr>
          <w:p w14:paraId="682D1960" w14:textId="77777777" w:rsidR="00B548E1" w:rsidRPr="003169AF" w:rsidRDefault="00B548E1" w:rsidP="00057600">
            <w:pPr>
              <w:rPr>
                <w:rFonts w:ascii="Arial" w:hAnsi="Arial" w:cs="Arial"/>
                <w:sz w:val="16"/>
                <w:szCs w:val="16"/>
              </w:rPr>
            </w:pPr>
            <w:r w:rsidRPr="003169AF">
              <w:rPr>
                <w:rFonts w:ascii="Arial" w:hAnsi="Arial" w:cs="Arial"/>
                <w:sz w:val="16"/>
                <w:szCs w:val="16"/>
              </w:rPr>
              <w:t>Nutrition, Diet, Food, eating</w:t>
            </w:r>
          </w:p>
        </w:tc>
        <w:tc>
          <w:tcPr>
            <w:tcW w:w="4537" w:type="dxa"/>
          </w:tcPr>
          <w:p w14:paraId="253378FA" w14:textId="77777777" w:rsidR="00B548E1" w:rsidRPr="003169AF" w:rsidRDefault="00B548E1" w:rsidP="00057600">
            <w:pPr>
              <w:rPr>
                <w:rFonts w:ascii="Arial" w:hAnsi="Arial" w:cs="Arial"/>
                <w:sz w:val="16"/>
                <w:szCs w:val="16"/>
              </w:rPr>
            </w:pPr>
            <w:r w:rsidRPr="003169AF">
              <w:rPr>
                <w:rFonts w:ascii="Arial" w:hAnsi="Arial" w:cs="Arial"/>
                <w:sz w:val="16"/>
                <w:szCs w:val="16"/>
              </w:rPr>
              <w:t>Nutrition OR diet OR food OR eating</w:t>
            </w:r>
          </w:p>
          <w:p w14:paraId="42B4E763" w14:textId="77777777" w:rsidR="00B548E1" w:rsidRPr="003169AF" w:rsidRDefault="00B548E1" w:rsidP="00057600">
            <w:pPr>
              <w:rPr>
                <w:rFonts w:ascii="Arial" w:hAnsi="Arial" w:cs="Arial"/>
                <w:sz w:val="16"/>
                <w:szCs w:val="16"/>
              </w:rPr>
            </w:pPr>
            <w:r w:rsidRPr="003169AF">
              <w:rPr>
                <w:rFonts w:ascii="Arial" w:hAnsi="Arial" w:cs="Arial"/>
                <w:sz w:val="16"/>
                <w:szCs w:val="16"/>
              </w:rPr>
              <w:t>AND</w:t>
            </w:r>
          </w:p>
        </w:tc>
      </w:tr>
      <w:tr w:rsidR="00B548E1" w14:paraId="0BF90DDE" w14:textId="77777777" w:rsidTr="00057600">
        <w:tc>
          <w:tcPr>
            <w:tcW w:w="1548" w:type="dxa"/>
            <w:vMerge/>
          </w:tcPr>
          <w:p w14:paraId="560DF66C" w14:textId="77777777" w:rsidR="00B548E1" w:rsidRPr="003169AF" w:rsidRDefault="00B548E1" w:rsidP="00057600">
            <w:pPr>
              <w:rPr>
                <w:rFonts w:ascii="Arial" w:hAnsi="Arial" w:cs="Arial"/>
                <w:sz w:val="16"/>
                <w:szCs w:val="16"/>
              </w:rPr>
            </w:pPr>
          </w:p>
        </w:tc>
        <w:tc>
          <w:tcPr>
            <w:tcW w:w="1334" w:type="dxa"/>
            <w:vMerge/>
          </w:tcPr>
          <w:p w14:paraId="70B37B74" w14:textId="77777777" w:rsidR="00B548E1" w:rsidRPr="003169AF" w:rsidRDefault="00B548E1" w:rsidP="00057600">
            <w:pPr>
              <w:rPr>
                <w:rFonts w:ascii="Arial" w:hAnsi="Arial" w:cs="Arial"/>
                <w:sz w:val="16"/>
                <w:szCs w:val="16"/>
              </w:rPr>
            </w:pPr>
          </w:p>
        </w:tc>
        <w:tc>
          <w:tcPr>
            <w:tcW w:w="2679" w:type="dxa"/>
          </w:tcPr>
          <w:p w14:paraId="3093F266" w14:textId="77777777" w:rsidR="00B548E1" w:rsidRPr="003169AF" w:rsidRDefault="00B548E1" w:rsidP="00057600">
            <w:pPr>
              <w:rPr>
                <w:rFonts w:ascii="Arial" w:hAnsi="Arial" w:cs="Arial"/>
                <w:sz w:val="16"/>
                <w:szCs w:val="16"/>
              </w:rPr>
            </w:pPr>
            <w:r w:rsidRPr="003169AF">
              <w:rPr>
                <w:rFonts w:ascii="Arial" w:hAnsi="Arial" w:cs="Arial"/>
                <w:sz w:val="16"/>
                <w:szCs w:val="16"/>
              </w:rPr>
              <w:t>Intervention, Project, program*</w:t>
            </w:r>
          </w:p>
        </w:tc>
        <w:tc>
          <w:tcPr>
            <w:tcW w:w="4537" w:type="dxa"/>
          </w:tcPr>
          <w:p w14:paraId="36C70434" w14:textId="77777777" w:rsidR="00B548E1" w:rsidRPr="003169AF" w:rsidRDefault="00B548E1" w:rsidP="00057600">
            <w:pPr>
              <w:rPr>
                <w:rFonts w:ascii="Arial" w:hAnsi="Arial" w:cs="Arial"/>
                <w:sz w:val="16"/>
                <w:szCs w:val="16"/>
              </w:rPr>
            </w:pPr>
            <w:r w:rsidRPr="003169AF">
              <w:rPr>
                <w:rFonts w:ascii="Arial" w:hAnsi="Arial" w:cs="Arial"/>
                <w:sz w:val="16"/>
                <w:szCs w:val="16"/>
              </w:rPr>
              <w:t>Intervention OR project OR program*</w:t>
            </w:r>
          </w:p>
        </w:tc>
      </w:tr>
      <w:tr w:rsidR="00B548E1" w14:paraId="61AA4BDA" w14:textId="77777777" w:rsidTr="00057600">
        <w:tc>
          <w:tcPr>
            <w:tcW w:w="1548" w:type="dxa"/>
            <w:vMerge w:val="restart"/>
          </w:tcPr>
          <w:p w14:paraId="6C95C25B" w14:textId="77777777" w:rsidR="00B548E1" w:rsidRPr="003169AF" w:rsidRDefault="00B548E1" w:rsidP="00057600">
            <w:pPr>
              <w:rPr>
                <w:rFonts w:ascii="Arial" w:hAnsi="Arial" w:cs="Arial"/>
                <w:sz w:val="16"/>
                <w:szCs w:val="16"/>
              </w:rPr>
            </w:pPr>
            <w:r w:rsidRPr="003169AF">
              <w:rPr>
                <w:rFonts w:ascii="Arial" w:hAnsi="Arial" w:cs="Arial"/>
                <w:sz w:val="16"/>
                <w:szCs w:val="16"/>
              </w:rPr>
              <w:t>Other databases (searching in the abstracts)</w:t>
            </w:r>
            <w:r>
              <w:rPr>
                <w:rStyle w:val="FootnoteReference"/>
                <w:rFonts w:ascii="Arial" w:hAnsi="Arial" w:cs="Arial"/>
                <w:sz w:val="16"/>
                <w:szCs w:val="16"/>
              </w:rPr>
              <w:footnoteReference w:id="1"/>
            </w:r>
          </w:p>
        </w:tc>
        <w:tc>
          <w:tcPr>
            <w:tcW w:w="1334" w:type="dxa"/>
          </w:tcPr>
          <w:p w14:paraId="484E0C8D" w14:textId="77777777" w:rsidR="00B548E1" w:rsidRPr="003169AF" w:rsidRDefault="00B548E1" w:rsidP="00057600">
            <w:pPr>
              <w:rPr>
                <w:rFonts w:ascii="Arial" w:hAnsi="Arial" w:cs="Arial"/>
                <w:sz w:val="16"/>
                <w:szCs w:val="16"/>
              </w:rPr>
            </w:pPr>
            <w:r w:rsidRPr="003169AF">
              <w:rPr>
                <w:rFonts w:ascii="Arial" w:hAnsi="Arial" w:cs="Arial"/>
                <w:sz w:val="16"/>
                <w:szCs w:val="16"/>
              </w:rPr>
              <w:t>Population</w:t>
            </w:r>
          </w:p>
        </w:tc>
        <w:tc>
          <w:tcPr>
            <w:tcW w:w="2679" w:type="dxa"/>
          </w:tcPr>
          <w:p w14:paraId="754461D9" w14:textId="77777777" w:rsidR="00B548E1" w:rsidRPr="003169AF" w:rsidRDefault="00B548E1" w:rsidP="00057600">
            <w:pPr>
              <w:rPr>
                <w:rFonts w:ascii="Arial" w:hAnsi="Arial" w:cs="Arial"/>
                <w:sz w:val="16"/>
                <w:szCs w:val="16"/>
              </w:rPr>
            </w:pPr>
            <w:r w:rsidRPr="003169AF">
              <w:rPr>
                <w:rFonts w:ascii="Arial" w:hAnsi="Arial" w:cs="Arial"/>
                <w:sz w:val="16"/>
                <w:szCs w:val="16"/>
              </w:rPr>
              <w:t>Children, child, Adolescents, Youth, teenager</w:t>
            </w:r>
          </w:p>
        </w:tc>
        <w:tc>
          <w:tcPr>
            <w:tcW w:w="4537" w:type="dxa"/>
          </w:tcPr>
          <w:p w14:paraId="5B6ABFDC" w14:textId="77777777" w:rsidR="00B548E1" w:rsidRPr="003169AF" w:rsidRDefault="00B548E1" w:rsidP="00057600">
            <w:pPr>
              <w:rPr>
                <w:rFonts w:ascii="Arial" w:hAnsi="Arial" w:cs="Arial"/>
                <w:sz w:val="16"/>
                <w:szCs w:val="16"/>
              </w:rPr>
            </w:pPr>
            <w:r w:rsidRPr="003169AF">
              <w:rPr>
                <w:rFonts w:ascii="Arial" w:hAnsi="Arial" w:cs="Arial"/>
                <w:sz w:val="16"/>
                <w:szCs w:val="16"/>
              </w:rPr>
              <w:t>children OR child OR adolescents OR youth OR teenager</w:t>
            </w:r>
          </w:p>
          <w:p w14:paraId="294F48D8" w14:textId="77777777" w:rsidR="00B548E1" w:rsidRPr="003169AF" w:rsidRDefault="00B548E1" w:rsidP="00057600">
            <w:pPr>
              <w:rPr>
                <w:rFonts w:ascii="Arial" w:hAnsi="Arial" w:cs="Arial"/>
                <w:sz w:val="16"/>
                <w:szCs w:val="16"/>
              </w:rPr>
            </w:pPr>
            <w:r w:rsidRPr="003169AF">
              <w:rPr>
                <w:rFonts w:ascii="Arial" w:hAnsi="Arial" w:cs="Arial"/>
                <w:sz w:val="16"/>
                <w:szCs w:val="16"/>
              </w:rPr>
              <w:t>AND</w:t>
            </w:r>
          </w:p>
        </w:tc>
      </w:tr>
      <w:tr w:rsidR="00B548E1" w14:paraId="336DECC0" w14:textId="77777777" w:rsidTr="00057600">
        <w:tc>
          <w:tcPr>
            <w:tcW w:w="1548" w:type="dxa"/>
            <w:vMerge/>
          </w:tcPr>
          <w:p w14:paraId="5D2CCBAD" w14:textId="77777777" w:rsidR="00B548E1" w:rsidRPr="003169AF" w:rsidRDefault="00B548E1" w:rsidP="00057600">
            <w:pPr>
              <w:rPr>
                <w:rFonts w:ascii="Arial" w:hAnsi="Arial" w:cs="Arial"/>
                <w:sz w:val="16"/>
                <w:szCs w:val="16"/>
              </w:rPr>
            </w:pPr>
          </w:p>
        </w:tc>
        <w:tc>
          <w:tcPr>
            <w:tcW w:w="1334" w:type="dxa"/>
          </w:tcPr>
          <w:p w14:paraId="1A8E91C1" w14:textId="77777777" w:rsidR="00B548E1" w:rsidRPr="003169AF" w:rsidRDefault="00B548E1" w:rsidP="00057600">
            <w:pPr>
              <w:rPr>
                <w:rFonts w:ascii="Arial" w:hAnsi="Arial" w:cs="Arial"/>
                <w:sz w:val="16"/>
                <w:szCs w:val="16"/>
              </w:rPr>
            </w:pPr>
            <w:r w:rsidRPr="003169AF">
              <w:rPr>
                <w:rFonts w:ascii="Arial" w:hAnsi="Arial" w:cs="Arial"/>
                <w:sz w:val="16"/>
                <w:szCs w:val="16"/>
              </w:rPr>
              <w:t>Concept</w:t>
            </w:r>
          </w:p>
        </w:tc>
        <w:tc>
          <w:tcPr>
            <w:tcW w:w="2679" w:type="dxa"/>
          </w:tcPr>
          <w:p w14:paraId="6A7A4DC9" w14:textId="77777777" w:rsidR="00B548E1" w:rsidRPr="003169AF" w:rsidRDefault="00B548E1" w:rsidP="00057600">
            <w:pPr>
              <w:rPr>
                <w:rFonts w:ascii="Arial" w:hAnsi="Arial" w:cs="Arial"/>
                <w:sz w:val="16"/>
                <w:szCs w:val="16"/>
              </w:rPr>
            </w:pPr>
            <w:r w:rsidRPr="003169AF">
              <w:rPr>
                <w:rFonts w:ascii="Arial" w:hAnsi="Arial" w:cs="Arial"/>
                <w:sz w:val="16"/>
                <w:szCs w:val="16"/>
              </w:rPr>
              <w:t>behavior change wheel,</w:t>
            </w:r>
          </w:p>
          <w:p w14:paraId="71070C75" w14:textId="77777777" w:rsidR="00B548E1" w:rsidRPr="003169AF" w:rsidRDefault="00B548E1" w:rsidP="00057600">
            <w:pPr>
              <w:rPr>
                <w:rFonts w:ascii="Arial" w:hAnsi="Arial" w:cs="Arial"/>
                <w:sz w:val="16"/>
                <w:szCs w:val="16"/>
              </w:rPr>
            </w:pPr>
            <w:r w:rsidRPr="003169AF">
              <w:rPr>
                <w:rFonts w:ascii="Arial" w:hAnsi="Arial" w:cs="Arial"/>
                <w:sz w:val="16"/>
                <w:szCs w:val="16"/>
              </w:rPr>
              <w:t>behavior change wheel</w:t>
            </w:r>
          </w:p>
        </w:tc>
        <w:tc>
          <w:tcPr>
            <w:tcW w:w="4537" w:type="dxa"/>
          </w:tcPr>
          <w:p w14:paraId="3675C8AF" w14:textId="77777777" w:rsidR="00B548E1" w:rsidRPr="003169AF" w:rsidRDefault="00B548E1" w:rsidP="00057600">
            <w:pPr>
              <w:rPr>
                <w:rFonts w:ascii="Arial" w:hAnsi="Arial" w:cs="Arial"/>
                <w:sz w:val="16"/>
                <w:szCs w:val="16"/>
              </w:rPr>
            </w:pPr>
            <w:r w:rsidRPr="003169AF">
              <w:rPr>
                <w:rFonts w:ascii="Arial" w:hAnsi="Arial" w:cs="Arial"/>
                <w:sz w:val="16"/>
                <w:szCs w:val="16"/>
              </w:rPr>
              <w:t>behaviour change wheel OR behavior change wheel</w:t>
            </w:r>
          </w:p>
          <w:p w14:paraId="5FA0B5DE" w14:textId="77777777" w:rsidR="00B548E1" w:rsidRPr="003169AF" w:rsidRDefault="00B548E1" w:rsidP="00057600">
            <w:pPr>
              <w:rPr>
                <w:rFonts w:ascii="Arial" w:hAnsi="Arial" w:cs="Arial"/>
                <w:sz w:val="16"/>
                <w:szCs w:val="16"/>
              </w:rPr>
            </w:pPr>
            <w:r w:rsidRPr="003169AF">
              <w:rPr>
                <w:rFonts w:ascii="Arial" w:hAnsi="Arial" w:cs="Arial"/>
                <w:sz w:val="16"/>
                <w:szCs w:val="16"/>
              </w:rPr>
              <w:t>AND</w:t>
            </w:r>
          </w:p>
        </w:tc>
      </w:tr>
      <w:tr w:rsidR="00B548E1" w14:paraId="2341A50D" w14:textId="77777777" w:rsidTr="00057600">
        <w:tc>
          <w:tcPr>
            <w:tcW w:w="1548" w:type="dxa"/>
            <w:vMerge/>
          </w:tcPr>
          <w:p w14:paraId="1B205932" w14:textId="77777777" w:rsidR="00B548E1" w:rsidRPr="003169AF" w:rsidRDefault="00B548E1" w:rsidP="00057600">
            <w:pPr>
              <w:rPr>
                <w:rFonts w:ascii="Arial" w:hAnsi="Arial" w:cs="Arial"/>
                <w:sz w:val="16"/>
                <w:szCs w:val="16"/>
              </w:rPr>
            </w:pPr>
          </w:p>
        </w:tc>
        <w:tc>
          <w:tcPr>
            <w:tcW w:w="1334" w:type="dxa"/>
            <w:vMerge w:val="restart"/>
          </w:tcPr>
          <w:p w14:paraId="430A85AA" w14:textId="77777777" w:rsidR="00B548E1" w:rsidRPr="003169AF" w:rsidRDefault="00B548E1" w:rsidP="00057600">
            <w:pPr>
              <w:rPr>
                <w:rFonts w:ascii="Arial" w:hAnsi="Arial" w:cs="Arial"/>
                <w:sz w:val="16"/>
                <w:szCs w:val="16"/>
              </w:rPr>
            </w:pPr>
          </w:p>
          <w:p w14:paraId="05B6B4EF" w14:textId="77777777" w:rsidR="00B548E1" w:rsidRPr="003169AF" w:rsidRDefault="00B548E1" w:rsidP="00057600">
            <w:pPr>
              <w:rPr>
                <w:rFonts w:ascii="Arial" w:hAnsi="Arial" w:cs="Arial"/>
                <w:sz w:val="16"/>
                <w:szCs w:val="16"/>
              </w:rPr>
            </w:pPr>
            <w:r w:rsidRPr="003169AF">
              <w:rPr>
                <w:rFonts w:ascii="Arial" w:hAnsi="Arial" w:cs="Arial"/>
                <w:sz w:val="16"/>
                <w:szCs w:val="16"/>
              </w:rPr>
              <w:t>Context</w:t>
            </w:r>
          </w:p>
        </w:tc>
        <w:tc>
          <w:tcPr>
            <w:tcW w:w="2679" w:type="dxa"/>
          </w:tcPr>
          <w:p w14:paraId="4D47F70F" w14:textId="77777777" w:rsidR="00B548E1" w:rsidRPr="003169AF" w:rsidRDefault="00B548E1" w:rsidP="00057600">
            <w:pPr>
              <w:rPr>
                <w:rFonts w:ascii="Arial" w:hAnsi="Arial" w:cs="Arial"/>
                <w:sz w:val="16"/>
                <w:szCs w:val="16"/>
              </w:rPr>
            </w:pPr>
            <w:r w:rsidRPr="003169AF">
              <w:rPr>
                <w:rFonts w:ascii="Arial" w:hAnsi="Arial" w:cs="Arial"/>
                <w:sz w:val="16"/>
                <w:szCs w:val="16"/>
              </w:rPr>
              <w:t>Nutrition, Diet, food, food intake, eating, nourishment</w:t>
            </w:r>
          </w:p>
        </w:tc>
        <w:tc>
          <w:tcPr>
            <w:tcW w:w="4537" w:type="dxa"/>
          </w:tcPr>
          <w:p w14:paraId="5CDDEA2A" w14:textId="77777777" w:rsidR="00B548E1" w:rsidRPr="003169AF" w:rsidRDefault="00B548E1" w:rsidP="00057600">
            <w:pPr>
              <w:rPr>
                <w:rFonts w:ascii="Arial" w:hAnsi="Arial" w:cs="Arial"/>
                <w:sz w:val="16"/>
                <w:szCs w:val="16"/>
              </w:rPr>
            </w:pPr>
            <w:r w:rsidRPr="003169AF">
              <w:rPr>
                <w:rFonts w:ascii="Arial" w:hAnsi="Arial" w:cs="Arial"/>
                <w:sz w:val="16"/>
                <w:szCs w:val="16"/>
              </w:rPr>
              <w:t>nutrition OR diet OR food OR food intake OR eating OR nourishment</w:t>
            </w:r>
          </w:p>
          <w:p w14:paraId="486D46CB" w14:textId="77777777" w:rsidR="00B548E1" w:rsidRPr="003169AF" w:rsidRDefault="00B548E1" w:rsidP="00057600">
            <w:pPr>
              <w:rPr>
                <w:rFonts w:ascii="Arial" w:hAnsi="Arial" w:cs="Arial"/>
                <w:sz w:val="16"/>
                <w:szCs w:val="16"/>
              </w:rPr>
            </w:pPr>
            <w:r w:rsidRPr="003169AF">
              <w:rPr>
                <w:rFonts w:ascii="Arial" w:hAnsi="Arial" w:cs="Arial"/>
                <w:sz w:val="16"/>
                <w:szCs w:val="16"/>
              </w:rPr>
              <w:t>AND</w:t>
            </w:r>
          </w:p>
        </w:tc>
      </w:tr>
      <w:tr w:rsidR="00B548E1" w14:paraId="0986AB07" w14:textId="77777777" w:rsidTr="00057600">
        <w:tc>
          <w:tcPr>
            <w:tcW w:w="1548" w:type="dxa"/>
            <w:vMerge/>
          </w:tcPr>
          <w:p w14:paraId="2865AC41" w14:textId="77777777" w:rsidR="00B548E1" w:rsidRPr="003169AF" w:rsidRDefault="00B548E1" w:rsidP="00057600">
            <w:pPr>
              <w:rPr>
                <w:rFonts w:ascii="Arial" w:hAnsi="Arial" w:cs="Arial"/>
                <w:sz w:val="16"/>
                <w:szCs w:val="16"/>
              </w:rPr>
            </w:pPr>
          </w:p>
        </w:tc>
        <w:tc>
          <w:tcPr>
            <w:tcW w:w="1334" w:type="dxa"/>
            <w:vMerge/>
          </w:tcPr>
          <w:p w14:paraId="5F8E0CDB" w14:textId="77777777" w:rsidR="00B548E1" w:rsidRPr="003169AF" w:rsidRDefault="00B548E1" w:rsidP="00057600">
            <w:pPr>
              <w:rPr>
                <w:rFonts w:ascii="Arial" w:hAnsi="Arial" w:cs="Arial"/>
                <w:sz w:val="16"/>
                <w:szCs w:val="16"/>
              </w:rPr>
            </w:pPr>
          </w:p>
        </w:tc>
        <w:tc>
          <w:tcPr>
            <w:tcW w:w="2679" w:type="dxa"/>
          </w:tcPr>
          <w:p w14:paraId="67902631" w14:textId="77777777" w:rsidR="00B548E1" w:rsidRPr="003169AF" w:rsidRDefault="00B548E1" w:rsidP="00057600">
            <w:pPr>
              <w:rPr>
                <w:rFonts w:ascii="Arial" w:hAnsi="Arial" w:cs="Arial"/>
                <w:sz w:val="16"/>
                <w:szCs w:val="16"/>
              </w:rPr>
            </w:pPr>
            <w:r w:rsidRPr="003169AF">
              <w:rPr>
                <w:rFonts w:ascii="Arial" w:hAnsi="Arial" w:cs="Arial"/>
                <w:sz w:val="16"/>
                <w:szCs w:val="16"/>
              </w:rPr>
              <w:t>Intervention, Project, program*</w:t>
            </w:r>
          </w:p>
        </w:tc>
        <w:tc>
          <w:tcPr>
            <w:tcW w:w="4537" w:type="dxa"/>
          </w:tcPr>
          <w:p w14:paraId="20161093" w14:textId="77777777" w:rsidR="00B548E1" w:rsidRPr="003169AF" w:rsidRDefault="00B548E1" w:rsidP="00057600">
            <w:pPr>
              <w:rPr>
                <w:rFonts w:ascii="Arial" w:hAnsi="Arial" w:cs="Arial"/>
                <w:sz w:val="16"/>
                <w:szCs w:val="16"/>
              </w:rPr>
            </w:pPr>
            <w:r w:rsidRPr="003169AF">
              <w:rPr>
                <w:rFonts w:ascii="Arial" w:hAnsi="Arial" w:cs="Arial"/>
                <w:sz w:val="16"/>
                <w:szCs w:val="16"/>
              </w:rPr>
              <w:t>intervention OR project OR program*</w:t>
            </w:r>
          </w:p>
        </w:tc>
      </w:tr>
    </w:tbl>
    <w:p w14:paraId="0E5BD3EF" w14:textId="77777777" w:rsidR="00B548E1" w:rsidRPr="003169AF" w:rsidRDefault="00B548E1" w:rsidP="00B548E1">
      <w:pPr>
        <w:spacing w:line="240" w:lineRule="auto"/>
        <w:jc w:val="both"/>
        <w:rPr>
          <w:rFonts w:ascii="Arial" w:hAnsi="Arial" w:cs="Arial"/>
          <w:color w:val="0D0D0D"/>
          <w:sz w:val="14"/>
          <w:szCs w:val="14"/>
          <w:shd w:val="clear" w:color="auto" w:fill="FFFFFF"/>
        </w:rPr>
      </w:pPr>
    </w:p>
    <w:p w14:paraId="73DE27A0" w14:textId="77777777" w:rsidR="00B548E1" w:rsidRPr="003169AF" w:rsidRDefault="00B548E1" w:rsidP="00B548E1">
      <w:pPr>
        <w:pStyle w:val="Heading2"/>
        <w:spacing w:line="240" w:lineRule="auto"/>
        <w:rPr>
          <w:rFonts w:ascii="Arial" w:hAnsi="Arial" w:cs="Arial"/>
          <w:b/>
          <w:bCs/>
          <w:sz w:val="24"/>
          <w:szCs w:val="24"/>
        </w:rPr>
      </w:pPr>
      <w:bookmarkStart w:id="1" w:name="_Toc185280921"/>
      <w:r w:rsidRPr="003169AF">
        <w:rPr>
          <w:rFonts w:ascii="Arial" w:hAnsi="Arial" w:cs="Arial"/>
          <w:b/>
          <w:bCs/>
          <w:color w:val="auto"/>
          <w:sz w:val="24"/>
          <w:szCs w:val="24"/>
        </w:rPr>
        <w:t>Annex 2. Data charting</w:t>
      </w:r>
      <w:bookmarkEnd w:id="1"/>
    </w:p>
    <w:p w14:paraId="2CA320FC" w14:textId="77777777" w:rsidR="00B548E1" w:rsidRPr="003169AF" w:rsidRDefault="00B548E1" w:rsidP="00B548E1">
      <w:pPr>
        <w:spacing w:line="240" w:lineRule="auto"/>
        <w:jc w:val="both"/>
        <w:rPr>
          <w:rFonts w:ascii="Arial" w:hAnsi="Arial" w:cs="Arial"/>
        </w:rPr>
      </w:pPr>
      <w:r w:rsidRPr="003169AF">
        <w:rPr>
          <w:rFonts w:ascii="Arial" w:hAnsi="Arial" w:cs="Arial"/>
        </w:rPr>
        <w:t>The data charting included the following rubrics and details.</w:t>
      </w:r>
    </w:p>
    <w:p w14:paraId="093520C4" w14:textId="77777777" w:rsidR="00B548E1" w:rsidRPr="003169AF" w:rsidRDefault="00B548E1" w:rsidP="00B548E1">
      <w:pPr>
        <w:pStyle w:val="ListParagraph"/>
        <w:numPr>
          <w:ilvl w:val="0"/>
          <w:numId w:val="33"/>
        </w:numPr>
        <w:spacing w:after="0" w:line="240" w:lineRule="auto"/>
        <w:ind w:left="360"/>
        <w:jc w:val="both"/>
        <w:rPr>
          <w:rFonts w:ascii="Arial" w:hAnsi="Arial" w:cs="Arial"/>
        </w:rPr>
      </w:pPr>
      <w:r w:rsidRPr="003169AF">
        <w:rPr>
          <w:rFonts w:ascii="Arial" w:hAnsi="Arial" w:cs="Arial"/>
          <w:b/>
          <w:bCs/>
        </w:rPr>
        <w:t xml:space="preserve">Study characteristics: </w:t>
      </w:r>
      <w:bookmarkStart w:id="2" w:name="ZOTERO_BREF_q1olZGqSdssb"/>
      <w:r w:rsidRPr="003169AF">
        <w:rPr>
          <w:rFonts w:ascii="Arial" w:hAnsi="Arial" w:cs="Arial"/>
        </w:rPr>
        <w:t>The key elements</w:t>
      </w:r>
      <w:r w:rsidRPr="003169AF">
        <w:rPr>
          <w:rFonts w:ascii="Arial" w:eastAsia="Aptos" w:hAnsi="Arial" w:cs="Arial"/>
        </w:rPr>
        <w:t>,</w:t>
      </w:r>
      <w:r w:rsidRPr="003169AF">
        <w:rPr>
          <w:rFonts w:ascii="Arial" w:hAnsi="Arial" w:cs="Arial"/>
        </w:rPr>
        <w:t xml:space="preserve"> especially the year of publication and country or region</w:t>
      </w:r>
      <w:r w:rsidRPr="003169AF">
        <w:rPr>
          <w:rFonts w:ascii="Arial" w:eastAsia="Aptos" w:hAnsi="Arial" w:cs="Arial"/>
        </w:rPr>
        <w:t>,</w:t>
      </w:r>
      <w:r w:rsidRPr="003169AF">
        <w:rPr>
          <w:rFonts w:ascii="Arial" w:hAnsi="Arial" w:cs="Arial"/>
        </w:rPr>
        <w:t xml:space="preserve"> were drawn from (46)</w:t>
      </w:r>
      <w:bookmarkEnd w:id="2"/>
      <w:r w:rsidRPr="003169AF">
        <w:rPr>
          <w:rFonts w:ascii="Arial" w:eastAsia="Aptos" w:hAnsi="Arial" w:cs="Arial"/>
          <w:kern w:val="0"/>
        </w:rPr>
        <w:t>,</w:t>
      </w:r>
      <w:r w:rsidRPr="003169AF">
        <w:rPr>
          <w:rFonts w:ascii="Arial" w:hAnsi="Arial" w:cs="Arial"/>
        </w:rPr>
        <w:t xml:space="preserve"> but the researcher </w:t>
      </w:r>
      <w:r w:rsidRPr="003169AF">
        <w:rPr>
          <w:rFonts w:ascii="Arial" w:eastAsia="Aptos" w:hAnsi="Arial" w:cs="Arial"/>
        </w:rPr>
        <w:t xml:space="preserve">also </w:t>
      </w:r>
      <w:r w:rsidRPr="003169AF">
        <w:rPr>
          <w:rFonts w:ascii="Arial" w:hAnsi="Arial" w:cs="Arial"/>
        </w:rPr>
        <w:t>added information needed to contextually understand the review:</w:t>
      </w:r>
    </w:p>
    <w:p w14:paraId="5636C20A" w14:textId="77777777" w:rsidR="00B548E1" w:rsidRPr="003169AF" w:rsidRDefault="00B548E1" w:rsidP="00B548E1">
      <w:pPr>
        <w:pStyle w:val="ListParagraph"/>
        <w:numPr>
          <w:ilvl w:val="1"/>
          <w:numId w:val="33"/>
        </w:numPr>
        <w:spacing w:after="0" w:line="240" w:lineRule="auto"/>
        <w:ind w:left="1080"/>
        <w:jc w:val="both"/>
        <w:rPr>
          <w:rFonts w:ascii="Arial" w:hAnsi="Arial" w:cs="Arial"/>
        </w:rPr>
      </w:pPr>
      <w:r w:rsidRPr="003169AF">
        <w:rPr>
          <w:rFonts w:ascii="Arial" w:hAnsi="Arial" w:cs="Arial"/>
        </w:rPr>
        <w:t>Author(s)</w:t>
      </w:r>
    </w:p>
    <w:p w14:paraId="0DBED460" w14:textId="77777777" w:rsidR="00B548E1" w:rsidRPr="003169AF" w:rsidRDefault="00B548E1" w:rsidP="00B548E1">
      <w:pPr>
        <w:pStyle w:val="ListParagraph"/>
        <w:numPr>
          <w:ilvl w:val="1"/>
          <w:numId w:val="33"/>
        </w:numPr>
        <w:spacing w:after="0" w:line="240" w:lineRule="auto"/>
        <w:ind w:left="1080"/>
        <w:jc w:val="both"/>
        <w:rPr>
          <w:rFonts w:ascii="Arial" w:hAnsi="Arial" w:cs="Arial"/>
        </w:rPr>
      </w:pPr>
      <w:r w:rsidRPr="003169AF">
        <w:rPr>
          <w:rFonts w:ascii="Arial" w:hAnsi="Arial" w:cs="Arial"/>
        </w:rPr>
        <w:t>Year of publication</w:t>
      </w:r>
    </w:p>
    <w:p w14:paraId="6CE61913" w14:textId="77777777" w:rsidR="00B548E1" w:rsidRPr="003169AF" w:rsidRDefault="00B548E1" w:rsidP="00B548E1">
      <w:pPr>
        <w:pStyle w:val="ListParagraph"/>
        <w:numPr>
          <w:ilvl w:val="1"/>
          <w:numId w:val="33"/>
        </w:numPr>
        <w:spacing w:after="0" w:line="240" w:lineRule="auto"/>
        <w:ind w:left="1080"/>
        <w:jc w:val="both"/>
        <w:rPr>
          <w:rFonts w:ascii="Arial" w:hAnsi="Arial" w:cs="Arial"/>
        </w:rPr>
      </w:pPr>
      <w:r w:rsidRPr="003169AF">
        <w:rPr>
          <w:rFonts w:ascii="Arial" w:hAnsi="Arial" w:cs="Arial"/>
        </w:rPr>
        <w:t>Publication title</w:t>
      </w:r>
    </w:p>
    <w:p w14:paraId="525CE291" w14:textId="77777777" w:rsidR="00B548E1" w:rsidRPr="003169AF" w:rsidRDefault="00B548E1" w:rsidP="00B548E1">
      <w:pPr>
        <w:pStyle w:val="ListParagraph"/>
        <w:numPr>
          <w:ilvl w:val="1"/>
          <w:numId w:val="33"/>
        </w:numPr>
        <w:spacing w:after="0" w:line="240" w:lineRule="auto"/>
        <w:ind w:left="1080"/>
        <w:jc w:val="both"/>
        <w:rPr>
          <w:rFonts w:ascii="Arial" w:hAnsi="Arial" w:cs="Arial"/>
        </w:rPr>
      </w:pPr>
      <w:r w:rsidRPr="003169AF">
        <w:rPr>
          <w:rFonts w:ascii="Arial" w:hAnsi="Arial" w:cs="Arial"/>
        </w:rPr>
        <w:t>Description – nutrition focus, rural or (peri-)urban, pilot, scaled-up</w:t>
      </w:r>
    </w:p>
    <w:p w14:paraId="506CA779" w14:textId="77777777" w:rsidR="00B548E1" w:rsidRPr="003169AF" w:rsidRDefault="00B548E1" w:rsidP="00B548E1">
      <w:pPr>
        <w:pStyle w:val="ListParagraph"/>
        <w:numPr>
          <w:ilvl w:val="1"/>
          <w:numId w:val="33"/>
        </w:numPr>
        <w:spacing w:after="0" w:line="240" w:lineRule="auto"/>
        <w:ind w:left="1080"/>
        <w:jc w:val="both"/>
        <w:rPr>
          <w:rFonts w:ascii="Arial" w:hAnsi="Arial" w:cs="Arial"/>
        </w:rPr>
      </w:pPr>
      <w:r w:rsidRPr="003169AF">
        <w:rPr>
          <w:rFonts w:ascii="Arial" w:hAnsi="Arial" w:cs="Arial"/>
        </w:rPr>
        <w:t xml:space="preserve">Country/region – specifying </w:t>
      </w:r>
      <w:r w:rsidRPr="003169AF">
        <w:rPr>
          <w:rFonts w:ascii="Arial" w:eastAsia="Aptos" w:hAnsi="Arial" w:cs="Arial"/>
        </w:rPr>
        <w:t xml:space="preserve">the </w:t>
      </w:r>
      <w:r w:rsidRPr="003169AF">
        <w:rPr>
          <w:rFonts w:ascii="Arial" w:hAnsi="Arial" w:cs="Arial"/>
        </w:rPr>
        <w:t>geographical location of the intervention</w:t>
      </w:r>
    </w:p>
    <w:p w14:paraId="73619BC7" w14:textId="77777777" w:rsidR="00B548E1" w:rsidRPr="003169AF" w:rsidRDefault="00B548E1" w:rsidP="00B548E1">
      <w:pPr>
        <w:pStyle w:val="ListParagraph"/>
        <w:numPr>
          <w:ilvl w:val="1"/>
          <w:numId w:val="33"/>
        </w:numPr>
        <w:spacing w:after="0" w:line="240" w:lineRule="auto"/>
        <w:ind w:left="1080"/>
        <w:jc w:val="both"/>
        <w:rPr>
          <w:rFonts w:ascii="Arial" w:hAnsi="Arial" w:cs="Arial"/>
        </w:rPr>
      </w:pPr>
      <w:r w:rsidRPr="003169AF">
        <w:rPr>
          <w:rFonts w:ascii="Arial" w:hAnsi="Arial" w:cs="Arial"/>
        </w:rPr>
        <w:t>Total participants or sample size used in the review articles</w:t>
      </w:r>
    </w:p>
    <w:p w14:paraId="02A224CC" w14:textId="77777777" w:rsidR="00B548E1" w:rsidRPr="003169AF" w:rsidRDefault="00B548E1" w:rsidP="00B548E1">
      <w:pPr>
        <w:pStyle w:val="ListParagraph"/>
        <w:numPr>
          <w:ilvl w:val="1"/>
          <w:numId w:val="33"/>
        </w:numPr>
        <w:spacing w:after="0" w:line="240" w:lineRule="auto"/>
        <w:ind w:left="1080"/>
        <w:jc w:val="both"/>
        <w:rPr>
          <w:rFonts w:ascii="Arial" w:hAnsi="Arial" w:cs="Arial"/>
        </w:rPr>
      </w:pPr>
      <w:r w:rsidRPr="003169AF">
        <w:rPr>
          <w:rFonts w:ascii="Arial" w:hAnsi="Arial" w:cs="Arial"/>
        </w:rPr>
        <w:t xml:space="preserve">Age group – specifying </w:t>
      </w:r>
      <w:r w:rsidRPr="003169AF">
        <w:rPr>
          <w:rFonts w:ascii="Arial" w:eastAsia="Aptos" w:hAnsi="Arial" w:cs="Arial"/>
        </w:rPr>
        <w:t>the child</w:t>
      </w:r>
      <w:r w:rsidRPr="003169AF">
        <w:rPr>
          <w:rFonts w:ascii="Arial" w:hAnsi="Arial" w:cs="Arial"/>
        </w:rPr>
        <w:t xml:space="preserve"> age group</w:t>
      </w:r>
    </w:p>
    <w:p w14:paraId="216A5132" w14:textId="77777777" w:rsidR="00B548E1" w:rsidRPr="003169AF" w:rsidRDefault="00B548E1" w:rsidP="00B548E1">
      <w:pPr>
        <w:pStyle w:val="ListParagraph"/>
        <w:numPr>
          <w:ilvl w:val="1"/>
          <w:numId w:val="33"/>
        </w:numPr>
        <w:spacing w:after="0" w:line="240" w:lineRule="auto"/>
        <w:ind w:left="1080"/>
        <w:rPr>
          <w:rFonts w:ascii="Arial" w:hAnsi="Arial" w:cs="Arial"/>
        </w:rPr>
      </w:pPr>
      <w:r w:rsidRPr="003169AF">
        <w:rPr>
          <w:rFonts w:ascii="Arial" w:hAnsi="Arial" w:cs="Arial"/>
        </w:rPr>
        <w:t xml:space="preserve">Research design – </w:t>
      </w:r>
      <w:r w:rsidRPr="003169AF">
        <w:rPr>
          <w:rFonts w:ascii="Arial" w:eastAsia="Aptos" w:hAnsi="Arial" w:cs="Arial"/>
        </w:rPr>
        <w:t>Identifying</w:t>
      </w:r>
      <w:r w:rsidRPr="003169AF">
        <w:rPr>
          <w:rFonts w:ascii="Arial" w:hAnsi="Arial" w:cs="Arial"/>
        </w:rPr>
        <w:t xml:space="preserve"> whether the design upon which the publication is based is experimental, quasiexperimental, cross-sectional, qualitative, quantitative, </w:t>
      </w:r>
      <w:r w:rsidRPr="003169AF">
        <w:rPr>
          <w:rFonts w:ascii="Arial" w:eastAsia="Aptos" w:hAnsi="Arial" w:cs="Arial"/>
        </w:rPr>
        <w:t>or systematic</w:t>
      </w:r>
      <w:r w:rsidRPr="003169AF">
        <w:rPr>
          <w:rFonts w:ascii="Arial" w:hAnsi="Arial" w:cs="Arial"/>
        </w:rPr>
        <w:t>.</w:t>
      </w:r>
    </w:p>
    <w:p w14:paraId="06B9AFA8" w14:textId="77777777" w:rsidR="00B548E1" w:rsidRPr="003169AF" w:rsidRDefault="00B548E1" w:rsidP="00B548E1">
      <w:pPr>
        <w:pStyle w:val="ListParagraph"/>
        <w:spacing w:line="240" w:lineRule="auto"/>
        <w:ind w:left="360"/>
        <w:jc w:val="both"/>
        <w:rPr>
          <w:rFonts w:ascii="Arial" w:hAnsi="Arial" w:cs="Arial"/>
          <w:sz w:val="14"/>
          <w:szCs w:val="14"/>
        </w:rPr>
      </w:pPr>
    </w:p>
    <w:p w14:paraId="1C9464E6" w14:textId="77777777" w:rsidR="00B548E1" w:rsidRPr="003169AF" w:rsidRDefault="00B548E1" w:rsidP="00B548E1">
      <w:pPr>
        <w:pStyle w:val="ListParagraph"/>
        <w:numPr>
          <w:ilvl w:val="0"/>
          <w:numId w:val="33"/>
        </w:numPr>
        <w:spacing w:line="240" w:lineRule="auto"/>
        <w:ind w:left="360"/>
        <w:jc w:val="both"/>
        <w:rPr>
          <w:rFonts w:ascii="Arial" w:hAnsi="Arial" w:cs="Arial"/>
        </w:rPr>
      </w:pPr>
      <w:r w:rsidRPr="003169AF">
        <w:rPr>
          <w:rFonts w:ascii="Arial" w:hAnsi="Arial" w:cs="Arial"/>
          <w:b/>
          <w:bCs/>
        </w:rPr>
        <w:t xml:space="preserve">Intervention </w:t>
      </w:r>
      <w:r w:rsidRPr="003169AF">
        <w:rPr>
          <w:rFonts w:ascii="Arial" w:eastAsia="Aptos" w:hAnsi="Arial" w:cs="Arial"/>
        </w:rPr>
        <w:t>context—recognizing</w:t>
      </w:r>
      <w:r w:rsidRPr="003169AF">
        <w:rPr>
          <w:rFonts w:ascii="Arial" w:hAnsi="Arial" w:cs="Arial"/>
        </w:rPr>
        <w:t xml:space="preserve"> the</w:t>
      </w:r>
      <w:r w:rsidRPr="003169AF">
        <w:rPr>
          <w:rFonts w:ascii="Arial" w:hAnsi="Arial" w:cs="Arial"/>
          <w:b/>
          <w:bCs/>
        </w:rPr>
        <w:t xml:space="preserve"> </w:t>
      </w:r>
      <w:r w:rsidRPr="003169AF">
        <w:rPr>
          <w:rFonts w:ascii="Arial" w:hAnsi="Arial" w:cs="Arial"/>
        </w:rPr>
        <w:t>importance</w:t>
      </w:r>
      <w:r w:rsidRPr="003169AF">
        <w:rPr>
          <w:rFonts w:ascii="Arial" w:hAnsi="Arial" w:cs="Arial"/>
          <w:b/>
          <w:bCs/>
        </w:rPr>
        <w:t xml:space="preserve"> </w:t>
      </w:r>
      <w:r w:rsidRPr="003169AF">
        <w:rPr>
          <w:rFonts w:ascii="Arial" w:hAnsi="Arial" w:cs="Arial"/>
        </w:rPr>
        <w:t>and</w:t>
      </w:r>
      <w:r w:rsidRPr="003169AF">
        <w:rPr>
          <w:rFonts w:ascii="Arial" w:hAnsi="Arial" w:cs="Arial"/>
          <w:b/>
          <w:bCs/>
        </w:rPr>
        <w:t xml:space="preserve"> </w:t>
      </w:r>
      <w:r w:rsidRPr="003169AF">
        <w:rPr>
          <w:rFonts w:ascii="Arial" w:hAnsi="Arial" w:cs="Arial"/>
        </w:rPr>
        <w:t xml:space="preserve">effect of context on interventions </w:t>
      </w:r>
      <w:r w:rsidRPr="003169AF">
        <w:rPr>
          <w:rFonts w:ascii="Arial" w:hAnsi="Arial" w:cs="Arial"/>
        </w:rPr>
        <w:fldChar w:fldCharType="begin"/>
      </w:r>
      <w:r>
        <w:rPr>
          <w:rFonts w:ascii="Arial" w:hAnsi="Arial" w:cs="Arial"/>
        </w:rPr>
        <w:instrText xml:space="preserve"> ADDIN ZOTERO_ITEM CSL_CITATION {"citationID":"n3yZjhwX","properties":{"formattedCitation":"[28]","plainCitation":"[28]","noteIndex":0},"citationItems":[{"id":1728,"uris":["http://zotero.org/users/431602/items/XQSCVG3I"],"itemData":{"id":1728,"type":"article-journal","abstract":"Objective: Health behaviour change interventions (HBCIs), used in health education, health promotion, patient education and psychotherapy areas, are considered complex interventions. The objective of this article is to discuss the value and limitations of using randomised clinical trials (RCTs) to asses HBCIs.\nMethods: A scoping review of the literature was conducted to identify the main challenges of using RCTs for evaluating HBCIs. The issues were illustrated by case studies selected from research conducted by our multidisciplinary team.\nResults: In complex interventions, effects are produced not only by the intervention, but are strongly linked to context. Issues relating to transferability of results are therefore critical, and require adjustments to the RCT model. Sampling bias, biases related to the experimental conditions and biases due to the absence of double-blindness were examined and illustrated by case studies.\nConclusion: The results underline the importance of a multidisciplinary approach. They call for adapted or alternative evaluation models that overcome the limitations of RCTs.","container-title":"Psychology &amp; Health","DOI":"10.1080/08870446.2014.953530","ISSN":"0887-0446, 1476-8321","issue":"1","journalAbbreviation":"Psychology &amp; Health","language":"en","page":"35-51","source":"DOI.org (Crossref)","title":"Evaluating complex interventions: Perspectives and issues for health behaviour change interventions","title-short":"Evaluating complex interventions","volume":"30","author":[{"family":"Tarquinio","given":"Cyril"},{"family":"Kivits","given":"Joëlle"},{"family":"Minary","given":"Laetitia"},{"family":"Coste","given":"Joël"},{"family":"Alla","given":"François"}],"issued":{"date-parts":[["2015",1,2]]}}}],"schema":"https://github.com/citation-style-language/schema/raw/master/csl-citation.json"} </w:instrText>
      </w:r>
      <w:r w:rsidRPr="003169AF">
        <w:rPr>
          <w:rFonts w:ascii="Arial" w:hAnsi="Arial" w:cs="Arial"/>
        </w:rPr>
        <w:fldChar w:fldCharType="separate"/>
      </w:r>
      <w:r w:rsidRPr="002D420D">
        <w:rPr>
          <w:rFonts w:ascii="Arial" w:hAnsi="Arial" w:cs="Arial"/>
        </w:rPr>
        <w:t>[28]</w:t>
      </w:r>
      <w:r w:rsidRPr="003169AF">
        <w:rPr>
          <w:rFonts w:ascii="Arial" w:hAnsi="Arial" w:cs="Arial"/>
        </w:rPr>
        <w:fldChar w:fldCharType="end"/>
      </w:r>
      <w:r w:rsidRPr="003169AF">
        <w:rPr>
          <w:rFonts w:ascii="Arial" w:hAnsi="Arial" w:cs="Arial"/>
        </w:rPr>
        <w:t xml:space="preserve">, the researcher’s positionality as embedded in development and humanitarian settings allowed </w:t>
      </w:r>
      <w:r w:rsidRPr="003169AF">
        <w:rPr>
          <w:rFonts w:ascii="Arial" w:eastAsia="Aptos" w:hAnsi="Arial" w:cs="Arial"/>
        </w:rPr>
        <w:t xml:space="preserve">the </w:t>
      </w:r>
      <w:r w:rsidRPr="003169AF">
        <w:rPr>
          <w:rFonts w:ascii="Arial" w:hAnsi="Arial" w:cs="Arial"/>
        </w:rPr>
        <w:t xml:space="preserve">inclusion of three familiar types of contexts anecdotally known to have differential </w:t>
      </w:r>
      <w:r w:rsidRPr="003169AF">
        <w:rPr>
          <w:rFonts w:ascii="Arial" w:eastAsia="Aptos" w:hAnsi="Arial" w:cs="Arial"/>
        </w:rPr>
        <w:t>effects</w:t>
      </w:r>
      <w:r w:rsidRPr="003169AF">
        <w:rPr>
          <w:rFonts w:ascii="Arial" w:hAnsi="Arial" w:cs="Arial"/>
        </w:rPr>
        <w:t xml:space="preserve"> on nutrition outcomes:</w:t>
      </w:r>
    </w:p>
    <w:p w14:paraId="03EF8D1F" w14:textId="77777777" w:rsidR="00B548E1" w:rsidRPr="003169AF" w:rsidRDefault="00B548E1" w:rsidP="00B548E1">
      <w:pPr>
        <w:pStyle w:val="ListParagraph"/>
        <w:numPr>
          <w:ilvl w:val="1"/>
          <w:numId w:val="33"/>
        </w:numPr>
        <w:spacing w:line="240" w:lineRule="auto"/>
        <w:ind w:left="1080"/>
        <w:jc w:val="both"/>
        <w:rPr>
          <w:rFonts w:ascii="Arial" w:hAnsi="Arial" w:cs="Arial"/>
        </w:rPr>
      </w:pPr>
      <w:r w:rsidRPr="003169AF">
        <w:rPr>
          <w:rFonts w:ascii="Arial" w:hAnsi="Arial" w:cs="Arial"/>
        </w:rPr>
        <w:t>secure/stable for development, long-term interventions</w:t>
      </w:r>
    </w:p>
    <w:p w14:paraId="18058F45" w14:textId="77777777" w:rsidR="00B548E1" w:rsidRPr="003169AF" w:rsidRDefault="00B548E1" w:rsidP="00B548E1">
      <w:pPr>
        <w:pStyle w:val="ListParagraph"/>
        <w:numPr>
          <w:ilvl w:val="1"/>
          <w:numId w:val="33"/>
        </w:numPr>
        <w:spacing w:line="240" w:lineRule="auto"/>
        <w:ind w:left="1080"/>
        <w:jc w:val="both"/>
        <w:rPr>
          <w:rFonts w:ascii="Arial" w:hAnsi="Arial" w:cs="Arial"/>
        </w:rPr>
      </w:pPr>
      <w:r w:rsidRPr="003169AF">
        <w:rPr>
          <w:rFonts w:ascii="Arial" w:hAnsi="Arial" w:cs="Arial"/>
        </w:rPr>
        <w:t>emergency allowing short-term and/or quick interventions, or</w:t>
      </w:r>
    </w:p>
    <w:p w14:paraId="2855F59A" w14:textId="77777777" w:rsidR="00B548E1" w:rsidRPr="003169AF" w:rsidRDefault="00B548E1" w:rsidP="00B548E1">
      <w:pPr>
        <w:pStyle w:val="ListParagraph"/>
        <w:numPr>
          <w:ilvl w:val="1"/>
          <w:numId w:val="33"/>
        </w:numPr>
        <w:spacing w:line="240" w:lineRule="auto"/>
        <w:ind w:left="1080"/>
        <w:jc w:val="both"/>
        <w:rPr>
          <w:rFonts w:ascii="Arial" w:hAnsi="Arial" w:cs="Arial"/>
        </w:rPr>
      </w:pPr>
      <w:r w:rsidRPr="003169AF">
        <w:rPr>
          <w:rFonts w:ascii="Arial" w:hAnsi="Arial" w:cs="Arial"/>
        </w:rPr>
        <w:t>humanitarian in protracted crisis</w:t>
      </w:r>
      <w:r w:rsidRPr="003169AF">
        <w:rPr>
          <w:rFonts w:ascii="Arial" w:eastAsia="Aptos" w:hAnsi="Arial" w:cs="Arial"/>
        </w:rPr>
        <w:t>,</w:t>
      </w:r>
      <w:r w:rsidRPr="003169AF">
        <w:rPr>
          <w:rFonts w:ascii="Arial" w:hAnsi="Arial" w:cs="Arial"/>
        </w:rPr>
        <w:t xml:space="preserve"> allowing mid-/long-term interventions.</w:t>
      </w:r>
    </w:p>
    <w:p w14:paraId="04BBDCE1" w14:textId="77777777" w:rsidR="00B548E1" w:rsidRPr="003169AF" w:rsidRDefault="00B548E1" w:rsidP="00B548E1">
      <w:pPr>
        <w:pStyle w:val="ListParagraph"/>
        <w:spacing w:line="240" w:lineRule="auto"/>
        <w:ind w:left="360"/>
        <w:rPr>
          <w:rFonts w:ascii="Arial" w:hAnsi="Arial" w:cs="Arial"/>
          <w:sz w:val="14"/>
          <w:szCs w:val="14"/>
        </w:rPr>
      </w:pPr>
    </w:p>
    <w:p w14:paraId="3615659A" w14:textId="77777777" w:rsidR="00B548E1" w:rsidRPr="003169AF" w:rsidRDefault="00B548E1" w:rsidP="00B548E1">
      <w:pPr>
        <w:pStyle w:val="ListParagraph"/>
        <w:numPr>
          <w:ilvl w:val="0"/>
          <w:numId w:val="33"/>
        </w:numPr>
        <w:spacing w:line="240" w:lineRule="auto"/>
        <w:ind w:left="360"/>
        <w:rPr>
          <w:rFonts w:ascii="Arial" w:hAnsi="Arial" w:cs="Arial"/>
        </w:rPr>
      </w:pPr>
      <w:r w:rsidRPr="003169AF">
        <w:rPr>
          <w:rFonts w:ascii="Arial" w:hAnsi="Arial" w:cs="Arial"/>
          <w:b/>
          <w:bCs/>
        </w:rPr>
        <w:t>Main foci of the nutrition intervention</w:t>
      </w:r>
      <w:r w:rsidRPr="003169AF">
        <w:rPr>
          <w:rFonts w:ascii="Arial" w:hAnsi="Arial" w:cs="Arial"/>
        </w:rPr>
        <w:t xml:space="preserve"> – all major forms of malnutrition as defined by </w:t>
      </w:r>
      <w:r w:rsidRPr="003169AF">
        <w:rPr>
          <w:rFonts w:ascii="Arial" w:hAnsi="Arial" w:cs="Arial"/>
        </w:rPr>
        <w:fldChar w:fldCharType="begin"/>
      </w:r>
      <w:r>
        <w:rPr>
          <w:rFonts w:ascii="Arial" w:hAnsi="Arial" w:cs="Arial"/>
        </w:rPr>
        <w:instrText xml:space="preserve"> ADDIN ZOTERO_ITEM CSL_CITATION {"citationID":"jQwyLRHg","properties":{"formattedCitation":"({\\i{}Malnutrition}, no date)","plainCitation":"(Malnutrition, no date)","dontUpdate":true,"noteIndex":0},"citationItems":[{"id":590,"uris":["http://zotero.org/users/431602/items/PVNFFYW2"],"itemData":{"id":590,"type":"webpage","abstract":"Malnutrition","language":"en","title":"Malnutrition","URL":"https://www.who.int/health-topics/malnutrition","accessed":{"date-parts":[["2024",7,15]]}}}],"schema":"https://github.com/citation-style-language/schema/raw/master/csl-citation.json"} </w:instrText>
      </w:r>
      <w:r w:rsidRPr="003169AF">
        <w:rPr>
          <w:rFonts w:ascii="Arial" w:hAnsi="Arial" w:cs="Arial"/>
        </w:rPr>
        <w:fldChar w:fldCharType="separate"/>
      </w:r>
      <w:r w:rsidRPr="003169AF">
        <w:rPr>
          <w:rFonts w:ascii="Arial" w:hAnsi="Arial" w:cs="Arial"/>
          <w:kern w:val="0"/>
        </w:rPr>
        <w:t>WHO (2024)</w:t>
      </w:r>
      <w:r w:rsidRPr="003169AF">
        <w:rPr>
          <w:rFonts w:ascii="Arial" w:hAnsi="Arial" w:cs="Arial"/>
        </w:rPr>
        <w:fldChar w:fldCharType="end"/>
      </w:r>
      <w:r w:rsidRPr="003169AF">
        <w:rPr>
          <w:rFonts w:ascii="Arial" w:hAnsi="Arial" w:cs="Arial"/>
        </w:rPr>
        <w:t xml:space="preserve"> or targeted nutrition issues to address were charted to gauge their presence or absence in the articles under review:</w:t>
      </w:r>
    </w:p>
    <w:p w14:paraId="6DE791D2" w14:textId="77777777" w:rsidR="00B548E1" w:rsidRPr="003169AF" w:rsidRDefault="00B548E1" w:rsidP="00B548E1">
      <w:pPr>
        <w:pStyle w:val="ListParagraph"/>
        <w:numPr>
          <w:ilvl w:val="1"/>
          <w:numId w:val="33"/>
        </w:numPr>
        <w:spacing w:line="240" w:lineRule="auto"/>
        <w:ind w:left="1080"/>
        <w:rPr>
          <w:rFonts w:ascii="Arial" w:hAnsi="Arial" w:cs="Arial"/>
        </w:rPr>
      </w:pPr>
      <w:r w:rsidRPr="003169AF">
        <w:rPr>
          <w:rFonts w:ascii="Arial" w:hAnsi="Arial" w:cs="Arial"/>
        </w:rPr>
        <w:t xml:space="preserve">Stunting: a form of undernutrition among children, defined as being too short for one’s age, emanating from chronic or recurrent malnutrition </w:t>
      </w:r>
      <w:r w:rsidRPr="003169AF">
        <w:rPr>
          <w:rFonts w:ascii="Arial" w:hAnsi="Arial" w:cs="Arial"/>
        </w:rPr>
        <w:fldChar w:fldCharType="begin"/>
      </w:r>
      <w:r>
        <w:rPr>
          <w:rFonts w:ascii="Arial" w:hAnsi="Arial" w:cs="Arial"/>
        </w:rPr>
        <w:instrText xml:space="preserve"> ADDIN ZOTERO_ITEM CSL_CITATION {"citationID":"aSRbIYU7","properties":{"formattedCitation":"({\\i{}Malnutrition}, no date)","plainCitation":"(Malnutrition, no date)","dontUpdate":true,"noteIndex":0},"citationItems":[{"id":590,"uris":["http://zotero.org/users/431602/items/PVNFFYW2"],"itemData":{"id":590,"type":"webpage","abstract":"Malnutrition","language":"en","title":"Malnutrition","URL":"https://www.who.int/health-topics/malnutrition","accessed":{"date-parts":[["2024",7,15]]}}}],"schema":"https://github.com/citation-style-language/schema/raw/master/csl-citation.json"} </w:instrText>
      </w:r>
      <w:r w:rsidRPr="003169AF">
        <w:rPr>
          <w:rFonts w:ascii="Arial" w:hAnsi="Arial" w:cs="Arial"/>
        </w:rPr>
        <w:fldChar w:fldCharType="separate"/>
      </w:r>
      <w:r w:rsidRPr="003169AF">
        <w:rPr>
          <w:rFonts w:ascii="Arial" w:hAnsi="Arial" w:cs="Arial"/>
          <w:kern w:val="0"/>
        </w:rPr>
        <w:t>(WHO, 2024)</w:t>
      </w:r>
      <w:r w:rsidRPr="003169AF">
        <w:rPr>
          <w:rFonts w:ascii="Arial" w:hAnsi="Arial" w:cs="Arial"/>
        </w:rPr>
        <w:fldChar w:fldCharType="end"/>
      </w:r>
    </w:p>
    <w:p w14:paraId="67D20D10" w14:textId="77777777" w:rsidR="00B548E1" w:rsidRPr="003169AF" w:rsidRDefault="00B548E1" w:rsidP="00B548E1">
      <w:pPr>
        <w:pStyle w:val="ListParagraph"/>
        <w:numPr>
          <w:ilvl w:val="1"/>
          <w:numId w:val="33"/>
        </w:numPr>
        <w:spacing w:line="240" w:lineRule="auto"/>
        <w:ind w:left="1080"/>
        <w:rPr>
          <w:rFonts w:ascii="Arial" w:hAnsi="Arial" w:cs="Arial"/>
        </w:rPr>
      </w:pPr>
      <w:r w:rsidRPr="003169AF">
        <w:rPr>
          <w:rFonts w:ascii="Arial" w:hAnsi="Arial" w:cs="Arial"/>
        </w:rPr>
        <w:t xml:space="preserve">Wasting: a form of undernutrition among children, defined as too low for weight for one’s height because of persisting and severe weight loss </w:t>
      </w:r>
      <w:r w:rsidRPr="003169AF">
        <w:rPr>
          <w:rFonts w:ascii="Arial" w:hAnsi="Arial" w:cs="Arial"/>
        </w:rPr>
        <w:fldChar w:fldCharType="begin"/>
      </w:r>
      <w:r>
        <w:rPr>
          <w:rFonts w:ascii="Arial" w:hAnsi="Arial" w:cs="Arial"/>
        </w:rPr>
        <w:instrText xml:space="preserve"> ADDIN ZOTERO_ITEM CSL_CITATION {"citationID":"Azj41LkU","properties":{"formattedCitation":"({\\i{}Malnutrition}, no date)","plainCitation":"(Malnutrition, no date)","dontUpdate":true,"noteIndex":0},"citationItems":[{"id":590,"uris":["http://zotero.org/users/431602/items/PVNFFYW2"],"itemData":{"id":590,"type":"webpage","abstract":"Malnutrition","language":"en","title":"Malnutrition","URL":"https://www.who.int/health-topics/malnutrition","accessed":{"date-parts":[["2024",7,15]]}}}],"schema":"https://github.com/citation-style-language/schema/raw/master/csl-citation.json"} </w:instrText>
      </w:r>
      <w:r w:rsidRPr="003169AF">
        <w:rPr>
          <w:rFonts w:ascii="Arial" w:hAnsi="Arial" w:cs="Arial"/>
        </w:rPr>
        <w:fldChar w:fldCharType="separate"/>
      </w:r>
      <w:r w:rsidRPr="003169AF">
        <w:rPr>
          <w:rFonts w:ascii="Arial" w:hAnsi="Arial" w:cs="Arial"/>
          <w:kern w:val="0"/>
        </w:rPr>
        <w:t>(WHO, 2024)</w:t>
      </w:r>
      <w:r w:rsidRPr="003169AF">
        <w:rPr>
          <w:rFonts w:ascii="Arial" w:hAnsi="Arial" w:cs="Arial"/>
        </w:rPr>
        <w:fldChar w:fldCharType="end"/>
      </w:r>
    </w:p>
    <w:p w14:paraId="004C0EAF" w14:textId="77777777" w:rsidR="00B548E1" w:rsidRPr="003169AF" w:rsidRDefault="00B548E1" w:rsidP="00B548E1">
      <w:pPr>
        <w:pStyle w:val="ListParagraph"/>
        <w:numPr>
          <w:ilvl w:val="1"/>
          <w:numId w:val="33"/>
        </w:numPr>
        <w:spacing w:line="240" w:lineRule="auto"/>
        <w:ind w:left="1080"/>
        <w:rPr>
          <w:rFonts w:ascii="Arial" w:hAnsi="Arial" w:cs="Arial"/>
        </w:rPr>
      </w:pPr>
      <w:r w:rsidRPr="003169AF">
        <w:rPr>
          <w:rFonts w:ascii="Arial" w:hAnsi="Arial" w:cs="Arial"/>
        </w:rPr>
        <w:lastRenderedPageBreak/>
        <w:t xml:space="preserve">Overweight/obesity: a form of overnutrition among children, defined as being too heavy for one’s height, with excessive fat accumulation </w:t>
      </w:r>
      <w:r w:rsidRPr="003169AF">
        <w:rPr>
          <w:rFonts w:ascii="Arial" w:hAnsi="Arial" w:cs="Arial"/>
        </w:rPr>
        <w:fldChar w:fldCharType="begin"/>
      </w:r>
      <w:r>
        <w:rPr>
          <w:rFonts w:ascii="Arial" w:hAnsi="Arial" w:cs="Arial"/>
        </w:rPr>
        <w:instrText xml:space="preserve"> ADDIN ZOTERO_ITEM CSL_CITATION {"citationID":"xRObAxFT","properties":{"formattedCitation":"({\\i{}Malnutrition}, no date)","plainCitation":"(Malnutrition, no date)","dontUpdate":true,"noteIndex":0},"citationItems":[{"id":590,"uris":["http://zotero.org/users/431602/items/PVNFFYW2"],"itemData":{"id":590,"type":"webpage","abstract":"Malnutrition","language":"en","title":"Malnutrition","URL":"https://www.who.int/health-topics/malnutrition","accessed":{"date-parts":[["2024",7,15]]}}}],"schema":"https://github.com/citation-style-language/schema/raw/master/csl-citation.json"} </w:instrText>
      </w:r>
      <w:r w:rsidRPr="003169AF">
        <w:rPr>
          <w:rFonts w:ascii="Arial" w:hAnsi="Arial" w:cs="Arial"/>
        </w:rPr>
        <w:fldChar w:fldCharType="separate"/>
      </w:r>
      <w:r w:rsidRPr="003169AF">
        <w:rPr>
          <w:rFonts w:ascii="Arial" w:hAnsi="Arial" w:cs="Arial"/>
          <w:kern w:val="0"/>
        </w:rPr>
        <w:t>(WHO, 2024)</w:t>
      </w:r>
      <w:r w:rsidRPr="003169AF">
        <w:rPr>
          <w:rFonts w:ascii="Arial" w:hAnsi="Arial" w:cs="Arial"/>
        </w:rPr>
        <w:fldChar w:fldCharType="end"/>
      </w:r>
    </w:p>
    <w:p w14:paraId="00DC0A52" w14:textId="77777777" w:rsidR="00B548E1" w:rsidRPr="003169AF" w:rsidRDefault="00B548E1" w:rsidP="00B548E1">
      <w:pPr>
        <w:pStyle w:val="ListParagraph"/>
        <w:numPr>
          <w:ilvl w:val="1"/>
          <w:numId w:val="33"/>
        </w:numPr>
        <w:spacing w:line="240" w:lineRule="auto"/>
        <w:ind w:left="1080"/>
        <w:rPr>
          <w:rFonts w:ascii="Arial" w:hAnsi="Arial" w:cs="Arial"/>
        </w:rPr>
      </w:pPr>
      <w:r w:rsidRPr="003169AF">
        <w:rPr>
          <w:rFonts w:ascii="Arial" w:hAnsi="Arial" w:cs="Arial"/>
        </w:rPr>
        <w:t xml:space="preserve">(Micro)nutrient deficiencies: </w:t>
      </w:r>
      <w:r>
        <w:rPr>
          <w:rFonts w:ascii="Arial" w:eastAsia="Aptos" w:hAnsi="Arial" w:cs="Arial"/>
        </w:rPr>
        <w:t>Inadequate</w:t>
      </w:r>
      <w:r w:rsidRPr="003169AF">
        <w:rPr>
          <w:rFonts w:ascii="Arial" w:hAnsi="Arial" w:cs="Arial"/>
        </w:rPr>
        <w:t xml:space="preserve"> intake of vitamins and minerals</w:t>
      </w:r>
      <w:r w:rsidRPr="003169AF">
        <w:rPr>
          <w:rFonts w:ascii="Arial" w:eastAsia="Aptos" w:hAnsi="Arial" w:cs="Arial"/>
        </w:rPr>
        <w:t xml:space="preserve"> creates an</w:t>
      </w:r>
      <w:r w:rsidRPr="003169AF">
        <w:rPr>
          <w:rFonts w:ascii="Arial" w:hAnsi="Arial" w:cs="Arial"/>
        </w:rPr>
        <w:t xml:space="preserve"> imbalance in the production of enzymes, hormones, and other substances required for growth and development </w:t>
      </w:r>
      <w:r w:rsidRPr="003169AF">
        <w:rPr>
          <w:rFonts w:ascii="Arial" w:hAnsi="Arial" w:cs="Arial"/>
        </w:rPr>
        <w:fldChar w:fldCharType="begin"/>
      </w:r>
      <w:r>
        <w:rPr>
          <w:rFonts w:ascii="Arial" w:hAnsi="Arial" w:cs="Arial"/>
        </w:rPr>
        <w:instrText xml:space="preserve"> ADDIN ZOTERO_ITEM CSL_CITATION {"citationID":"RG2cvgvZ","properties":{"formattedCitation":"({\\i{}Malnutrition}, no date)","plainCitation":"(Malnutrition, no date)","dontUpdate":true,"noteIndex":0},"citationItems":[{"id":590,"uris":["http://zotero.org/users/431602/items/PVNFFYW2"],"itemData":{"id":590,"type":"webpage","abstract":"Malnutrition","language":"en","title":"Malnutrition","URL":"https://www.who.int/health-topics/malnutrition","accessed":{"date-parts":[["2024",7,15]]}}}],"schema":"https://github.com/citation-style-language/schema/raw/master/csl-citation.json"} </w:instrText>
      </w:r>
      <w:r w:rsidRPr="003169AF">
        <w:rPr>
          <w:rFonts w:ascii="Arial" w:hAnsi="Arial" w:cs="Arial"/>
        </w:rPr>
        <w:fldChar w:fldCharType="separate"/>
      </w:r>
      <w:r w:rsidRPr="003169AF">
        <w:rPr>
          <w:rFonts w:ascii="Arial" w:hAnsi="Arial" w:cs="Arial"/>
          <w:kern w:val="0"/>
        </w:rPr>
        <w:t>(WHO, 2024)</w:t>
      </w:r>
      <w:r w:rsidRPr="003169AF">
        <w:rPr>
          <w:rFonts w:ascii="Arial" w:hAnsi="Arial" w:cs="Arial"/>
        </w:rPr>
        <w:fldChar w:fldCharType="end"/>
      </w:r>
      <w:r w:rsidRPr="003169AF">
        <w:rPr>
          <w:rFonts w:ascii="Arial" w:hAnsi="Arial" w:cs="Arial"/>
        </w:rPr>
        <w:t>.</w:t>
      </w:r>
    </w:p>
    <w:p w14:paraId="1484AEDB" w14:textId="77777777" w:rsidR="00B548E1" w:rsidRPr="003169AF" w:rsidRDefault="00B548E1" w:rsidP="00B548E1">
      <w:pPr>
        <w:pStyle w:val="ListParagraph"/>
        <w:spacing w:after="0" w:line="240" w:lineRule="auto"/>
        <w:ind w:left="360"/>
        <w:jc w:val="both"/>
        <w:rPr>
          <w:rFonts w:ascii="Arial" w:hAnsi="Arial" w:cs="Arial"/>
          <w:sz w:val="14"/>
          <w:szCs w:val="14"/>
        </w:rPr>
      </w:pPr>
    </w:p>
    <w:p w14:paraId="4134B8D9" w14:textId="77777777" w:rsidR="00B548E1" w:rsidRPr="003169AF" w:rsidRDefault="00B548E1" w:rsidP="00B548E1">
      <w:pPr>
        <w:pStyle w:val="ListParagraph"/>
        <w:numPr>
          <w:ilvl w:val="0"/>
          <w:numId w:val="33"/>
        </w:numPr>
        <w:spacing w:after="0" w:line="240" w:lineRule="auto"/>
        <w:ind w:left="360"/>
        <w:jc w:val="both"/>
        <w:rPr>
          <w:rFonts w:ascii="Arial" w:hAnsi="Arial" w:cs="Arial"/>
        </w:rPr>
      </w:pPr>
      <w:r w:rsidRPr="003169AF">
        <w:rPr>
          <w:rFonts w:ascii="Arial" w:hAnsi="Arial" w:cs="Arial"/>
          <w:b/>
          <w:bCs/>
        </w:rPr>
        <w:t xml:space="preserve">The </w:t>
      </w:r>
      <w:r w:rsidRPr="003169AF">
        <w:rPr>
          <w:rFonts w:ascii="Arial" w:eastAsia="Aptos" w:hAnsi="Arial" w:cs="Arial"/>
        </w:rPr>
        <w:t>BCW—identifying</w:t>
      </w:r>
      <w:r w:rsidRPr="003169AF">
        <w:rPr>
          <w:rFonts w:ascii="Arial" w:hAnsi="Arial" w:cs="Arial"/>
        </w:rPr>
        <w:t xml:space="preserve"> whether/which BCW components listed below as adapted from </w:t>
      </w:r>
      <w:r w:rsidRPr="003169AF">
        <w:rPr>
          <w:rFonts w:ascii="Arial" w:hAnsi="Arial" w:cs="Arial"/>
        </w:rPr>
        <w:fldChar w:fldCharType="begin"/>
      </w:r>
      <w:r>
        <w:rPr>
          <w:rFonts w:ascii="Arial" w:hAnsi="Arial" w:cs="Arial"/>
        </w:rPr>
        <w:instrText xml:space="preserve"> ADDIN ZOTERO_ITEM CSL_CITATION {"citationID":"pcjMUtJa","properties":{"formattedCitation":"(Michie, Van Stralen and West, 2011a)","plainCitation":"(Michie, Van Stralen and West, 2011a)","dontUpdate":true,"noteIndex":0},"citationItems":[{"id":"wn91mcGn/lAgFPmSV","uris":["http://zotero.org/users/431602/items/VQLC2Q3F"],"itemData":{"id":"uwmibZTv/1n8UEsua","type":"article-journal","abstract":"Background: Improving the design and implementation of evidence-based practice depends on successful behaviour change interventions. This requires an appropriate method for characterising interventions and linking them to an analysis of the targeted behaviour. There exists a plethora of frameworks of behaviour change interventions, but it is not clear how well they serve this purpose. This paper evaluates these frameworks, and develops and evaluates a new framework aimed at overcoming their limitations.\nMethods: A systematic search of electronic databases and consultation with behaviour change experts were used to identify frameworks of behaviour change interventions. These were evaluated according to three criteria: comprehensiveness, coherence, and a clear link to an overarching model of behaviour. A new framework was developed to meet these criteria. The reliability with which it could be applied was examined in two domains of behaviour change: tobacco control and obesity.\nResults: Nineteen frameworks were identified covering nine intervention functions and seven policy categories that could enable those interventions. None of the frameworks reviewed covered the full range of intervention functions or policies, and only a minority met the criteria of coherence or linkage to a model of behaviour. At the centre of a proposed new framework is a ‘behaviour system’ involving three essential conditions: capability, opportunity, and motivation (what we term the ‘COM-B system’). This forms the hub of a ‘behaviour change wheel’ (BCW) around which are positioned the nine intervention functions aimed at addressing deficits in one or more of these conditions; around this are placed seven categories of policy that could enable those interventions to occur. The BCW was used reliably to characterise interventions within the English Department of Health’s 2010 tobacco control strategy and the National Institute of Health and Clinical Excellence’s guidance on reducing obesity.\nConclusions: Interventions and policies to change behaviour can be usefully characterised by means of a BCW comprising: a ‘behaviour system’ at the hub, encircled by intervention functions and then by policy categories. Research is needed to establish how far the BCW can lead to more efficient design of effective interventions.","container-title":"Implementation Science","DOI":"10.1186/1748-5908-6-42","ISSN":"1748-5908","issue":"1","journalAbbreviation":"Implementation Sci","language":"en","license":"http://www.springer.com/tdm","page":"42","source":"DOI.org (Crossref)","title":"The behaviour change wheel: A new method for characterising and designing behaviour change interventions","title-short":"The behaviour change wheel","volume":"6","author":[{"family":"Michie","given":"Susan"},{"family":"Van Stralen","given":"Maartje M"},{"family":"West","given":"Robert"}],"issued":{"date-parts":[["2011",12]]}}}],"schema":"https://github.com/citation-style-language/schema/raw/master/csl-citation.json"} </w:instrText>
      </w:r>
      <w:r w:rsidRPr="003169AF">
        <w:rPr>
          <w:rFonts w:ascii="Arial" w:hAnsi="Arial" w:cs="Arial"/>
        </w:rPr>
        <w:fldChar w:fldCharType="separate"/>
      </w:r>
      <w:r w:rsidRPr="003169AF">
        <w:rPr>
          <w:rFonts w:ascii="Arial" w:hAnsi="Arial" w:cs="Arial"/>
        </w:rPr>
        <w:t>Michie, Van Stralen and West (2011)</w:t>
      </w:r>
      <w:r w:rsidRPr="003169AF">
        <w:rPr>
          <w:rFonts w:ascii="Arial" w:hAnsi="Arial" w:cs="Arial"/>
        </w:rPr>
        <w:fldChar w:fldCharType="end"/>
      </w:r>
      <w:r w:rsidRPr="003169AF">
        <w:rPr>
          <w:rFonts w:ascii="Arial" w:eastAsia="Aptos" w:hAnsi="Arial" w:cs="Arial"/>
        </w:rPr>
        <w:t>—was</w:t>
      </w:r>
      <w:r w:rsidRPr="003169AF">
        <w:rPr>
          <w:rFonts w:ascii="Arial" w:hAnsi="Arial" w:cs="Arial"/>
        </w:rPr>
        <w:t xml:space="preserve"> used; its presence </w:t>
      </w:r>
      <w:r w:rsidRPr="003169AF">
        <w:rPr>
          <w:rFonts w:ascii="Arial" w:eastAsia="Aptos" w:hAnsi="Arial" w:cs="Arial"/>
        </w:rPr>
        <w:t xml:space="preserve">was </w:t>
      </w:r>
      <w:r w:rsidRPr="003169AF">
        <w:rPr>
          <w:rFonts w:ascii="Arial" w:hAnsi="Arial" w:cs="Arial"/>
        </w:rPr>
        <w:t>coded as 1</w:t>
      </w:r>
      <w:r w:rsidRPr="003169AF">
        <w:rPr>
          <w:rFonts w:ascii="Arial" w:eastAsia="Aptos" w:hAnsi="Arial" w:cs="Arial"/>
        </w:rPr>
        <w:t>,</w:t>
      </w:r>
      <w:r w:rsidRPr="003169AF">
        <w:rPr>
          <w:rFonts w:ascii="Arial" w:hAnsi="Arial" w:cs="Arial"/>
        </w:rPr>
        <w:t xml:space="preserve"> and its absence </w:t>
      </w:r>
      <w:r w:rsidRPr="003169AF">
        <w:rPr>
          <w:rFonts w:ascii="Arial" w:eastAsia="Aptos" w:hAnsi="Arial" w:cs="Arial"/>
        </w:rPr>
        <w:t xml:space="preserve">was </w:t>
      </w:r>
      <w:r w:rsidRPr="003169AF">
        <w:rPr>
          <w:rFonts w:ascii="Arial" w:hAnsi="Arial" w:cs="Arial"/>
        </w:rPr>
        <w:t>coded as 0:</w:t>
      </w:r>
    </w:p>
    <w:p w14:paraId="1EA43F37" w14:textId="77777777" w:rsidR="00B548E1" w:rsidRPr="003169AF" w:rsidRDefault="00B548E1" w:rsidP="00B548E1">
      <w:pPr>
        <w:pStyle w:val="ListParagraph"/>
        <w:numPr>
          <w:ilvl w:val="1"/>
          <w:numId w:val="33"/>
        </w:numPr>
        <w:spacing w:after="0" w:line="240" w:lineRule="auto"/>
        <w:ind w:left="1080"/>
        <w:jc w:val="both"/>
        <w:rPr>
          <w:rFonts w:ascii="Arial" w:hAnsi="Arial" w:cs="Arial"/>
        </w:rPr>
      </w:pPr>
      <w:r w:rsidRPr="003169AF">
        <w:rPr>
          <w:rFonts w:ascii="Arial" w:hAnsi="Arial" w:cs="Arial"/>
        </w:rPr>
        <w:t>Nine intervention functions:</w:t>
      </w:r>
    </w:p>
    <w:p w14:paraId="1E19E76A" w14:textId="77777777" w:rsidR="00B548E1" w:rsidRPr="003169AF" w:rsidRDefault="00B548E1" w:rsidP="00B548E1">
      <w:pPr>
        <w:pStyle w:val="ListParagraph"/>
        <w:numPr>
          <w:ilvl w:val="2"/>
          <w:numId w:val="33"/>
        </w:numPr>
        <w:spacing w:after="0" w:line="240" w:lineRule="auto"/>
        <w:ind w:left="1368"/>
        <w:rPr>
          <w:rFonts w:ascii="Arial" w:hAnsi="Arial" w:cs="Arial"/>
        </w:rPr>
      </w:pPr>
      <w:r w:rsidRPr="003169AF">
        <w:rPr>
          <w:rFonts w:ascii="Arial" w:eastAsia="Aptos" w:hAnsi="Arial" w:cs="Arial"/>
        </w:rPr>
        <w:t>Modeling</w:t>
      </w:r>
      <w:r w:rsidRPr="003169AF">
        <w:rPr>
          <w:rFonts w:ascii="Arial" w:hAnsi="Arial" w:cs="Arial"/>
        </w:rPr>
        <w:t xml:space="preserve">: </w:t>
      </w:r>
      <w:r w:rsidRPr="003169AF">
        <w:rPr>
          <w:rFonts w:ascii="Arial" w:hAnsi="Arial" w:cs="Arial"/>
          <w:kern w:val="0"/>
        </w:rPr>
        <w:t xml:space="preserve">providing an example for children to imitate nutrition or diet role models for them to adopt healthy eating habits to </w:t>
      </w:r>
      <w:r w:rsidRPr="003169AF">
        <w:rPr>
          <w:rFonts w:ascii="Arial" w:eastAsia="Aptos" w:hAnsi="Arial" w:cs="Arial"/>
          <w:kern w:val="0"/>
        </w:rPr>
        <w:t>address</w:t>
      </w:r>
      <w:r w:rsidRPr="003169AF">
        <w:rPr>
          <w:rFonts w:ascii="Arial" w:hAnsi="Arial" w:cs="Arial"/>
          <w:kern w:val="0"/>
        </w:rPr>
        <w:t xml:space="preserve"> malnutrition</w:t>
      </w:r>
    </w:p>
    <w:p w14:paraId="62CF9D74" w14:textId="77777777" w:rsidR="00B548E1" w:rsidRPr="003169AF" w:rsidRDefault="00B548E1" w:rsidP="00B548E1">
      <w:pPr>
        <w:pStyle w:val="ListParagraph"/>
        <w:numPr>
          <w:ilvl w:val="2"/>
          <w:numId w:val="33"/>
        </w:numPr>
        <w:spacing w:after="0" w:line="240" w:lineRule="auto"/>
        <w:ind w:left="1368"/>
        <w:rPr>
          <w:rFonts w:ascii="Arial" w:hAnsi="Arial" w:cs="Arial"/>
        </w:rPr>
      </w:pPr>
      <w:r w:rsidRPr="003169AF">
        <w:rPr>
          <w:rFonts w:ascii="Arial" w:hAnsi="Arial" w:cs="Arial"/>
        </w:rPr>
        <w:t xml:space="preserve">Environmental restructuring: </w:t>
      </w:r>
      <w:r w:rsidRPr="003169AF">
        <w:rPr>
          <w:rFonts w:ascii="Arial" w:hAnsi="Arial" w:cs="Arial"/>
          <w:kern w:val="0"/>
        </w:rPr>
        <w:t>changing context</w:t>
      </w:r>
      <w:r w:rsidRPr="003169AF">
        <w:rPr>
          <w:rFonts w:ascii="Arial" w:eastAsia="Aptos" w:hAnsi="Arial" w:cs="Arial"/>
          <w:kern w:val="0"/>
        </w:rPr>
        <w:t>,</w:t>
      </w:r>
      <w:r w:rsidRPr="003169AF">
        <w:rPr>
          <w:rFonts w:ascii="Arial" w:hAnsi="Arial" w:cs="Arial"/>
          <w:kern w:val="0"/>
        </w:rPr>
        <w:t xml:space="preserve"> such as schools and family settings, ensuring </w:t>
      </w:r>
      <w:r w:rsidRPr="003169AF">
        <w:rPr>
          <w:rFonts w:ascii="Arial" w:eastAsia="Aptos" w:hAnsi="Arial" w:cs="Arial"/>
          <w:kern w:val="0"/>
        </w:rPr>
        <w:t>that diverse</w:t>
      </w:r>
      <w:r w:rsidRPr="003169AF">
        <w:rPr>
          <w:rFonts w:ascii="Arial" w:hAnsi="Arial" w:cs="Arial"/>
          <w:kern w:val="0"/>
        </w:rPr>
        <w:t xml:space="preserve">, healthy foods are available in </w:t>
      </w:r>
      <w:r w:rsidRPr="003169AF">
        <w:rPr>
          <w:rFonts w:ascii="Arial" w:eastAsia="Aptos" w:hAnsi="Arial" w:cs="Arial"/>
          <w:kern w:val="0"/>
        </w:rPr>
        <w:t xml:space="preserve">terms of </w:t>
      </w:r>
      <w:r w:rsidRPr="003169AF">
        <w:rPr>
          <w:rFonts w:ascii="Arial" w:hAnsi="Arial" w:cs="Arial"/>
          <w:kern w:val="0"/>
        </w:rPr>
        <w:t>quality and quantity</w:t>
      </w:r>
    </w:p>
    <w:p w14:paraId="51D86413" w14:textId="77777777" w:rsidR="00B548E1" w:rsidRPr="003169AF" w:rsidRDefault="00B548E1" w:rsidP="00B548E1">
      <w:pPr>
        <w:pStyle w:val="ListParagraph"/>
        <w:numPr>
          <w:ilvl w:val="2"/>
          <w:numId w:val="33"/>
        </w:numPr>
        <w:spacing w:after="0" w:line="240" w:lineRule="auto"/>
        <w:ind w:left="1368"/>
        <w:rPr>
          <w:rFonts w:ascii="Arial" w:hAnsi="Arial" w:cs="Arial"/>
        </w:rPr>
      </w:pPr>
      <w:r w:rsidRPr="003169AF">
        <w:rPr>
          <w:rFonts w:ascii="Arial" w:hAnsi="Arial" w:cs="Arial"/>
        </w:rPr>
        <w:t xml:space="preserve">Restrictions: </w:t>
      </w:r>
      <w:r w:rsidRPr="003169AF">
        <w:rPr>
          <w:rFonts w:ascii="Arial" w:hAnsi="Arial" w:cs="Arial"/>
          <w:kern w:val="0"/>
        </w:rPr>
        <w:t xml:space="preserve">establishing and using rules to </w:t>
      </w:r>
      <w:r w:rsidRPr="003169AF">
        <w:rPr>
          <w:rFonts w:ascii="Arial" w:eastAsia="Aptos" w:hAnsi="Arial" w:cs="Arial"/>
          <w:kern w:val="0"/>
        </w:rPr>
        <w:t>minimize</w:t>
      </w:r>
      <w:r w:rsidRPr="003169AF">
        <w:rPr>
          <w:rFonts w:ascii="Arial" w:hAnsi="Arial" w:cs="Arial"/>
          <w:kern w:val="0"/>
        </w:rPr>
        <w:t xml:space="preserve"> or </w:t>
      </w:r>
      <w:r w:rsidRPr="003169AF">
        <w:rPr>
          <w:rFonts w:ascii="Arial" w:eastAsia="Aptos" w:hAnsi="Arial" w:cs="Arial"/>
          <w:kern w:val="0"/>
        </w:rPr>
        <w:t>eliminate</w:t>
      </w:r>
      <w:r w:rsidRPr="003169AF">
        <w:rPr>
          <w:rFonts w:ascii="Arial" w:hAnsi="Arial" w:cs="Arial"/>
          <w:kern w:val="0"/>
        </w:rPr>
        <w:t xml:space="preserve"> unhealthy eating habits or to maximize healthy child nutritional behaviors and outcomes</w:t>
      </w:r>
    </w:p>
    <w:p w14:paraId="75840D2F" w14:textId="77777777" w:rsidR="00B548E1" w:rsidRPr="003169AF" w:rsidRDefault="00B548E1" w:rsidP="00B548E1">
      <w:pPr>
        <w:pStyle w:val="ListParagraph"/>
        <w:numPr>
          <w:ilvl w:val="2"/>
          <w:numId w:val="33"/>
        </w:numPr>
        <w:spacing w:after="0" w:line="240" w:lineRule="auto"/>
        <w:ind w:left="1368"/>
        <w:rPr>
          <w:rFonts w:ascii="Arial" w:hAnsi="Arial" w:cs="Arial"/>
        </w:rPr>
      </w:pPr>
      <w:r w:rsidRPr="003169AF">
        <w:rPr>
          <w:rFonts w:ascii="Arial" w:hAnsi="Arial" w:cs="Arial"/>
        </w:rPr>
        <w:t xml:space="preserve">Education: </w:t>
      </w:r>
      <w:r w:rsidRPr="003169AF">
        <w:rPr>
          <w:rFonts w:ascii="Arial" w:hAnsi="Arial" w:cs="Arial"/>
          <w:kern w:val="0"/>
        </w:rPr>
        <w:t>increasing knowledge or understanding of healthy vs. unhealthy nutrition or eating habits and their effects on children’s health and growth</w:t>
      </w:r>
    </w:p>
    <w:p w14:paraId="65FAAD92" w14:textId="77777777" w:rsidR="00B548E1" w:rsidRPr="003169AF" w:rsidRDefault="00B548E1" w:rsidP="00B548E1">
      <w:pPr>
        <w:pStyle w:val="ListParagraph"/>
        <w:numPr>
          <w:ilvl w:val="2"/>
          <w:numId w:val="33"/>
        </w:numPr>
        <w:spacing w:after="0" w:line="240" w:lineRule="auto"/>
        <w:ind w:left="1368"/>
        <w:rPr>
          <w:rFonts w:ascii="Arial" w:hAnsi="Arial" w:cs="Arial"/>
        </w:rPr>
      </w:pPr>
      <w:r w:rsidRPr="003169AF">
        <w:rPr>
          <w:rFonts w:ascii="Arial" w:hAnsi="Arial" w:cs="Arial"/>
        </w:rPr>
        <w:t xml:space="preserve">Persuasion: </w:t>
      </w:r>
      <w:r w:rsidRPr="003169AF">
        <w:rPr>
          <w:rFonts w:ascii="Arial" w:hAnsi="Arial" w:cs="Arial"/>
          <w:kern w:val="0"/>
        </w:rPr>
        <w:t>using communication</w:t>
      </w:r>
      <w:r w:rsidRPr="003169AF">
        <w:rPr>
          <w:rFonts w:ascii="Arial" w:eastAsia="Aptos" w:hAnsi="Arial" w:cs="Arial"/>
          <w:kern w:val="0"/>
        </w:rPr>
        <w:t>,</w:t>
      </w:r>
      <w:r w:rsidRPr="003169AF">
        <w:rPr>
          <w:rFonts w:ascii="Arial" w:hAnsi="Arial" w:cs="Arial"/>
          <w:kern w:val="0"/>
        </w:rPr>
        <w:t xml:space="preserve"> such as audiovisuals</w:t>
      </w:r>
      <w:r w:rsidRPr="003169AF">
        <w:rPr>
          <w:rFonts w:ascii="Arial" w:eastAsia="Aptos" w:hAnsi="Arial" w:cs="Arial"/>
          <w:kern w:val="0"/>
        </w:rPr>
        <w:t>,</w:t>
      </w:r>
      <w:r w:rsidRPr="003169AF">
        <w:rPr>
          <w:rFonts w:ascii="Arial" w:hAnsi="Arial" w:cs="Arial"/>
          <w:kern w:val="0"/>
        </w:rPr>
        <w:t xml:space="preserve"> to induce positive or negative feelings or stimulate action to achieve </w:t>
      </w:r>
      <w:r w:rsidRPr="003169AF">
        <w:rPr>
          <w:rFonts w:ascii="Arial" w:eastAsia="Aptos" w:hAnsi="Arial" w:cs="Arial"/>
          <w:kern w:val="0"/>
        </w:rPr>
        <w:t>nutritional</w:t>
      </w:r>
      <w:r w:rsidRPr="003169AF">
        <w:rPr>
          <w:rFonts w:ascii="Arial" w:hAnsi="Arial" w:cs="Arial"/>
          <w:kern w:val="0"/>
        </w:rPr>
        <w:t xml:space="preserve"> outcomes</w:t>
      </w:r>
    </w:p>
    <w:p w14:paraId="5CE1B0A6" w14:textId="77777777" w:rsidR="00B548E1" w:rsidRPr="003169AF" w:rsidRDefault="00B548E1" w:rsidP="00B548E1">
      <w:pPr>
        <w:pStyle w:val="ListParagraph"/>
        <w:numPr>
          <w:ilvl w:val="2"/>
          <w:numId w:val="33"/>
        </w:numPr>
        <w:spacing w:after="0" w:line="240" w:lineRule="auto"/>
        <w:ind w:left="1368"/>
        <w:rPr>
          <w:rFonts w:ascii="Arial" w:hAnsi="Arial" w:cs="Arial"/>
        </w:rPr>
      </w:pPr>
      <w:r w:rsidRPr="003169AF">
        <w:rPr>
          <w:rFonts w:ascii="Arial" w:hAnsi="Arial" w:cs="Arial"/>
        </w:rPr>
        <w:t xml:space="preserve">Incentivization: </w:t>
      </w:r>
      <w:r w:rsidRPr="003169AF">
        <w:rPr>
          <w:rFonts w:ascii="Arial" w:hAnsi="Arial" w:cs="Arial"/>
          <w:kern w:val="0"/>
        </w:rPr>
        <w:t xml:space="preserve">creating </w:t>
      </w:r>
      <w:r w:rsidRPr="003169AF">
        <w:rPr>
          <w:rFonts w:ascii="Arial" w:eastAsia="Aptos" w:hAnsi="Arial" w:cs="Arial"/>
          <w:kern w:val="0"/>
        </w:rPr>
        <w:t>expectations of rewards and</w:t>
      </w:r>
      <w:r w:rsidRPr="003169AF">
        <w:rPr>
          <w:rFonts w:ascii="Arial" w:hAnsi="Arial" w:cs="Arial"/>
          <w:kern w:val="0"/>
        </w:rPr>
        <w:t xml:space="preserve"> outcome expectations among children as primary beneficiaries but also among parents or caretakers</w:t>
      </w:r>
    </w:p>
    <w:p w14:paraId="5942BEBF" w14:textId="77777777" w:rsidR="00B548E1" w:rsidRPr="003169AF" w:rsidRDefault="00B548E1" w:rsidP="00B548E1">
      <w:pPr>
        <w:pStyle w:val="ListParagraph"/>
        <w:numPr>
          <w:ilvl w:val="2"/>
          <w:numId w:val="33"/>
        </w:numPr>
        <w:spacing w:after="0" w:line="240" w:lineRule="auto"/>
        <w:ind w:left="1368"/>
        <w:rPr>
          <w:rFonts w:ascii="Arial" w:hAnsi="Arial" w:cs="Arial"/>
        </w:rPr>
      </w:pPr>
      <w:r w:rsidRPr="003169AF">
        <w:rPr>
          <w:rFonts w:ascii="Arial" w:hAnsi="Arial" w:cs="Arial"/>
        </w:rPr>
        <w:t xml:space="preserve">Coercion: </w:t>
      </w:r>
      <w:r w:rsidRPr="003169AF">
        <w:rPr>
          <w:rFonts w:ascii="Arial" w:hAnsi="Arial" w:cs="Arial"/>
          <w:kern w:val="0"/>
        </w:rPr>
        <w:t>pointing out the negative consequences of poor nutrition for children</w:t>
      </w:r>
      <w:r w:rsidRPr="003169AF">
        <w:rPr>
          <w:rFonts w:ascii="Arial" w:eastAsia="Aptos" w:hAnsi="Arial" w:cs="Arial"/>
          <w:kern w:val="0"/>
        </w:rPr>
        <w:t>,</w:t>
      </w:r>
      <w:r w:rsidRPr="003169AF">
        <w:rPr>
          <w:rFonts w:ascii="Arial" w:hAnsi="Arial" w:cs="Arial"/>
          <w:kern w:val="0"/>
        </w:rPr>
        <w:t xml:space="preserve"> such as </w:t>
      </w:r>
      <w:r w:rsidRPr="003169AF">
        <w:rPr>
          <w:rFonts w:ascii="Arial" w:eastAsia="Aptos" w:hAnsi="Arial" w:cs="Arial"/>
          <w:kern w:val="0"/>
        </w:rPr>
        <w:t>noncommunicable</w:t>
      </w:r>
      <w:r w:rsidRPr="003169AF">
        <w:rPr>
          <w:rFonts w:ascii="Arial" w:hAnsi="Arial" w:cs="Arial"/>
          <w:kern w:val="0"/>
        </w:rPr>
        <w:t xml:space="preserve"> diseases, highlighting the resulting burden as too much punishment or more costly</w:t>
      </w:r>
    </w:p>
    <w:p w14:paraId="709C9B8C" w14:textId="77777777" w:rsidR="00B548E1" w:rsidRPr="003169AF" w:rsidRDefault="00B548E1" w:rsidP="00B548E1">
      <w:pPr>
        <w:pStyle w:val="ListParagraph"/>
        <w:numPr>
          <w:ilvl w:val="2"/>
          <w:numId w:val="33"/>
        </w:numPr>
        <w:spacing w:after="0" w:line="240" w:lineRule="auto"/>
        <w:ind w:left="1368"/>
        <w:rPr>
          <w:rFonts w:ascii="Arial" w:hAnsi="Arial" w:cs="Arial"/>
        </w:rPr>
      </w:pPr>
      <w:r w:rsidRPr="003169AF">
        <w:rPr>
          <w:rFonts w:ascii="Arial" w:hAnsi="Arial" w:cs="Arial"/>
        </w:rPr>
        <w:t xml:space="preserve">Training: </w:t>
      </w:r>
      <w:r w:rsidRPr="003169AF">
        <w:rPr>
          <w:rFonts w:ascii="Arial" w:hAnsi="Arial" w:cs="Arial"/>
          <w:kern w:val="0"/>
        </w:rPr>
        <w:t>Imparting skills and knowledge for improved nutrition</w:t>
      </w:r>
    </w:p>
    <w:p w14:paraId="430834DB" w14:textId="77777777" w:rsidR="00B548E1" w:rsidRPr="003169AF" w:rsidRDefault="00B548E1" w:rsidP="00B548E1">
      <w:pPr>
        <w:pStyle w:val="ListParagraph"/>
        <w:numPr>
          <w:ilvl w:val="2"/>
          <w:numId w:val="33"/>
        </w:numPr>
        <w:spacing w:after="0" w:line="240" w:lineRule="auto"/>
        <w:ind w:left="1368"/>
        <w:rPr>
          <w:rFonts w:ascii="Arial" w:hAnsi="Arial" w:cs="Arial"/>
        </w:rPr>
      </w:pPr>
      <w:r w:rsidRPr="003169AF">
        <w:rPr>
          <w:rFonts w:ascii="Arial" w:hAnsi="Arial" w:cs="Arial"/>
        </w:rPr>
        <w:t xml:space="preserve">Enablement: </w:t>
      </w:r>
      <w:r w:rsidRPr="003169AF">
        <w:rPr>
          <w:rFonts w:ascii="Arial" w:hAnsi="Arial" w:cs="Arial"/>
          <w:kern w:val="0"/>
        </w:rPr>
        <w:t>Increasing means/reducing barriers to increase capability or opportunity for adopting healthy eating habits</w:t>
      </w:r>
    </w:p>
    <w:p w14:paraId="2CE09E16" w14:textId="77777777" w:rsidR="00B548E1" w:rsidRPr="003169AF" w:rsidRDefault="00B548E1" w:rsidP="00B548E1">
      <w:pPr>
        <w:pStyle w:val="ListParagraph"/>
        <w:numPr>
          <w:ilvl w:val="1"/>
          <w:numId w:val="33"/>
        </w:numPr>
        <w:spacing w:after="0" w:line="240" w:lineRule="auto"/>
        <w:ind w:left="1080"/>
        <w:rPr>
          <w:rFonts w:ascii="Arial" w:hAnsi="Arial" w:cs="Arial"/>
        </w:rPr>
      </w:pPr>
      <w:r w:rsidRPr="003169AF">
        <w:rPr>
          <w:rFonts w:ascii="Arial" w:hAnsi="Arial" w:cs="Arial"/>
        </w:rPr>
        <w:t>Seven policy categories:</w:t>
      </w:r>
    </w:p>
    <w:p w14:paraId="401D7461" w14:textId="77777777" w:rsidR="00B548E1" w:rsidRPr="003169AF" w:rsidRDefault="00B548E1" w:rsidP="00B548E1">
      <w:pPr>
        <w:pStyle w:val="ListParagraph"/>
        <w:numPr>
          <w:ilvl w:val="2"/>
          <w:numId w:val="33"/>
        </w:numPr>
        <w:spacing w:after="0" w:line="240" w:lineRule="auto"/>
        <w:ind w:left="1368"/>
        <w:rPr>
          <w:rFonts w:ascii="Arial" w:hAnsi="Arial" w:cs="Arial"/>
        </w:rPr>
      </w:pPr>
      <w:r w:rsidRPr="003169AF">
        <w:rPr>
          <w:rFonts w:ascii="Arial" w:hAnsi="Arial" w:cs="Arial"/>
        </w:rPr>
        <w:t xml:space="preserve">Guidelines: </w:t>
      </w:r>
      <w:r w:rsidRPr="003169AF">
        <w:rPr>
          <w:rFonts w:ascii="Arial" w:hAnsi="Arial" w:cs="Arial"/>
          <w:kern w:val="0"/>
        </w:rPr>
        <w:t xml:space="preserve">Creating documents that recommend or mandate minimum food types in children’s </w:t>
      </w:r>
      <w:r w:rsidRPr="003169AF">
        <w:rPr>
          <w:rFonts w:ascii="Arial" w:eastAsia="Aptos" w:hAnsi="Arial" w:cs="Arial"/>
          <w:kern w:val="0"/>
        </w:rPr>
        <w:t>menus</w:t>
      </w:r>
    </w:p>
    <w:p w14:paraId="45068488" w14:textId="77777777" w:rsidR="00B548E1" w:rsidRPr="003169AF" w:rsidRDefault="00B548E1" w:rsidP="00B548E1">
      <w:pPr>
        <w:pStyle w:val="ListParagraph"/>
        <w:numPr>
          <w:ilvl w:val="2"/>
          <w:numId w:val="33"/>
        </w:numPr>
        <w:spacing w:after="0" w:line="240" w:lineRule="auto"/>
        <w:ind w:left="1368"/>
        <w:rPr>
          <w:rFonts w:ascii="Arial" w:hAnsi="Arial" w:cs="Arial"/>
        </w:rPr>
      </w:pPr>
      <w:r w:rsidRPr="003169AF">
        <w:rPr>
          <w:rFonts w:ascii="Arial" w:hAnsi="Arial" w:cs="Arial"/>
        </w:rPr>
        <w:t xml:space="preserve">Environmental/Social Planning: </w:t>
      </w:r>
      <w:r w:rsidRPr="003169AF">
        <w:rPr>
          <w:rFonts w:ascii="Arial" w:hAnsi="Arial" w:cs="Arial"/>
          <w:kern w:val="0"/>
        </w:rPr>
        <w:t>Designing and/or controlling the physical or social environment by allowing children’s access to diversified diets</w:t>
      </w:r>
    </w:p>
    <w:p w14:paraId="26172056" w14:textId="77777777" w:rsidR="00B548E1" w:rsidRPr="003169AF" w:rsidRDefault="00B548E1" w:rsidP="00B548E1">
      <w:pPr>
        <w:pStyle w:val="ListParagraph"/>
        <w:numPr>
          <w:ilvl w:val="2"/>
          <w:numId w:val="33"/>
        </w:numPr>
        <w:spacing w:after="0" w:line="240" w:lineRule="auto"/>
        <w:ind w:left="1368"/>
        <w:rPr>
          <w:rFonts w:ascii="Arial" w:hAnsi="Arial" w:cs="Arial"/>
        </w:rPr>
      </w:pPr>
      <w:r w:rsidRPr="003169AF">
        <w:rPr>
          <w:rFonts w:ascii="Arial" w:hAnsi="Arial" w:cs="Arial"/>
        </w:rPr>
        <w:t>Communication/</w:t>
      </w:r>
      <w:r w:rsidRPr="003169AF">
        <w:rPr>
          <w:rFonts w:ascii="Arial" w:eastAsia="Aptos" w:hAnsi="Arial" w:cs="Arial"/>
        </w:rPr>
        <w:t>marketing</w:t>
      </w:r>
      <w:r w:rsidRPr="003169AF">
        <w:rPr>
          <w:rFonts w:ascii="Arial" w:hAnsi="Arial" w:cs="Arial"/>
        </w:rPr>
        <w:t>: using conventional (</w:t>
      </w:r>
      <w:r w:rsidRPr="003169AF">
        <w:rPr>
          <w:rFonts w:ascii="Arial" w:hAnsi="Arial" w:cs="Arial"/>
          <w:kern w:val="0"/>
        </w:rPr>
        <w:t xml:space="preserve">print, electronic, </w:t>
      </w:r>
      <w:r w:rsidRPr="003169AF">
        <w:rPr>
          <w:rFonts w:ascii="Arial" w:eastAsia="Aptos" w:hAnsi="Arial" w:cs="Arial"/>
          <w:kern w:val="0"/>
        </w:rPr>
        <w:t>telephone</w:t>
      </w:r>
      <w:r w:rsidRPr="003169AF">
        <w:rPr>
          <w:rFonts w:ascii="Arial" w:hAnsi="Arial" w:cs="Arial"/>
          <w:kern w:val="0"/>
        </w:rPr>
        <w:t xml:space="preserve"> or broadcast media) and unconventional or social media messaging</w:t>
      </w:r>
    </w:p>
    <w:p w14:paraId="60404F4B" w14:textId="77777777" w:rsidR="00B548E1" w:rsidRPr="003169AF" w:rsidRDefault="00B548E1" w:rsidP="00B548E1">
      <w:pPr>
        <w:pStyle w:val="ListParagraph"/>
        <w:numPr>
          <w:ilvl w:val="2"/>
          <w:numId w:val="33"/>
        </w:numPr>
        <w:spacing w:after="0" w:line="240" w:lineRule="auto"/>
        <w:ind w:left="1368"/>
        <w:rPr>
          <w:rFonts w:ascii="Arial" w:hAnsi="Arial" w:cs="Arial"/>
        </w:rPr>
      </w:pPr>
      <w:r w:rsidRPr="003169AF">
        <w:rPr>
          <w:rFonts w:ascii="Arial" w:hAnsi="Arial" w:cs="Arial"/>
        </w:rPr>
        <w:t xml:space="preserve">Legislation: </w:t>
      </w:r>
      <w:r w:rsidRPr="003169AF">
        <w:rPr>
          <w:rFonts w:ascii="Arial" w:hAnsi="Arial" w:cs="Arial"/>
          <w:kern w:val="0"/>
        </w:rPr>
        <w:t xml:space="preserve">Making or changing laws prohibiting or encouraging good nutrition among children in the children’s </w:t>
      </w:r>
      <w:r>
        <w:rPr>
          <w:rFonts w:ascii="Arial" w:eastAsia="Aptos" w:hAnsi="Arial" w:cs="Arial"/>
          <w:kern w:val="0"/>
        </w:rPr>
        <w:t>socioeducational</w:t>
      </w:r>
      <w:r w:rsidRPr="003169AF">
        <w:rPr>
          <w:rFonts w:ascii="Arial" w:hAnsi="Arial" w:cs="Arial"/>
          <w:kern w:val="0"/>
        </w:rPr>
        <w:t xml:space="preserve"> environments</w:t>
      </w:r>
    </w:p>
    <w:p w14:paraId="1E2ED819" w14:textId="77777777" w:rsidR="00B548E1" w:rsidRPr="003169AF" w:rsidRDefault="00B548E1" w:rsidP="00B548E1">
      <w:pPr>
        <w:pStyle w:val="ListParagraph"/>
        <w:numPr>
          <w:ilvl w:val="2"/>
          <w:numId w:val="33"/>
        </w:numPr>
        <w:spacing w:after="0" w:line="240" w:lineRule="auto"/>
        <w:ind w:left="1368"/>
        <w:rPr>
          <w:rFonts w:ascii="Arial" w:hAnsi="Arial" w:cs="Arial"/>
        </w:rPr>
      </w:pPr>
      <w:r w:rsidRPr="003169AF">
        <w:rPr>
          <w:rFonts w:ascii="Arial" w:hAnsi="Arial" w:cs="Arial"/>
        </w:rPr>
        <w:t xml:space="preserve">Service provision: </w:t>
      </w:r>
      <w:r w:rsidRPr="003169AF">
        <w:rPr>
          <w:rFonts w:ascii="Arial" w:hAnsi="Arial" w:cs="Arial"/>
          <w:kern w:val="0"/>
        </w:rPr>
        <w:t>Providing or delivering healthy foods to children</w:t>
      </w:r>
    </w:p>
    <w:p w14:paraId="0625077C" w14:textId="77777777" w:rsidR="00B548E1" w:rsidRPr="003169AF" w:rsidRDefault="00B548E1" w:rsidP="00B548E1">
      <w:pPr>
        <w:pStyle w:val="ListParagraph"/>
        <w:numPr>
          <w:ilvl w:val="2"/>
          <w:numId w:val="33"/>
        </w:numPr>
        <w:spacing w:after="0" w:line="240" w:lineRule="auto"/>
        <w:ind w:left="1368"/>
        <w:rPr>
          <w:rFonts w:ascii="Arial" w:hAnsi="Arial" w:cs="Arial"/>
        </w:rPr>
      </w:pPr>
      <w:r w:rsidRPr="003169AF">
        <w:rPr>
          <w:rFonts w:ascii="Arial" w:hAnsi="Arial" w:cs="Arial"/>
        </w:rPr>
        <w:t xml:space="preserve">Regulation: </w:t>
      </w:r>
      <w:r w:rsidRPr="003169AF">
        <w:rPr>
          <w:rFonts w:ascii="Arial" w:hAnsi="Arial" w:cs="Arial"/>
          <w:kern w:val="0"/>
        </w:rPr>
        <w:t xml:space="preserve">Establishing rules or principles of behavior or practice, leading to the adoption of good practices or </w:t>
      </w:r>
      <w:r w:rsidRPr="003169AF">
        <w:rPr>
          <w:rFonts w:ascii="Arial" w:eastAsia="Aptos" w:hAnsi="Arial" w:cs="Arial"/>
          <w:kern w:val="0"/>
        </w:rPr>
        <w:t>allowing</w:t>
      </w:r>
      <w:r w:rsidRPr="003169AF">
        <w:rPr>
          <w:rFonts w:ascii="Arial" w:hAnsi="Arial" w:cs="Arial"/>
          <w:kern w:val="0"/>
        </w:rPr>
        <w:t xml:space="preserve"> bad practices</w:t>
      </w:r>
    </w:p>
    <w:p w14:paraId="559CCFB3" w14:textId="77777777" w:rsidR="00B548E1" w:rsidRPr="003169AF" w:rsidRDefault="00B548E1" w:rsidP="00B548E1">
      <w:pPr>
        <w:pStyle w:val="ListParagraph"/>
        <w:numPr>
          <w:ilvl w:val="2"/>
          <w:numId w:val="33"/>
        </w:numPr>
        <w:spacing w:after="0" w:line="240" w:lineRule="auto"/>
        <w:ind w:left="1368"/>
        <w:rPr>
          <w:rFonts w:ascii="Arial" w:hAnsi="Arial" w:cs="Arial"/>
        </w:rPr>
      </w:pPr>
      <w:r w:rsidRPr="003169AF">
        <w:rPr>
          <w:rFonts w:ascii="Arial" w:hAnsi="Arial" w:cs="Arial"/>
        </w:rPr>
        <w:t xml:space="preserve">Fiscal measures: </w:t>
      </w:r>
      <w:r w:rsidRPr="003169AF">
        <w:rPr>
          <w:rFonts w:ascii="Arial" w:eastAsia="Aptos" w:hAnsi="Arial" w:cs="Arial"/>
        </w:rPr>
        <w:t>When</w:t>
      </w:r>
      <w:r w:rsidRPr="003169AF">
        <w:rPr>
          <w:rFonts w:ascii="Arial" w:hAnsi="Arial" w:cs="Arial"/>
        </w:rPr>
        <w:t xml:space="preserve"> more taxes </w:t>
      </w:r>
      <w:r w:rsidRPr="003169AF">
        <w:rPr>
          <w:rFonts w:ascii="Arial" w:eastAsia="Aptos" w:hAnsi="Arial" w:cs="Arial"/>
        </w:rPr>
        <w:t>are imposed on</w:t>
      </w:r>
      <w:r w:rsidRPr="003169AF">
        <w:rPr>
          <w:rFonts w:ascii="Arial" w:hAnsi="Arial" w:cs="Arial"/>
        </w:rPr>
        <w:t xml:space="preserve"> fast or unhealthy foods in children’s </w:t>
      </w:r>
      <w:r>
        <w:rPr>
          <w:rFonts w:ascii="Arial" w:eastAsia="Aptos" w:hAnsi="Arial" w:cs="Arial"/>
        </w:rPr>
        <w:t>socioeducational</w:t>
      </w:r>
      <w:r w:rsidRPr="003169AF">
        <w:rPr>
          <w:rFonts w:ascii="Arial" w:hAnsi="Arial" w:cs="Arial"/>
        </w:rPr>
        <w:t xml:space="preserve"> environment, </w:t>
      </w:r>
      <w:r w:rsidRPr="003169AF">
        <w:rPr>
          <w:rFonts w:ascii="Arial" w:eastAsia="Aptos" w:hAnsi="Arial" w:cs="Arial"/>
        </w:rPr>
        <w:t>fewer</w:t>
      </w:r>
      <w:r w:rsidRPr="003169AF">
        <w:rPr>
          <w:rFonts w:ascii="Arial" w:hAnsi="Arial" w:cs="Arial"/>
        </w:rPr>
        <w:t xml:space="preserve"> taxes </w:t>
      </w:r>
      <w:r w:rsidRPr="003169AF">
        <w:rPr>
          <w:rFonts w:ascii="Arial" w:eastAsia="Aptos" w:hAnsi="Arial" w:cs="Arial"/>
        </w:rPr>
        <w:t xml:space="preserve">are imposed </w:t>
      </w:r>
      <w:r w:rsidRPr="003169AF">
        <w:rPr>
          <w:rFonts w:ascii="Arial" w:hAnsi="Arial" w:cs="Arial"/>
        </w:rPr>
        <w:t>on healthy foods.</w:t>
      </w:r>
    </w:p>
    <w:p w14:paraId="7BD8F3F2" w14:textId="77777777" w:rsidR="00B548E1" w:rsidRPr="003169AF" w:rsidRDefault="00B548E1" w:rsidP="00B548E1">
      <w:pPr>
        <w:pStyle w:val="ListParagraph"/>
        <w:numPr>
          <w:ilvl w:val="1"/>
          <w:numId w:val="33"/>
        </w:numPr>
        <w:spacing w:after="0" w:line="240" w:lineRule="auto"/>
        <w:ind w:left="1080"/>
        <w:rPr>
          <w:rFonts w:ascii="Arial" w:hAnsi="Arial" w:cs="Arial"/>
        </w:rPr>
      </w:pPr>
      <w:r w:rsidRPr="003169AF">
        <w:rPr>
          <w:rFonts w:ascii="Arial" w:hAnsi="Arial" w:cs="Arial"/>
        </w:rPr>
        <w:t>Capability-Opportunity-Motivation and Behavior:</w:t>
      </w:r>
    </w:p>
    <w:p w14:paraId="4D1376A9" w14:textId="77777777" w:rsidR="00B548E1" w:rsidRPr="003169AF" w:rsidRDefault="00B548E1" w:rsidP="00B548E1">
      <w:pPr>
        <w:pStyle w:val="ListParagraph"/>
        <w:numPr>
          <w:ilvl w:val="2"/>
          <w:numId w:val="33"/>
        </w:numPr>
        <w:spacing w:after="0" w:line="240" w:lineRule="auto"/>
        <w:ind w:left="1368"/>
        <w:rPr>
          <w:rFonts w:ascii="Arial" w:hAnsi="Arial" w:cs="Arial"/>
        </w:rPr>
      </w:pPr>
      <w:r w:rsidRPr="003169AF">
        <w:rPr>
          <w:rFonts w:ascii="Arial" w:hAnsi="Arial" w:cs="Arial"/>
        </w:rPr>
        <w:t xml:space="preserve">Capability: </w:t>
      </w:r>
      <w:r w:rsidRPr="003169AF">
        <w:rPr>
          <w:rFonts w:ascii="Arial" w:eastAsia="Aptos" w:hAnsi="Arial" w:cs="Arial"/>
        </w:rPr>
        <w:t>Children’s</w:t>
      </w:r>
      <w:r w:rsidRPr="003169AF">
        <w:rPr>
          <w:rFonts w:ascii="Arial" w:hAnsi="Arial" w:cs="Arial"/>
        </w:rPr>
        <w:t xml:space="preserve"> and </w:t>
      </w:r>
      <w:r w:rsidRPr="003169AF">
        <w:rPr>
          <w:rFonts w:ascii="Arial" w:eastAsia="Aptos" w:hAnsi="Arial" w:cs="Arial"/>
        </w:rPr>
        <w:t>parents’</w:t>
      </w:r>
      <w:r w:rsidRPr="003169AF">
        <w:rPr>
          <w:rFonts w:ascii="Arial" w:hAnsi="Arial" w:cs="Arial"/>
        </w:rPr>
        <w:t xml:space="preserve"> or caretakers’ or key actors’ </w:t>
      </w:r>
      <w:r w:rsidRPr="003169AF">
        <w:rPr>
          <w:rFonts w:ascii="Arial" w:hAnsi="Arial" w:cs="Arial"/>
          <w:kern w:val="0"/>
        </w:rPr>
        <w:t xml:space="preserve">psychological and physical capacity to engage in activities </w:t>
      </w:r>
      <w:r w:rsidRPr="003169AF">
        <w:rPr>
          <w:rFonts w:ascii="Arial" w:eastAsia="Aptos" w:hAnsi="Arial" w:cs="Arial"/>
          <w:kern w:val="0"/>
        </w:rPr>
        <w:t>addressing</w:t>
      </w:r>
      <w:r w:rsidRPr="003169AF">
        <w:rPr>
          <w:rFonts w:ascii="Arial" w:hAnsi="Arial" w:cs="Arial"/>
          <w:kern w:val="0"/>
        </w:rPr>
        <w:t xml:space="preserve"> malnutrition, including </w:t>
      </w:r>
      <w:r w:rsidRPr="003169AF">
        <w:rPr>
          <w:rFonts w:ascii="Arial" w:eastAsia="Aptos" w:hAnsi="Arial" w:cs="Arial"/>
          <w:kern w:val="0"/>
        </w:rPr>
        <w:t xml:space="preserve">the </w:t>
      </w:r>
      <w:r w:rsidRPr="003169AF">
        <w:rPr>
          <w:rFonts w:ascii="Arial" w:hAnsi="Arial" w:cs="Arial"/>
          <w:kern w:val="0"/>
        </w:rPr>
        <w:t>necessary knowledge and skills to perform healthy nutrition.</w:t>
      </w:r>
    </w:p>
    <w:p w14:paraId="7EBC1306" w14:textId="77777777" w:rsidR="00B548E1" w:rsidRPr="003169AF" w:rsidRDefault="00B548E1" w:rsidP="00B548E1">
      <w:pPr>
        <w:pStyle w:val="ListParagraph"/>
        <w:numPr>
          <w:ilvl w:val="2"/>
          <w:numId w:val="33"/>
        </w:numPr>
        <w:spacing w:after="0" w:line="240" w:lineRule="auto"/>
        <w:ind w:left="1368"/>
        <w:rPr>
          <w:rFonts w:ascii="Arial" w:hAnsi="Arial" w:cs="Arial"/>
        </w:rPr>
      </w:pPr>
      <w:r w:rsidRPr="003169AF">
        <w:rPr>
          <w:rFonts w:ascii="Arial" w:hAnsi="Arial" w:cs="Arial"/>
        </w:rPr>
        <w:t>Opportunity: social and physical factors beyond an individual’s control</w:t>
      </w:r>
      <w:r w:rsidRPr="003169AF">
        <w:rPr>
          <w:rFonts w:ascii="Arial" w:eastAsia="Aptos" w:hAnsi="Arial" w:cs="Arial"/>
        </w:rPr>
        <w:t>;</w:t>
      </w:r>
      <w:r w:rsidRPr="003169AF">
        <w:rPr>
          <w:rFonts w:ascii="Arial" w:hAnsi="Arial" w:cs="Arial"/>
        </w:rPr>
        <w:t xml:space="preserve"> a</w:t>
      </w:r>
      <w:r w:rsidRPr="003169AF">
        <w:rPr>
          <w:rFonts w:ascii="Arial" w:hAnsi="Arial" w:cs="Arial"/>
          <w:kern w:val="0"/>
        </w:rPr>
        <w:t xml:space="preserve">ll structural, institutional, and regulatory factors </w:t>
      </w:r>
      <w:r w:rsidRPr="003169AF">
        <w:rPr>
          <w:rFonts w:ascii="Arial" w:eastAsia="Aptos" w:hAnsi="Arial" w:cs="Arial"/>
          <w:kern w:val="0"/>
        </w:rPr>
        <w:t>that</w:t>
      </w:r>
      <w:r w:rsidRPr="003169AF">
        <w:rPr>
          <w:rFonts w:ascii="Arial" w:hAnsi="Arial" w:cs="Arial"/>
          <w:kern w:val="0"/>
        </w:rPr>
        <w:t xml:space="preserve"> make behavior possible or prompt it to reduce malnutrition</w:t>
      </w:r>
    </w:p>
    <w:p w14:paraId="1032C106" w14:textId="77777777" w:rsidR="00B548E1" w:rsidRPr="003169AF" w:rsidRDefault="00B548E1" w:rsidP="00B548E1">
      <w:pPr>
        <w:pStyle w:val="ListParagraph"/>
        <w:numPr>
          <w:ilvl w:val="2"/>
          <w:numId w:val="33"/>
        </w:numPr>
        <w:spacing w:after="0" w:line="240" w:lineRule="auto"/>
        <w:ind w:left="1368"/>
        <w:rPr>
          <w:rFonts w:ascii="Arial" w:hAnsi="Arial" w:cs="Arial"/>
        </w:rPr>
      </w:pPr>
      <w:r w:rsidRPr="003169AF">
        <w:rPr>
          <w:rFonts w:ascii="Arial" w:hAnsi="Arial" w:cs="Arial"/>
          <w:kern w:val="0"/>
        </w:rPr>
        <w:t>Motivation: intrinsic factors that come from brain processes to energize and direct nutrition behaviors resulting from habitual processes, emotional and rational responses and decisions</w:t>
      </w:r>
    </w:p>
    <w:p w14:paraId="0623AFC4" w14:textId="77777777" w:rsidR="00B548E1" w:rsidRPr="003169AF" w:rsidRDefault="00B548E1" w:rsidP="00B548E1">
      <w:pPr>
        <w:pStyle w:val="ListParagraph"/>
        <w:numPr>
          <w:ilvl w:val="2"/>
          <w:numId w:val="33"/>
        </w:numPr>
        <w:spacing w:after="0" w:line="240" w:lineRule="auto"/>
        <w:ind w:left="1368"/>
        <w:rPr>
          <w:rFonts w:ascii="Arial" w:hAnsi="Arial" w:cs="Arial"/>
        </w:rPr>
      </w:pPr>
      <w:r w:rsidRPr="003169AF">
        <w:rPr>
          <w:rFonts w:ascii="Arial" w:hAnsi="Arial" w:cs="Arial"/>
        </w:rPr>
        <w:t>Behavior: desired or promoted behavior or discouraged behavior</w:t>
      </w:r>
    </w:p>
    <w:p w14:paraId="221AA89A" w14:textId="77777777" w:rsidR="00B548E1" w:rsidRPr="003169AF" w:rsidRDefault="00B548E1" w:rsidP="00B548E1">
      <w:pPr>
        <w:pStyle w:val="ListParagraph"/>
        <w:spacing w:after="0" w:line="240" w:lineRule="auto"/>
        <w:ind w:left="360"/>
        <w:jc w:val="both"/>
        <w:rPr>
          <w:rFonts w:ascii="Arial" w:hAnsi="Arial" w:cs="Arial"/>
          <w:sz w:val="14"/>
          <w:szCs w:val="14"/>
        </w:rPr>
      </w:pPr>
    </w:p>
    <w:p w14:paraId="73C2F0D6" w14:textId="77777777" w:rsidR="00B548E1" w:rsidRPr="003169AF" w:rsidRDefault="00B548E1" w:rsidP="00B548E1">
      <w:pPr>
        <w:pStyle w:val="ListParagraph"/>
        <w:numPr>
          <w:ilvl w:val="0"/>
          <w:numId w:val="33"/>
        </w:numPr>
        <w:spacing w:after="0" w:line="240" w:lineRule="auto"/>
        <w:ind w:left="360"/>
        <w:jc w:val="both"/>
        <w:rPr>
          <w:rFonts w:ascii="Arial" w:hAnsi="Arial" w:cs="Arial"/>
        </w:rPr>
      </w:pPr>
      <w:r w:rsidRPr="003169AF">
        <w:rPr>
          <w:rFonts w:ascii="Arial" w:hAnsi="Arial" w:cs="Arial"/>
          <w:b/>
          <w:bCs/>
        </w:rPr>
        <w:t>Theoretical justification</w:t>
      </w:r>
      <w:r w:rsidRPr="003169AF">
        <w:rPr>
          <w:rFonts w:ascii="Arial" w:hAnsi="Arial" w:cs="Arial"/>
        </w:rPr>
        <w:t>: identify any justification for using the BCW intervention functions, policy categories, and COM-B model.</w:t>
      </w:r>
    </w:p>
    <w:p w14:paraId="189E3A3B" w14:textId="77777777" w:rsidR="00B548E1" w:rsidRPr="003169AF" w:rsidRDefault="00B548E1" w:rsidP="00B548E1">
      <w:pPr>
        <w:pStyle w:val="ListParagraph"/>
        <w:spacing w:after="0" w:line="240" w:lineRule="auto"/>
        <w:ind w:left="360"/>
        <w:jc w:val="both"/>
        <w:rPr>
          <w:rFonts w:ascii="Arial" w:hAnsi="Arial" w:cs="Arial"/>
          <w:sz w:val="14"/>
          <w:szCs w:val="14"/>
        </w:rPr>
      </w:pPr>
    </w:p>
    <w:p w14:paraId="092C9FE9" w14:textId="77777777" w:rsidR="00B548E1" w:rsidRPr="003169AF" w:rsidRDefault="00B548E1" w:rsidP="00B548E1">
      <w:pPr>
        <w:pStyle w:val="ListParagraph"/>
        <w:numPr>
          <w:ilvl w:val="0"/>
          <w:numId w:val="33"/>
        </w:numPr>
        <w:spacing w:after="0" w:line="240" w:lineRule="auto"/>
        <w:ind w:left="360"/>
        <w:jc w:val="both"/>
        <w:rPr>
          <w:rFonts w:ascii="Arial" w:hAnsi="Arial" w:cs="Arial"/>
        </w:rPr>
      </w:pPr>
      <w:r w:rsidRPr="003169AF">
        <w:rPr>
          <w:rFonts w:ascii="Arial" w:hAnsi="Arial" w:cs="Arial"/>
          <w:b/>
          <w:bCs/>
        </w:rPr>
        <w:t>The timing of utilizing the BCW and the COM-B model</w:t>
      </w:r>
      <w:r w:rsidRPr="003169AF">
        <w:rPr>
          <w:rFonts w:ascii="Arial" w:hAnsi="Arial" w:cs="Arial"/>
        </w:rPr>
        <w:t>:</w:t>
      </w:r>
    </w:p>
    <w:p w14:paraId="0FFF6326" w14:textId="77777777" w:rsidR="00B548E1" w:rsidRPr="003169AF" w:rsidRDefault="00B548E1" w:rsidP="00B548E1">
      <w:pPr>
        <w:pStyle w:val="ListParagraph"/>
        <w:numPr>
          <w:ilvl w:val="2"/>
          <w:numId w:val="33"/>
        </w:numPr>
        <w:spacing w:after="0" w:line="240" w:lineRule="auto"/>
        <w:ind w:left="1152"/>
        <w:jc w:val="both"/>
        <w:rPr>
          <w:rFonts w:ascii="Arial" w:hAnsi="Arial" w:cs="Arial"/>
        </w:rPr>
      </w:pPr>
      <w:r w:rsidRPr="003169AF">
        <w:rPr>
          <w:rFonts w:ascii="Arial" w:hAnsi="Arial" w:cs="Arial"/>
        </w:rPr>
        <w:t xml:space="preserve">Design: </w:t>
      </w:r>
      <w:r w:rsidRPr="003169AF">
        <w:rPr>
          <w:rFonts w:ascii="Arial" w:eastAsia="Aptos" w:hAnsi="Arial" w:cs="Arial"/>
        </w:rPr>
        <w:t>During</w:t>
      </w:r>
      <w:r w:rsidRPr="003169AF">
        <w:rPr>
          <w:rFonts w:ascii="Arial" w:hAnsi="Arial" w:cs="Arial"/>
        </w:rPr>
        <w:t xml:space="preserve"> needs/feasibility assessment, </w:t>
      </w:r>
      <w:r w:rsidRPr="003169AF">
        <w:rPr>
          <w:rFonts w:ascii="Arial" w:eastAsia="Aptos" w:hAnsi="Arial" w:cs="Arial"/>
        </w:rPr>
        <w:t xml:space="preserve">the </w:t>
      </w:r>
      <w:r w:rsidRPr="003169AF">
        <w:rPr>
          <w:rFonts w:ascii="Arial" w:hAnsi="Arial" w:cs="Arial"/>
        </w:rPr>
        <w:t>development of interventions and their packages and delivery modalities</w:t>
      </w:r>
    </w:p>
    <w:p w14:paraId="538B5071" w14:textId="77777777" w:rsidR="00B548E1" w:rsidRPr="003169AF" w:rsidRDefault="00B548E1" w:rsidP="00B548E1">
      <w:pPr>
        <w:pStyle w:val="ListParagraph"/>
        <w:numPr>
          <w:ilvl w:val="2"/>
          <w:numId w:val="33"/>
        </w:numPr>
        <w:spacing w:after="0" w:line="240" w:lineRule="auto"/>
        <w:ind w:left="1152"/>
        <w:jc w:val="both"/>
        <w:rPr>
          <w:rFonts w:ascii="Arial" w:hAnsi="Arial" w:cs="Arial"/>
        </w:rPr>
      </w:pPr>
      <w:r w:rsidRPr="003169AF">
        <w:rPr>
          <w:rFonts w:ascii="Arial" w:hAnsi="Arial" w:cs="Arial"/>
        </w:rPr>
        <w:t xml:space="preserve">Implementation: </w:t>
      </w:r>
      <w:r w:rsidRPr="003169AF">
        <w:rPr>
          <w:rFonts w:ascii="Arial" w:eastAsia="Aptos" w:hAnsi="Arial" w:cs="Arial"/>
        </w:rPr>
        <w:t>During</w:t>
      </w:r>
      <w:r w:rsidRPr="003169AF">
        <w:rPr>
          <w:rFonts w:ascii="Arial" w:hAnsi="Arial" w:cs="Arial"/>
        </w:rPr>
        <w:t xml:space="preserve"> the execution of the intervention to produce the requisite change at </w:t>
      </w:r>
      <w:r w:rsidRPr="003169AF">
        <w:rPr>
          <w:rFonts w:ascii="Arial" w:eastAsia="Aptos" w:hAnsi="Arial" w:cs="Arial"/>
        </w:rPr>
        <w:t xml:space="preserve">the </w:t>
      </w:r>
      <w:r w:rsidRPr="003169AF">
        <w:rPr>
          <w:rFonts w:ascii="Arial" w:hAnsi="Arial" w:cs="Arial"/>
        </w:rPr>
        <w:t>individual, social, and structural levels to promote healthy behavior</w:t>
      </w:r>
    </w:p>
    <w:p w14:paraId="2299DC44" w14:textId="77777777" w:rsidR="00B548E1" w:rsidRPr="003169AF" w:rsidRDefault="00B548E1" w:rsidP="00B548E1">
      <w:pPr>
        <w:pStyle w:val="ListParagraph"/>
        <w:numPr>
          <w:ilvl w:val="2"/>
          <w:numId w:val="33"/>
        </w:numPr>
        <w:spacing w:after="0" w:line="240" w:lineRule="auto"/>
        <w:ind w:left="1152"/>
        <w:jc w:val="both"/>
        <w:rPr>
          <w:rFonts w:ascii="Arial" w:hAnsi="Arial" w:cs="Arial"/>
        </w:rPr>
      </w:pPr>
      <w:r w:rsidRPr="003169AF">
        <w:rPr>
          <w:rFonts w:ascii="Arial" w:hAnsi="Arial" w:cs="Arial"/>
        </w:rPr>
        <w:t xml:space="preserve">Evaluation: </w:t>
      </w:r>
      <w:r w:rsidRPr="003169AF">
        <w:rPr>
          <w:rFonts w:ascii="Arial" w:eastAsia="Aptos" w:hAnsi="Arial" w:cs="Arial"/>
        </w:rPr>
        <w:t>During</w:t>
      </w:r>
      <w:r w:rsidRPr="003169AF">
        <w:rPr>
          <w:rFonts w:ascii="Arial" w:hAnsi="Arial" w:cs="Arial"/>
        </w:rPr>
        <w:t xml:space="preserve"> the evaluation, </w:t>
      </w:r>
      <w:r w:rsidRPr="003169AF">
        <w:rPr>
          <w:rFonts w:ascii="Arial" w:eastAsia="Aptos" w:hAnsi="Arial" w:cs="Arial"/>
        </w:rPr>
        <w:t>we considered</w:t>
      </w:r>
      <w:r w:rsidRPr="003169AF">
        <w:rPr>
          <w:rFonts w:ascii="Arial" w:hAnsi="Arial" w:cs="Arial"/>
        </w:rPr>
        <w:t xml:space="preserve"> what worked or did not work in all intervention components to achieve </w:t>
      </w:r>
      <w:r w:rsidRPr="003169AF">
        <w:rPr>
          <w:rFonts w:ascii="Arial" w:eastAsia="Aptos" w:hAnsi="Arial" w:cs="Arial"/>
        </w:rPr>
        <w:t>nutritional</w:t>
      </w:r>
      <w:r w:rsidRPr="003169AF">
        <w:rPr>
          <w:rFonts w:ascii="Arial" w:hAnsi="Arial" w:cs="Arial"/>
        </w:rPr>
        <w:t xml:space="preserve"> outcomes.</w:t>
      </w:r>
    </w:p>
    <w:p w14:paraId="03A3CEAF" w14:textId="77777777" w:rsidR="00B548E1" w:rsidRPr="003169AF" w:rsidRDefault="00B548E1" w:rsidP="00B548E1">
      <w:pPr>
        <w:pStyle w:val="ListParagraph"/>
        <w:spacing w:after="0" w:line="240" w:lineRule="auto"/>
        <w:ind w:left="1152"/>
        <w:jc w:val="both"/>
        <w:rPr>
          <w:rFonts w:ascii="Arial" w:hAnsi="Arial" w:cs="Arial"/>
          <w:sz w:val="14"/>
          <w:szCs w:val="14"/>
        </w:rPr>
      </w:pPr>
    </w:p>
    <w:p w14:paraId="3E3CC8F8" w14:textId="77777777" w:rsidR="00B548E1" w:rsidRPr="003169AF" w:rsidRDefault="00B548E1" w:rsidP="00B548E1">
      <w:pPr>
        <w:pStyle w:val="ListParagraph"/>
        <w:numPr>
          <w:ilvl w:val="0"/>
          <w:numId w:val="33"/>
        </w:numPr>
        <w:spacing w:after="0" w:line="240" w:lineRule="auto"/>
        <w:ind w:left="360"/>
        <w:rPr>
          <w:rFonts w:ascii="Arial" w:hAnsi="Arial" w:cs="Arial"/>
        </w:rPr>
      </w:pPr>
      <w:r w:rsidRPr="003169AF">
        <w:rPr>
          <w:rFonts w:ascii="Arial" w:hAnsi="Arial" w:cs="Arial"/>
          <w:b/>
          <w:bCs/>
        </w:rPr>
        <w:t>Intervention summary results</w:t>
      </w:r>
      <w:r w:rsidRPr="003169AF">
        <w:rPr>
          <w:rFonts w:ascii="Arial" w:hAnsi="Arial" w:cs="Arial"/>
        </w:rPr>
        <w:t>: listing key nutrition results for children</w:t>
      </w:r>
    </w:p>
    <w:p w14:paraId="3CF6B12E" w14:textId="77777777" w:rsidR="00B548E1" w:rsidRPr="003169AF" w:rsidRDefault="00B548E1" w:rsidP="00B548E1">
      <w:pPr>
        <w:pStyle w:val="ListParagraph"/>
        <w:numPr>
          <w:ilvl w:val="0"/>
          <w:numId w:val="33"/>
        </w:numPr>
        <w:spacing w:after="0" w:line="240" w:lineRule="auto"/>
        <w:ind w:left="360"/>
        <w:rPr>
          <w:rFonts w:ascii="Arial" w:hAnsi="Arial" w:cs="Arial"/>
        </w:rPr>
      </w:pPr>
      <w:r w:rsidRPr="003169AF">
        <w:rPr>
          <w:rFonts w:ascii="Arial" w:hAnsi="Arial" w:cs="Arial"/>
          <w:b/>
          <w:bCs/>
        </w:rPr>
        <w:t>Theoretical insights</w:t>
      </w:r>
      <w:r w:rsidRPr="003169AF">
        <w:rPr>
          <w:rFonts w:ascii="Arial" w:hAnsi="Arial" w:cs="Arial"/>
        </w:rPr>
        <w:t>: identify theoretical gaps and/or strengths as reported.</w:t>
      </w:r>
    </w:p>
    <w:p w14:paraId="5EF7F871" w14:textId="77777777" w:rsidR="00B548E1" w:rsidRPr="003169AF" w:rsidRDefault="00B548E1" w:rsidP="00B548E1">
      <w:pPr>
        <w:pStyle w:val="Heading2"/>
        <w:spacing w:line="240" w:lineRule="auto"/>
        <w:rPr>
          <w:rFonts w:ascii="Arial" w:hAnsi="Arial" w:cs="Arial"/>
          <w:b/>
          <w:bCs/>
          <w:color w:val="auto"/>
          <w:sz w:val="24"/>
          <w:szCs w:val="24"/>
        </w:rPr>
      </w:pPr>
      <w:bookmarkStart w:id="3" w:name="_Toc185280922"/>
      <w:r w:rsidRPr="003169AF">
        <w:rPr>
          <w:rFonts w:ascii="Arial" w:hAnsi="Arial" w:cs="Arial"/>
          <w:b/>
          <w:bCs/>
          <w:color w:val="auto"/>
          <w:sz w:val="24"/>
          <w:szCs w:val="24"/>
        </w:rPr>
        <w:t>Annex 3. Deductive codes used in Atlas.ti</w:t>
      </w:r>
      <w:bookmarkEnd w:id="3"/>
    </w:p>
    <w:tbl>
      <w:tblPr>
        <w:tblW w:w="76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0"/>
      </w:tblGrid>
      <w:tr w:rsidR="00B548E1" w14:paraId="0E2C3D77" w14:textId="77777777" w:rsidTr="00057600">
        <w:trPr>
          <w:trHeight w:val="280"/>
          <w:tblHeader/>
        </w:trPr>
        <w:tc>
          <w:tcPr>
            <w:tcW w:w="7650" w:type="dxa"/>
            <w:noWrap/>
          </w:tcPr>
          <w:p w14:paraId="6A02F2DF" w14:textId="77777777" w:rsidR="00B548E1" w:rsidRPr="003169AF" w:rsidRDefault="00B548E1" w:rsidP="00057600">
            <w:pPr>
              <w:spacing w:after="0" w:line="240" w:lineRule="auto"/>
              <w:rPr>
                <w:rFonts w:ascii="Arial" w:eastAsia="Times New Roman" w:hAnsi="Arial" w:cs="Arial"/>
                <w:b/>
                <w:bCs/>
                <w:i/>
                <w:iCs/>
                <w:color w:val="000000"/>
                <w:kern w:val="0"/>
                <w:sz w:val="20"/>
                <w:szCs w:val="20"/>
                <w:lang w:eastAsia="en-GB"/>
                <w14:ligatures w14:val="none"/>
              </w:rPr>
            </w:pPr>
            <w:r w:rsidRPr="003169AF">
              <w:rPr>
                <w:rFonts w:ascii="Arial" w:eastAsia="Times New Roman" w:hAnsi="Arial" w:cs="Arial"/>
                <w:b/>
                <w:bCs/>
                <w:i/>
                <w:iCs/>
                <w:color w:val="000000"/>
                <w:kern w:val="0"/>
                <w:sz w:val="20"/>
                <w:szCs w:val="20"/>
                <w:lang w:eastAsia="en-GB"/>
                <w14:ligatures w14:val="none"/>
              </w:rPr>
              <w:t>Deductive codes used in the review/analysis</w:t>
            </w:r>
          </w:p>
        </w:tc>
      </w:tr>
      <w:tr w:rsidR="00B548E1" w14:paraId="4B64F0B8" w14:textId="77777777" w:rsidTr="00057600">
        <w:trPr>
          <w:trHeight w:val="280"/>
        </w:trPr>
        <w:tc>
          <w:tcPr>
            <w:tcW w:w="7650" w:type="dxa"/>
            <w:noWrap/>
            <w:hideMark/>
          </w:tcPr>
          <w:p w14:paraId="523EB9A6" w14:textId="77777777" w:rsidR="00B548E1" w:rsidRPr="003169AF" w:rsidRDefault="00B548E1" w:rsidP="00057600">
            <w:pPr>
              <w:spacing w:after="0" w:line="240" w:lineRule="auto"/>
              <w:rPr>
                <w:rFonts w:ascii="Arial" w:eastAsia="Times New Roman" w:hAnsi="Arial" w:cs="Arial"/>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1a. Author</w:t>
            </w:r>
          </w:p>
        </w:tc>
      </w:tr>
      <w:tr w:rsidR="00B548E1" w14:paraId="3E0451A1" w14:textId="77777777" w:rsidTr="00057600">
        <w:trPr>
          <w:trHeight w:val="280"/>
        </w:trPr>
        <w:tc>
          <w:tcPr>
            <w:tcW w:w="7650" w:type="dxa"/>
            <w:noWrap/>
            <w:hideMark/>
          </w:tcPr>
          <w:p w14:paraId="7A738D65" w14:textId="77777777" w:rsidR="00B548E1" w:rsidRPr="003169AF" w:rsidRDefault="00B548E1" w:rsidP="00057600">
            <w:pPr>
              <w:spacing w:after="0" w:line="240" w:lineRule="auto"/>
              <w:rPr>
                <w:rFonts w:ascii="Arial" w:eastAsia="Times New Roman" w:hAnsi="Arial" w:cs="Arial"/>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1b. Publication year</w:t>
            </w:r>
          </w:p>
        </w:tc>
      </w:tr>
      <w:tr w:rsidR="00B548E1" w14:paraId="444AD965" w14:textId="77777777" w:rsidTr="00057600">
        <w:trPr>
          <w:trHeight w:val="280"/>
        </w:trPr>
        <w:tc>
          <w:tcPr>
            <w:tcW w:w="7650" w:type="dxa"/>
            <w:noWrap/>
            <w:hideMark/>
          </w:tcPr>
          <w:p w14:paraId="46BC63BB" w14:textId="77777777" w:rsidR="00B548E1" w:rsidRPr="003169AF" w:rsidRDefault="00B548E1" w:rsidP="00057600">
            <w:pPr>
              <w:spacing w:after="0" w:line="240" w:lineRule="auto"/>
              <w:rPr>
                <w:rFonts w:ascii="Arial" w:eastAsia="Times New Roman" w:hAnsi="Arial" w:cs="Arial"/>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1c. Publication title</w:t>
            </w:r>
          </w:p>
        </w:tc>
      </w:tr>
      <w:tr w:rsidR="00B548E1" w14:paraId="6481D682" w14:textId="77777777" w:rsidTr="00057600">
        <w:trPr>
          <w:trHeight w:val="280"/>
        </w:trPr>
        <w:tc>
          <w:tcPr>
            <w:tcW w:w="7650" w:type="dxa"/>
            <w:noWrap/>
            <w:hideMark/>
          </w:tcPr>
          <w:p w14:paraId="0682D714" w14:textId="77777777" w:rsidR="00B548E1" w:rsidRPr="003169AF" w:rsidRDefault="00B548E1" w:rsidP="00057600">
            <w:pPr>
              <w:spacing w:after="0" w:line="240" w:lineRule="auto"/>
              <w:rPr>
                <w:rFonts w:ascii="Arial" w:eastAsia="Times New Roman" w:hAnsi="Arial" w:cs="Arial"/>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1d. Abstract (Publication description)</w:t>
            </w:r>
          </w:p>
        </w:tc>
      </w:tr>
      <w:tr w:rsidR="00B548E1" w14:paraId="3194C243" w14:textId="77777777" w:rsidTr="00057600">
        <w:trPr>
          <w:trHeight w:val="280"/>
        </w:trPr>
        <w:tc>
          <w:tcPr>
            <w:tcW w:w="7650" w:type="dxa"/>
            <w:noWrap/>
            <w:hideMark/>
          </w:tcPr>
          <w:p w14:paraId="640F1490" w14:textId="77777777" w:rsidR="00B548E1" w:rsidRPr="003169AF" w:rsidRDefault="00B548E1" w:rsidP="00057600">
            <w:pPr>
              <w:spacing w:after="0" w:line="240" w:lineRule="auto"/>
              <w:rPr>
                <w:rFonts w:ascii="Arial" w:eastAsia="Times New Roman" w:hAnsi="Arial" w:cs="Arial"/>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1e. Country or region</w:t>
            </w:r>
          </w:p>
        </w:tc>
      </w:tr>
      <w:tr w:rsidR="00B548E1" w14:paraId="565726FD" w14:textId="77777777" w:rsidTr="00057600">
        <w:trPr>
          <w:trHeight w:val="280"/>
        </w:trPr>
        <w:tc>
          <w:tcPr>
            <w:tcW w:w="7650" w:type="dxa"/>
            <w:noWrap/>
            <w:hideMark/>
          </w:tcPr>
          <w:p w14:paraId="32ED5809"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1f. Sample size</w:t>
            </w:r>
          </w:p>
        </w:tc>
      </w:tr>
      <w:tr w:rsidR="00B548E1" w14:paraId="7FDC51DE" w14:textId="77777777" w:rsidTr="00057600">
        <w:trPr>
          <w:trHeight w:val="280"/>
        </w:trPr>
        <w:tc>
          <w:tcPr>
            <w:tcW w:w="7650" w:type="dxa"/>
            <w:noWrap/>
            <w:hideMark/>
          </w:tcPr>
          <w:p w14:paraId="687F89F4"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1 g. Age (of the study group)</w:t>
            </w:r>
          </w:p>
        </w:tc>
      </w:tr>
      <w:tr w:rsidR="00B548E1" w14:paraId="54C87F56" w14:textId="77777777" w:rsidTr="00057600">
        <w:trPr>
          <w:trHeight w:val="280"/>
        </w:trPr>
        <w:tc>
          <w:tcPr>
            <w:tcW w:w="7650" w:type="dxa"/>
            <w:noWrap/>
            <w:hideMark/>
          </w:tcPr>
          <w:p w14:paraId="423DB7FF"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1h1. Research design – experimental</w:t>
            </w:r>
          </w:p>
        </w:tc>
      </w:tr>
      <w:tr w:rsidR="00B548E1" w14:paraId="1FBA1F61" w14:textId="77777777" w:rsidTr="00057600">
        <w:trPr>
          <w:trHeight w:val="280"/>
        </w:trPr>
        <w:tc>
          <w:tcPr>
            <w:tcW w:w="7650" w:type="dxa"/>
            <w:noWrap/>
            <w:hideMark/>
          </w:tcPr>
          <w:p w14:paraId="2AC9EDF2" w14:textId="77777777" w:rsidR="00B548E1" w:rsidRPr="003169AF" w:rsidRDefault="00B548E1" w:rsidP="00057600">
            <w:pPr>
              <w:spacing w:after="0" w:line="240" w:lineRule="auto"/>
              <w:rPr>
                <w:rFonts w:ascii="Arial" w:eastAsia="Times New Roman" w:hAnsi="Arial" w:cs="Arial"/>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1h2. Research design – quasiexperimental</w:t>
            </w:r>
          </w:p>
        </w:tc>
      </w:tr>
      <w:tr w:rsidR="00B548E1" w14:paraId="72A3F985" w14:textId="77777777" w:rsidTr="00057600">
        <w:trPr>
          <w:trHeight w:val="280"/>
        </w:trPr>
        <w:tc>
          <w:tcPr>
            <w:tcW w:w="7650" w:type="dxa"/>
            <w:noWrap/>
            <w:hideMark/>
          </w:tcPr>
          <w:p w14:paraId="42528423" w14:textId="77777777" w:rsidR="00B548E1" w:rsidRPr="003169AF" w:rsidRDefault="00B548E1" w:rsidP="00057600">
            <w:pPr>
              <w:spacing w:after="0" w:line="240" w:lineRule="auto"/>
              <w:rPr>
                <w:rFonts w:ascii="Arial" w:eastAsia="Times New Roman" w:hAnsi="Arial" w:cs="Arial"/>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1h3. Research design - cross-sectional</w:t>
            </w:r>
          </w:p>
        </w:tc>
      </w:tr>
      <w:tr w:rsidR="00B548E1" w14:paraId="2FFC2E24" w14:textId="77777777" w:rsidTr="00057600">
        <w:trPr>
          <w:trHeight w:val="280"/>
        </w:trPr>
        <w:tc>
          <w:tcPr>
            <w:tcW w:w="7650" w:type="dxa"/>
            <w:noWrap/>
            <w:hideMark/>
          </w:tcPr>
          <w:p w14:paraId="17A8561C" w14:textId="77777777" w:rsidR="00B548E1" w:rsidRPr="003169AF" w:rsidRDefault="00B548E1" w:rsidP="00057600">
            <w:pPr>
              <w:spacing w:after="0" w:line="240" w:lineRule="auto"/>
              <w:rPr>
                <w:rFonts w:ascii="Arial" w:eastAsia="Times New Roman" w:hAnsi="Arial" w:cs="Arial"/>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1h4. Research design – qualitative</w:t>
            </w:r>
          </w:p>
        </w:tc>
      </w:tr>
      <w:tr w:rsidR="00B548E1" w14:paraId="4E7A00E7" w14:textId="77777777" w:rsidTr="00057600">
        <w:trPr>
          <w:trHeight w:val="280"/>
        </w:trPr>
        <w:tc>
          <w:tcPr>
            <w:tcW w:w="7650" w:type="dxa"/>
            <w:noWrap/>
            <w:hideMark/>
          </w:tcPr>
          <w:p w14:paraId="7882D6DE" w14:textId="77777777" w:rsidR="00B548E1" w:rsidRPr="003169AF" w:rsidRDefault="00B548E1" w:rsidP="00057600">
            <w:pPr>
              <w:spacing w:after="0" w:line="240" w:lineRule="auto"/>
              <w:rPr>
                <w:rFonts w:ascii="Arial" w:eastAsia="Times New Roman" w:hAnsi="Arial" w:cs="Arial"/>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1h5. Research design – quantitative</w:t>
            </w:r>
          </w:p>
        </w:tc>
      </w:tr>
      <w:tr w:rsidR="00B548E1" w14:paraId="373DDAC1" w14:textId="77777777" w:rsidTr="00057600">
        <w:trPr>
          <w:trHeight w:val="280"/>
        </w:trPr>
        <w:tc>
          <w:tcPr>
            <w:tcW w:w="7650" w:type="dxa"/>
            <w:noWrap/>
            <w:hideMark/>
          </w:tcPr>
          <w:p w14:paraId="39817A4E" w14:textId="77777777" w:rsidR="00B548E1" w:rsidRPr="003169AF" w:rsidRDefault="00B548E1" w:rsidP="00057600">
            <w:pPr>
              <w:spacing w:after="0" w:line="240" w:lineRule="auto"/>
              <w:rPr>
                <w:rFonts w:ascii="Arial" w:eastAsia="Times New Roman" w:hAnsi="Arial" w:cs="Arial"/>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1h6. Research design - systematic review</w:t>
            </w:r>
          </w:p>
        </w:tc>
      </w:tr>
      <w:tr w:rsidR="00B548E1" w14:paraId="584CC948" w14:textId="77777777" w:rsidTr="00057600">
        <w:trPr>
          <w:trHeight w:val="280"/>
        </w:trPr>
        <w:tc>
          <w:tcPr>
            <w:tcW w:w="7650" w:type="dxa"/>
            <w:noWrap/>
            <w:hideMark/>
          </w:tcPr>
          <w:p w14:paraId="5AFDDE7A"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1h10. Research design – Other</w:t>
            </w:r>
          </w:p>
        </w:tc>
      </w:tr>
      <w:tr w:rsidR="00B548E1" w14:paraId="739B2E6C" w14:textId="77777777" w:rsidTr="00057600">
        <w:trPr>
          <w:trHeight w:val="280"/>
        </w:trPr>
        <w:tc>
          <w:tcPr>
            <w:tcW w:w="7650" w:type="dxa"/>
            <w:noWrap/>
            <w:hideMark/>
          </w:tcPr>
          <w:p w14:paraId="14D2BCA1" w14:textId="77777777" w:rsidR="00B548E1" w:rsidRPr="003169AF" w:rsidRDefault="00B548E1" w:rsidP="00057600">
            <w:pPr>
              <w:spacing w:after="0" w:line="240" w:lineRule="auto"/>
              <w:rPr>
                <w:rFonts w:ascii="Arial" w:eastAsia="Times New Roman" w:hAnsi="Arial" w:cs="Arial"/>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2a. Intervention context – stable</w:t>
            </w:r>
          </w:p>
        </w:tc>
      </w:tr>
      <w:tr w:rsidR="00B548E1" w14:paraId="7098D5C7" w14:textId="77777777" w:rsidTr="00057600">
        <w:trPr>
          <w:trHeight w:val="280"/>
        </w:trPr>
        <w:tc>
          <w:tcPr>
            <w:tcW w:w="7650" w:type="dxa"/>
            <w:noWrap/>
            <w:hideMark/>
          </w:tcPr>
          <w:p w14:paraId="2350DF72" w14:textId="77777777" w:rsidR="00B548E1" w:rsidRPr="003169AF" w:rsidRDefault="00B548E1" w:rsidP="00057600">
            <w:pPr>
              <w:spacing w:after="0" w:line="240" w:lineRule="auto"/>
              <w:rPr>
                <w:rFonts w:ascii="Arial" w:eastAsia="Times New Roman" w:hAnsi="Arial" w:cs="Arial"/>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2b. Intervention context – emergency</w:t>
            </w:r>
          </w:p>
        </w:tc>
      </w:tr>
      <w:tr w:rsidR="00B548E1" w14:paraId="7BBE909B" w14:textId="77777777" w:rsidTr="00057600">
        <w:trPr>
          <w:trHeight w:val="280"/>
        </w:trPr>
        <w:tc>
          <w:tcPr>
            <w:tcW w:w="7650" w:type="dxa"/>
            <w:noWrap/>
            <w:hideMark/>
          </w:tcPr>
          <w:p w14:paraId="324E2A6E" w14:textId="77777777" w:rsidR="00B548E1" w:rsidRPr="003169AF" w:rsidRDefault="00B548E1" w:rsidP="00057600">
            <w:pPr>
              <w:spacing w:after="0" w:line="240" w:lineRule="auto"/>
              <w:rPr>
                <w:rFonts w:ascii="Arial" w:eastAsia="Times New Roman" w:hAnsi="Arial" w:cs="Arial"/>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2c. Intervention context – humanitarian</w:t>
            </w:r>
          </w:p>
        </w:tc>
      </w:tr>
      <w:tr w:rsidR="00B548E1" w14:paraId="1D17607B" w14:textId="77777777" w:rsidTr="00057600">
        <w:trPr>
          <w:trHeight w:val="280"/>
        </w:trPr>
        <w:tc>
          <w:tcPr>
            <w:tcW w:w="7650" w:type="dxa"/>
            <w:noWrap/>
            <w:hideMark/>
          </w:tcPr>
          <w:p w14:paraId="58BE718F" w14:textId="77777777" w:rsidR="00B548E1" w:rsidRPr="003169AF" w:rsidRDefault="00B548E1" w:rsidP="00057600">
            <w:pPr>
              <w:spacing w:after="0" w:line="240" w:lineRule="auto"/>
              <w:rPr>
                <w:rFonts w:ascii="Arial" w:eastAsia="Times New Roman" w:hAnsi="Arial" w:cs="Arial"/>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3a. Main focus – stunting</w:t>
            </w:r>
          </w:p>
        </w:tc>
      </w:tr>
      <w:tr w:rsidR="00B548E1" w14:paraId="4E5DC86B" w14:textId="77777777" w:rsidTr="00057600">
        <w:trPr>
          <w:trHeight w:val="280"/>
        </w:trPr>
        <w:tc>
          <w:tcPr>
            <w:tcW w:w="7650" w:type="dxa"/>
            <w:noWrap/>
            <w:hideMark/>
          </w:tcPr>
          <w:p w14:paraId="24DD06E2" w14:textId="77777777" w:rsidR="00B548E1" w:rsidRPr="003169AF" w:rsidRDefault="00B548E1" w:rsidP="00057600">
            <w:pPr>
              <w:spacing w:after="0" w:line="240" w:lineRule="auto"/>
              <w:rPr>
                <w:rFonts w:ascii="Arial" w:eastAsia="Times New Roman" w:hAnsi="Arial" w:cs="Arial"/>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3b. Main focus – wasting</w:t>
            </w:r>
          </w:p>
        </w:tc>
      </w:tr>
      <w:tr w:rsidR="00B548E1" w14:paraId="3BC10B2D" w14:textId="77777777" w:rsidTr="00057600">
        <w:trPr>
          <w:trHeight w:val="280"/>
        </w:trPr>
        <w:tc>
          <w:tcPr>
            <w:tcW w:w="7650" w:type="dxa"/>
            <w:noWrap/>
            <w:hideMark/>
          </w:tcPr>
          <w:p w14:paraId="7EDE932C" w14:textId="77777777" w:rsidR="00B548E1" w:rsidRPr="003169AF" w:rsidRDefault="00B548E1" w:rsidP="00057600">
            <w:pPr>
              <w:spacing w:after="0" w:line="240" w:lineRule="auto"/>
              <w:rPr>
                <w:rFonts w:ascii="Arial" w:eastAsia="Times New Roman" w:hAnsi="Arial" w:cs="Arial"/>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3c. Main focus - overweight/obesity</w:t>
            </w:r>
          </w:p>
        </w:tc>
      </w:tr>
      <w:tr w:rsidR="00B548E1" w14:paraId="7D9867EF" w14:textId="77777777" w:rsidTr="00057600">
        <w:trPr>
          <w:trHeight w:val="280"/>
        </w:trPr>
        <w:tc>
          <w:tcPr>
            <w:tcW w:w="7650" w:type="dxa"/>
            <w:noWrap/>
            <w:hideMark/>
          </w:tcPr>
          <w:p w14:paraId="77D6917D" w14:textId="77777777" w:rsidR="00B548E1" w:rsidRPr="003169AF" w:rsidRDefault="00B548E1" w:rsidP="00057600">
            <w:pPr>
              <w:spacing w:after="0" w:line="240" w:lineRule="auto"/>
              <w:rPr>
                <w:rFonts w:ascii="Arial" w:eastAsia="Times New Roman" w:hAnsi="Arial" w:cs="Arial"/>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3d. Main focus - nutrient deficiencies</w:t>
            </w:r>
          </w:p>
        </w:tc>
      </w:tr>
      <w:tr w:rsidR="00B548E1" w14:paraId="35699FF2" w14:textId="77777777" w:rsidTr="00057600">
        <w:trPr>
          <w:trHeight w:val="280"/>
        </w:trPr>
        <w:tc>
          <w:tcPr>
            <w:tcW w:w="7650" w:type="dxa"/>
            <w:noWrap/>
            <w:hideMark/>
          </w:tcPr>
          <w:p w14:paraId="5AD84205" w14:textId="77777777" w:rsidR="00B548E1" w:rsidRPr="003169AF" w:rsidRDefault="00B548E1" w:rsidP="00057600">
            <w:pPr>
              <w:spacing w:after="0" w:line="240" w:lineRule="auto"/>
              <w:rPr>
                <w:rFonts w:ascii="Arial" w:eastAsia="Times New Roman" w:hAnsi="Arial" w:cs="Arial"/>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3e. Main focus - Overall improved nutrition</w:t>
            </w:r>
          </w:p>
        </w:tc>
      </w:tr>
      <w:tr w:rsidR="00B548E1" w14:paraId="4F3059D9" w14:textId="77777777" w:rsidTr="00057600">
        <w:trPr>
          <w:trHeight w:val="280"/>
        </w:trPr>
        <w:tc>
          <w:tcPr>
            <w:tcW w:w="7650" w:type="dxa"/>
            <w:noWrap/>
            <w:hideMark/>
          </w:tcPr>
          <w:p w14:paraId="3029D07F"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4a1. BCW - Intervention function: Modeling</w:t>
            </w:r>
          </w:p>
        </w:tc>
      </w:tr>
      <w:tr w:rsidR="00B548E1" w14:paraId="7DF86B5E" w14:textId="77777777" w:rsidTr="00057600">
        <w:trPr>
          <w:trHeight w:val="280"/>
        </w:trPr>
        <w:tc>
          <w:tcPr>
            <w:tcW w:w="7650" w:type="dxa"/>
            <w:noWrap/>
            <w:hideMark/>
          </w:tcPr>
          <w:p w14:paraId="0CF3BF23"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4a2. BCW - Intervention function: Environmental restructuring</w:t>
            </w:r>
          </w:p>
        </w:tc>
      </w:tr>
      <w:tr w:rsidR="00B548E1" w14:paraId="1AAE0D23" w14:textId="77777777" w:rsidTr="00057600">
        <w:trPr>
          <w:trHeight w:val="280"/>
        </w:trPr>
        <w:tc>
          <w:tcPr>
            <w:tcW w:w="7650" w:type="dxa"/>
            <w:noWrap/>
            <w:hideMark/>
          </w:tcPr>
          <w:p w14:paraId="3E3BE431"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4a3. BCW - Intervention function: Restrictions</w:t>
            </w:r>
          </w:p>
        </w:tc>
      </w:tr>
      <w:tr w:rsidR="00B548E1" w14:paraId="3F7E6BB5" w14:textId="77777777" w:rsidTr="00057600">
        <w:trPr>
          <w:trHeight w:val="280"/>
        </w:trPr>
        <w:tc>
          <w:tcPr>
            <w:tcW w:w="7650" w:type="dxa"/>
            <w:noWrap/>
            <w:hideMark/>
          </w:tcPr>
          <w:p w14:paraId="223AA952"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4a4. BCW - Intervention function: Education</w:t>
            </w:r>
          </w:p>
        </w:tc>
      </w:tr>
      <w:tr w:rsidR="00B548E1" w14:paraId="6A00067C" w14:textId="77777777" w:rsidTr="00057600">
        <w:trPr>
          <w:trHeight w:val="280"/>
        </w:trPr>
        <w:tc>
          <w:tcPr>
            <w:tcW w:w="7650" w:type="dxa"/>
            <w:noWrap/>
            <w:hideMark/>
          </w:tcPr>
          <w:p w14:paraId="6FF6CC14"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4a5. BCW - Intervention function: Persuasion</w:t>
            </w:r>
          </w:p>
        </w:tc>
      </w:tr>
      <w:tr w:rsidR="00B548E1" w14:paraId="5DB8C493" w14:textId="77777777" w:rsidTr="00057600">
        <w:trPr>
          <w:trHeight w:val="280"/>
        </w:trPr>
        <w:tc>
          <w:tcPr>
            <w:tcW w:w="7650" w:type="dxa"/>
            <w:noWrap/>
            <w:hideMark/>
          </w:tcPr>
          <w:p w14:paraId="1E05C08E"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4a6. BCW - Intervention function: Incentivization</w:t>
            </w:r>
          </w:p>
        </w:tc>
      </w:tr>
      <w:tr w:rsidR="00B548E1" w14:paraId="63D8C48C" w14:textId="77777777" w:rsidTr="00057600">
        <w:trPr>
          <w:trHeight w:val="280"/>
        </w:trPr>
        <w:tc>
          <w:tcPr>
            <w:tcW w:w="7650" w:type="dxa"/>
            <w:noWrap/>
            <w:hideMark/>
          </w:tcPr>
          <w:p w14:paraId="145A3610"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4a7. BCW - Intervention function: Coercion</w:t>
            </w:r>
          </w:p>
        </w:tc>
      </w:tr>
      <w:tr w:rsidR="00B548E1" w14:paraId="2B334EA0" w14:textId="77777777" w:rsidTr="00057600">
        <w:trPr>
          <w:trHeight w:val="280"/>
        </w:trPr>
        <w:tc>
          <w:tcPr>
            <w:tcW w:w="7650" w:type="dxa"/>
            <w:noWrap/>
            <w:hideMark/>
          </w:tcPr>
          <w:p w14:paraId="0DF92CAB"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4a8. BCW - Intervention function: Training</w:t>
            </w:r>
          </w:p>
        </w:tc>
      </w:tr>
      <w:tr w:rsidR="00B548E1" w14:paraId="6975A06C" w14:textId="77777777" w:rsidTr="00057600">
        <w:trPr>
          <w:trHeight w:val="280"/>
        </w:trPr>
        <w:tc>
          <w:tcPr>
            <w:tcW w:w="7650" w:type="dxa"/>
            <w:noWrap/>
            <w:hideMark/>
          </w:tcPr>
          <w:p w14:paraId="6A5C13EF"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4a9. BCW - Intervention function: Enablement</w:t>
            </w:r>
          </w:p>
        </w:tc>
      </w:tr>
      <w:tr w:rsidR="00B548E1" w14:paraId="4BB3E9D0" w14:textId="77777777" w:rsidTr="00057600">
        <w:trPr>
          <w:trHeight w:val="280"/>
        </w:trPr>
        <w:tc>
          <w:tcPr>
            <w:tcW w:w="7650" w:type="dxa"/>
            <w:noWrap/>
            <w:hideMark/>
          </w:tcPr>
          <w:p w14:paraId="60983EF3"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4b1. BCW - Policy category: Guidelines</w:t>
            </w:r>
          </w:p>
        </w:tc>
      </w:tr>
      <w:tr w:rsidR="00B548E1" w14:paraId="1AF15C2E" w14:textId="77777777" w:rsidTr="00057600">
        <w:trPr>
          <w:trHeight w:val="280"/>
        </w:trPr>
        <w:tc>
          <w:tcPr>
            <w:tcW w:w="7650" w:type="dxa"/>
            <w:noWrap/>
            <w:hideMark/>
          </w:tcPr>
          <w:p w14:paraId="501D9BDD"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4b2. BCW - Policy category: Enviro/Social Planning</w:t>
            </w:r>
          </w:p>
        </w:tc>
      </w:tr>
      <w:tr w:rsidR="00B548E1" w14:paraId="5AF24046" w14:textId="77777777" w:rsidTr="00057600">
        <w:trPr>
          <w:trHeight w:val="280"/>
        </w:trPr>
        <w:tc>
          <w:tcPr>
            <w:tcW w:w="7650" w:type="dxa"/>
            <w:noWrap/>
            <w:hideMark/>
          </w:tcPr>
          <w:p w14:paraId="386A23F5"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4b3. BCW - Policy category: Comm/Marketing</w:t>
            </w:r>
          </w:p>
        </w:tc>
      </w:tr>
      <w:tr w:rsidR="00B548E1" w14:paraId="6D79A682" w14:textId="77777777" w:rsidTr="00057600">
        <w:trPr>
          <w:trHeight w:val="280"/>
        </w:trPr>
        <w:tc>
          <w:tcPr>
            <w:tcW w:w="7650" w:type="dxa"/>
            <w:noWrap/>
            <w:hideMark/>
          </w:tcPr>
          <w:p w14:paraId="1A98A835"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lastRenderedPageBreak/>
              <w:t>○ 4b4. BCW - Policy category: Legislation</w:t>
            </w:r>
          </w:p>
        </w:tc>
      </w:tr>
      <w:tr w:rsidR="00B548E1" w14:paraId="6493E5D9" w14:textId="77777777" w:rsidTr="00057600">
        <w:trPr>
          <w:trHeight w:val="280"/>
        </w:trPr>
        <w:tc>
          <w:tcPr>
            <w:tcW w:w="7650" w:type="dxa"/>
            <w:noWrap/>
            <w:hideMark/>
          </w:tcPr>
          <w:p w14:paraId="6EF5BE56"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4b5. BCW - Policy category: Service provision</w:t>
            </w:r>
          </w:p>
        </w:tc>
      </w:tr>
      <w:tr w:rsidR="00B548E1" w14:paraId="3A2D0680" w14:textId="77777777" w:rsidTr="00057600">
        <w:trPr>
          <w:trHeight w:val="280"/>
        </w:trPr>
        <w:tc>
          <w:tcPr>
            <w:tcW w:w="7650" w:type="dxa"/>
            <w:noWrap/>
            <w:hideMark/>
          </w:tcPr>
          <w:p w14:paraId="18E5925F"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4b6. BCW - Policy category: Regulation</w:t>
            </w:r>
          </w:p>
        </w:tc>
      </w:tr>
      <w:tr w:rsidR="00B548E1" w14:paraId="1C66B143" w14:textId="77777777" w:rsidTr="00057600">
        <w:trPr>
          <w:trHeight w:val="280"/>
        </w:trPr>
        <w:tc>
          <w:tcPr>
            <w:tcW w:w="7650" w:type="dxa"/>
            <w:noWrap/>
            <w:hideMark/>
          </w:tcPr>
          <w:p w14:paraId="6C5F3AFB"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4b7. BCW - Policy category: Fiscal measures</w:t>
            </w:r>
          </w:p>
        </w:tc>
      </w:tr>
      <w:tr w:rsidR="00B548E1" w14:paraId="00ADAFE0" w14:textId="77777777" w:rsidTr="00057600">
        <w:trPr>
          <w:trHeight w:val="280"/>
        </w:trPr>
        <w:tc>
          <w:tcPr>
            <w:tcW w:w="7650" w:type="dxa"/>
            <w:noWrap/>
            <w:hideMark/>
          </w:tcPr>
          <w:p w14:paraId="2AAB1768"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4c1. BCW - COM-B: Capability</w:t>
            </w:r>
          </w:p>
        </w:tc>
      </w:tr>
      <w:tr w:rsidR="00B548E1" w14:paraId="2C4F5BC0" w14:textId="77777777" w:rsidTr="00057600">
        <w:trPr>
          <w:trHeight w:val="280"/>
        </w:trPr>
        <w:tc>
          <w:tcPr>
            <w:tcW w:w="7650" w:type="dxa"/>
            <w:noWrap/>
            <w:hideMark/>
          </w:tcPr>
          <w:p w14:paraId="2240D59B"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4c2. BCW - COM-B: Opportunity</w:t>
            </w:r>
          </w:p>
        </w:tc>
      </w:tr>
      <w:tr w:rsidR="00B548E1" w14:paraId="698998EC" w14:textId="77777777" w:rsidTr="00057600">
        <w:trPr>
          <w:trHeight w:val="280"/>
        </w:trPr>
        <w:tc>
          <w:tcPr>
            <w:tcW w:w="7650" w:type="dxa"/>
            <w:noWrap/>
            <w:hideMark/>
          </w:tcPr>
          <w:p w14:paraId="7B7F9BD1"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4c3. BCW - COM-B: Motivation</w:t>
            </w:r>
          </w:p>
        </w:tc>
      </w:tr>
      <w:tr w:rsidR="00B548E1" w14:paraId="005B91B2" w14:textId="77777777" w:rsidTr="00057600">
        <w:trPr>
          <w:trHeight w:val="280"/>
        </w:trPr>
        <w:tc>
          <w:tcPr>
            <w:tcW w:w="7650" w:type="dxa"/>
            <w:noWrap/>
            <w:hideMark/>
          </w:tcPr>
          <w:p w14:paraId="5EBC7EDB"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4c4. BCW - COM-B: Behavior</w:t>
            </w:r>
          </w:p>
        </w:tc>
      </w:tr>
      <w:tr w:rsidR="00B548E1" w14:paraId="61FF2AD6" w14:textId="77777777" w:rsidTr="00057600">
        <w:trPr>
          <w:trHeight w:val="280"/>
        </w:trPr>
        <w:tc>
          <w:tcPr>
            <w:tcW w:w="7650" w:type="dxa"/>
            <w:noWrap/>
            <w:hideMark/>
          </w:tcPr>
          <w:p w14:paraId="53F10FFC"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4d1 Other theories</w:t>
            </w:r>
          </w:p>
        </w:tc>
      </w:tr>
      <w:tr w:rsidR="00B548E1" w14:paraId="504E6C2D" w14:textId="77777777" w:rsidTr="00057600">
        <w:trPr>
          <w:trHeight w:val="280"/>
        </w:trPr>
        <w:tc>
          <w:tcPr>
            <w:tcW w:w="7650" w:type="dxa"/>
            <w:noWrap/>
            <w:hideMark/>
          </w:tcPr>
          <w:p w14:paraId="151B3860"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5a1. BCW - Theoretical justification/alignment</w:t>
            </w:r>
          </w:p>
        </w:tc>
      </w:tr>
      <w:tr w:rsidR="00B548E1" w14:paraId="640DA4B5" w14:textId="77777777" w:rsidTr="00057600">
        <w:trPr>
          <w:trHeight w:val="280"/>
        </w:trPr>
        <w:tc>
          <w:tcPr>
            <w:tcW w:w="7650" w:type="dxa"/>
            <w:noWrap/>
            <w:hideMark/>
          </w:tcPr>
          <w:p w14:paraId="6B98E81E"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5a2. Other theoretical justification/alignment</w:t>
            </w:r>
          </w:p>
        </w:tc>
      </w:tr>
      <w:tr w:rsidR="00B548E1" w14:paraId="66CA3679" w14:textId="77777777" w:rsidTr="00057600">
        <w:trPr>
          <w:trHeight w:val="280"/>
        </w:trPr>
        <w:tc>
          <w:tcPr>
            <w:tcW w:w="7650" w:type="dxa"/>
            <w:noWrap/>
            <w:hideMark/>
          </w:tcPr>
          <w:p w14:paraId="7A749D79" w14:textId="77777777" w:rsidR="00B548E1" w:rsidRPr="003169AF" w:rsidRDefault="00B548E1" w:rsidP="00057600">
            <w:pPr>
              <w:spacing w:after="0" w:line="240" w:lineRule="auto"/>
              <w:rPr>
                <w:rFonts w:ascii="Arial" w:eastAsia="Times New Roman" w:hAnsi="Arial" w:cs="Arial"/>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6a. Timing of BCW – design</w:t>
            </w:r>
          </w:p>
        </w:tc>
      </w:tr>
      <w:tr w:rsidR="00B548E1" w14:paraId="5892EA4C" w14:textId="77777777" w:rsidTr="00057600">
        <w:trPr>
          <w:trHeight w:val="280"/>
        </w:trPr>
        <w:tc>
          <w:tcPr>
            <w:tcW w:w="7650" w:type="dxa"/>
            <w:noWrap/>
            <w:hideMark/>
          </w:tcPr>
          <w:p w14:paraId="7698A22F"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6b. Timing of BCW – implementation</w:t>
            </w:r>
          </w:p>
        </w:tc>
      </w:tr>
      <w:tr w:rsidR="00B548E1" w14:paraId="23DC730A" w14:textId="77777777" w:rsidTr="00057600">
        <w:trPr>
          <w:trHeight w:val="280"/>
        </w:trPr>
        <w:tc>
          <w:tcPr>
            <w:tcW w:w="7650" w:type="dxa"/>
            <w:noWrap/>
            <w:hideMark/>
          </w:tcPr>
          <w:p w14:paraId="17333DF4" w14:textId="77777777" w:rsidR="00B548E1" w:rsidRPr="003169AF" w:rsidRDefault="00B548E1" w:rsidP="00057600">
            <w:pPr>
              <w:spacing w:after="0" w:line="240" w:lineRule="auto"/>
              <w:rPr>
                <w:rFonts w:ascii="Arial" w:eastAsia="Times New Roman" w:hAnsi="Arial" w:cs="Arial"/>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6c. Timing of BCW – evaluation</w:t>
            </w:r>
          </w:p>
        </w:tc>
      </w:tr>
      <w:tr w:rsidR="00B548E1" w14:paraId="41920CCB" w14:textId="77777777" w:rsidTr="00057600">
        <w:trPr>
          <w:trHeight w:val="280"/>
        </w:trPr>
        <w:tc>
          <w:tcPr>
            <w:tcW w:w="7650" w:type="dxa"/>
            <w:noWrap/>
            <w:hideMark/>
          </w:tcPr>
          <w:p w14:paraId="5B35FF5A"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7a. Theoretical Insights on BCW – Gaps</w:t>
            </w:r>
          </w:p>
        </w:tc>
      </w:tr>
      <w:tr w:rsidR="00B548E1" w14:paraId="2592EC58" w14:textId="77777777" w:rsidTr="00057600">
        <w:trPr>
          <w:trHeight w:val="280"/>
        </w:trPr>
        <w:tc>
          <w:tcPr>
            <w:tcW w:w="7650" w:type="dxa"/>
            <w:noWrap/>
            <w:hideMark/>
          </w:tcPr>
          <w:p w14:paraId="1B018D35"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7b. Theoretical Insights on BCW – Strengths</w:t>
            </w:r>
          </w:p>
        </w:tc>
      </w:tr>
      <w:tr w:rsidR="00B548E1" w14:paraId="58FF5C60" w14:textId="77777777" w:rsidTr="00057600">
        <w:trPr>
          <w:trHeight w:val="280"/>
        </w:trPr>
        <w:tc>
          <w:tcPr>
            <w:tcW w:w="7650" w:type="dxa"/>
            <w:noWrap/>
            <w:hideMark/>
          </w:tcPr>
          <w:p w14:paraId="1081A764"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7c. Other theoretical strengths</w:t>
            </w:r>
          </w:p>
        </w:tc>
      </w:tr>
      <w:tr w:rsidR="00B548E1" w14:paraId="0DD59E53" w14:textId="77777777" w:rsidTr="00057600">
        <w:trPr>
          <w:trHeight w:val="280"/>
        </w:trPr>
        <w:tc>
          <w:tcPr>
            <w:tcW w:w="7650" w:type="dxa"/>
            <w:noWrap/>
            <w:hideMark/>
          </w:tcPr>
          <w:p w14:paraId="5787BFCA" w14:textId="77777777" w:rsidR="00B548E1" w:rsidRPr="003169AF" w:rsidRDefault="00B548E1" w:rsidP="00057600">
            <w:pPr>
              <w:spacing w:after="0" w:line="240" w:lineRule="auto"/>
              <w:rPr>
                <w:rFonts w:ascii="Arial" w:eastAsia="Times New Roman" w:hAnsi="Arial" w:cs="Arial"/>
                <w:color w:val="000000"/>
                <w:kern w:val="0"/>
                <w:sz w:val="20"/>
                <w:szCs w:val="20"/>
                <w:lang w:eastAsia="en-GB"/>
                <w14:ligatures w14:val="none"/>
              </w:rPr>
            </w:pPr>
            <w:r w:rsidRPr="003169AF">
              <w:rPr>
                <w:rFonts w:ascii="Arial" w:eastAsia="Times New Roman" w:hAnsi="Arial" w:cs="Arial"/>
                <w:color w:val="000000"/>
                <w:kern w:val="0"/>
                <w:sz w:val="20"/>
                <w:szCs w:val="20"/>
                <w:lang w:eastAsia="en-GB"/>
                <w14:ligatures w14:val="none"/>
              </w:rPr>
              <w:t>○ 7d. Other theoretical gaps</w:t>
            </w:r>
          </w:p>
        </w:tc>
      </w:tr>
    </w:tbl>
    <w:p w14:paraId="572785E1" w14:textId="77777777" w:rsidR="00B548E1" w:rsidRPr="003169AF" w:rsidRDefault="00B548E1" w:rsidP="00B548E1">
      <w:pPr>
        <w:spacing w:line="240" w:lineRule="auto"/>
        <w:rPr>
          <w:rFonts w:ascii="Arial" w:hAnsi="Arial" w:cs="Arial"/>
          <w:sz w:val="24"/>
          <w:szCs w:val="24"/>
        </w:rPr>
      </w:pPr>
    </w:p>
    <w:p w14:paraId="2247FDA1" w14:textId="77777777" w:rsidR="00B548E1" w:rsidRPr="003169AF" w:rsidRDefault="00B548E1" w:rsidP="00B548E1">
      <w:pPr>
        <w:pStyle w:val="Heading2"/>
        <w:spacing w:line="240" w:lineRule="auto"/>
        <w:rPr>
          <w:rFonts w:ascii="Arial" w:hAnsi="Arial" w:cs="Arial"/>
          <w:b/>
          <w:bCs/>
          <w:color w:val="0D0D0D"/>
          <w:sz w:val="24"/>
          <w:szCs w:val="24"/>
          <w:shd w:val="clear" w:color="auto" w:fill="FFFFFF"/>
        </w:rPr>
      </w:pPr>
      <w:bookmarkStart w:id="4" w:name="_Toc185280923"/>
      <w:r w:rsidRPr="003169AF">
        <w:rPr>
          <w:rFonts w:ascii="Arial" w:hAnsi="Arial" w:cs="Arial"/>
          <w:b/>
          <w:bCs/>
          <w:color w:val="0D0D0D"/>
          <w:sz w:val="24"/>
          <w:szCs w:val="24"/>
          <w:shd w:val="clear" w:color="auto" w:fill="FFFFFF"/>
        </w:rPr>
        <w:t>Annex 4. Number of articles retrieved per database</w:t>
      </w:r>
      <w:bookmarkEnd w:id="4"/>
    </w:p>
    <w:tbl>
      <w:tblPr>
        <w:tblStyle w:val="TableGrid"/>
        <w:tblW w:w="0" w:type="auto"/>
        <w:tblLook w:val="04A0" w:firstRow="1" w:lastRow="0" w:firstColumn="1" w:lastColumn="0" w:noHBand="0" w:noVBand="1"/>
      </w:tblPr>
      <w:tblGrid>
        <w:gridCol w:w="3893"/>
        <w:gridCol w:w="3473"/>
      </w:tblGrid>
      <w:tr w:rsidR="00B548E1" w14:paraId="013161B2" w14:textId="77777777" w:rsidTr="00057600">
        <w:tc>
          <w:tcPr>
            <w:tcW w:w="3893" w:type="dxa"/>
          </w:tcPr>
          <w:p w14:paraId="3ED9CAC0" w14:textId="77777777" w:rsidR="00B548E1" w:rsidRPr="003169AF" w:rsidRDefault="00B548E1" w:rsidP="00057600">
            <w:pPr>
              <w:jc w:val="both"/>
              <w:rPr>
                <w:rFonts w:ascii="Arial" w:hAnsi="Arial" w:cs="Arial"/>
                <w:sz w:val="20"/>
                <w:szCs w:val="20"/>
              </w:rPr>
            </w:pPr>
            <w:r w:rsidRPr="003169AF">
              <w:rPr>
                <w:rFonts w:ascii="Arial" w:hAnsi="Arial" w:cs="Arial"/>
                <w:sz w:val="20"/>
                <w:szCs w:val="20"/>
              </w:rPr>
              <w:t>Search database</w:t>
            </w:r>
          </w:p>
        </w:tc>
        <w:tc>
          <w:tcPr>
            <w:tcW w:w="3473" w:type="dxa"/>
          </w:tcPr>
          <w:p w14:paraId="4444099B" w14:textId="77777777" w:rsidR="00B548E1" w:rsidRPr="003169AF" w:rsidRDefault="00B548E1" w:rsidP="00057600">
            <w:pPr>
              <w:rPr>
                <w:rFonts w:ascii="Arial" w:hAnsi="Arial" w:cs="Arial"/>
                <w:sz w:val="20"/>
                <w:szCs w:val="20"/>
              </w:rPr>
            </w:pPr>
            <w:r w:rsidRPr="003169AF">
              <w:rPr>
                <w:rFonts w:ascii="Arial" w:hAnsi="Arial" w:cs="Arial"/>
                <w:sz w:val="20"/>
                <w:szCs w:val="20"/>
              </w:rPr>
              <w:t>Raw number of articles retrieved</w:t>
            </w:r>
          </w:p>
        </w:tc>
      </w:tr>
      <w:tr w:rsidR="00B548E1" w14:paraId="24176BEC" w14:textId="77777777" w:rsidTr="00057600">
        <w:tc>
          <w:tcPr>
            <w:tcW w:w="3893" w:type="dxa"/>
          </w:tcPr>
          <w:p w14:paraId="5E7D89BB" w14:textId="77777777" w:rsidR="00B548E1" w:rsidRPr="003169AF" w:rsidRDefault="00B548E1" w:rsidP="00057600">
            <w:pPr>
              <w:jc w:val="both"/>
              <w:rPr>
                <w:rFonts w:ascii="Arial" w:hAnsi="Arial" w:cs="Arial"/>
                <w:sz w:val="20"/>
                <w:szCs w:val="20"/>
              </w:rPr>
            </w:pPr>
            <w:r w:rsidRPr="003169AF">
              <w:rPr>
                <w:rFonts w:ascii="Arial" w:eastAsia="Times New Roman" w:hAnsi="Arial" w:cs="Arial"/>
                <w:kern w:val="0"/>
                <w:sz w:val="20"/>
                <w:szCs w:val="20"/>
                <w:lang w:eastAsia="en-ZA"/>
                <w14:ligatures w14:val="none"/>
              </w:rPr>
              <w:t>PubMed</w:t>
            </w:r>
          </w:p>
        </w:tc>
        <w:tc>
          <w:tcPr>
            <w:tcW w:w="3473" w:type="dxa"/>
          </w:tcPr>
          <w:p w14:paraId="1119C140" w14:textId="77777777" w:rsidR="00B548E1" w:rsidRPr="003169AF" w:rsidRDefault="00B548E1" w:rsidP="00057600">
            <w:pPr>
              <w:jc w:val="both"/>
              <w:rPr>
                <w:rFonts w:ascii="Arial" w:hAnsi="Arial" w:cs="Arial"/>
                <w:sz w:val="20"/>
                <w:szCs w:val="20"/>
              </w:rPr>
            </w:pPr>
            <w:r w:rsidRPr="003169AF">
              <w:rPr>
                <w:rFonts w:ascii="Arial" w:hAnsi="Arial" w:cs="Arial"/>
                <w:sz w:val="20"/>
                <w:szCs w:val="20"/>
              </w:rPr>
              <w:t>1301</w:t>
            </w:r>
          </w:p>
        </w:tc>
      </w:tr>
      <w:tr w:rsidR="00B548E1" w14:paraId="42AB1D97" w14:textId="77777777" w:rsidTr="00057600">
        <w:tc>
          <w:tcPr>
            <w:tcW w:w="3893" w:type="dxa"/>
          </w:tcPr>
          <w:p w14:paraId="31941500" w14:textId="77777777" w:rsidR="00B548E1" w:rsidRPr="003169AF" w:rsidRDefault="00B548E1" w:rsidP="00057600">
            <w:pPr>
              <w:jc w:val="both"/>
              <w:rPr>
                <w:rFonts w:ascii="Arial" w:hAnsi="Arial" w:cs="Arial"/>
                <w:sz w:val="20"/>
                <w:szCs w:val="20"/>
              </w:rPr>
            </w:pPr>
            <w:r w:rsidRPr="003169AF">
              <w:rPr>
                <w:rFonts w:ascii="Arial" w:hAnsi="Arial" w:cs="Arial"/>
                <w:sz w:val="20"/>
                <w:szCs w:val="20"/>
              </w:rPr>
              <w:t>Academic Search Complete</w:t>
            </w:r>
          </w:p>
        </w:tc>
        <w:tc>
          <w:tcPr>
            <w:tcW w:w="3473" w:type="dxa"/>
          </w:tcPr>
          <w:p w14:paraId="18F679CB" w14:textId="77777777" w:rsidR="00B548E1" w:rsidRPr="003169AF" w:rsidRDefault="00B548E1" w:rsidP="00057600">
            <w:pPr>
              <w:jc w:val="both"/>
              <w:rPr>
                <w:rFonts w:ascii="Arial" w:hAnsi="Arial" w:cs="Arial"/>
                <w:sz w:val="20"/>
                <w:szCs w:val="20"/>
              </w:rPr>
            </w:pPr>
            <w:r w:rsidRPr="003169AF">
              <w:rPr>
                <w:rFonts w:ascii="Arial" w:hAnsi="Arial" w:cs="Arial"/>
                <w:sz w:val="20"/>
                <w:szCs w:val="20"/>
              </w:rPr>
              <w:t>428</w:t>
            </w:r>
          </w:p>
        </w:tc>
      </w:tr>
      <w:tr w:rsidR="00B548E1" w14:paraId="3E8F520F" w14:textId="77777777" w:rsidTr="00057600">
        <w:tc>
          <w:tcPr>
            <w:tcW w:w="3893" w:type="dxa"/>
          </w:tcPr>
          <w:p w14:paraId="399AF037" w14:textId="77777777" w:rsidR="00B548E1" w:rsidRPr="003169AF" w:rsidRDefault="00B548E1" w:rsidP="00057600">
            <w:pPr>
              <w:jc w:val="both"/>
              <w:rPr>
                <w:rFonts w:ascii="Arial" w:hAnsi="Arial" w:cs="Arial"/>
                <w:sz w:val="20"/>
                <w:szCs w:val="20"/>
              </w:rPr>
            </w:pPr>
            <w:r w:rsidRPr="003169AF">
              <w:rPr>
                <w:rFonts w:ascii="Arial" w:eastAsia="Times New Roman" w:hAnsi="Arial" w:cs="Arial"/>
                <w:kern w:val="0"/>
                <w:sz w:val="20"/>
                <w:szCs w:val="20"/>
                <w:lang w:eastAsia="en-ZA"/>
                <w14:ligatures w14:val="none"/>
              </w:rPr>
              <w:t>CINAHL Plus</w:t>
            </w:r>
          </w:p>
        </w:tc>
        <w:tc>
          <w:tcPr>
            <w:tcW w:w="3473" w:type="dxa"/>
          </w:tcPr>
          <w:p w14:paraId="07FE36F7" w14:textId="77777777" w:rsidR="00B548E1" w:rsidRPr="003169AF" w:rsidRDefault="00B548E1" w:rsidP="00057600">
            <w:pPr>
              <w:jc w:val="both"/>
              <w:rPr>
                <w:rFonts w:ascii="Arial" w:hAnsi="Arial" w:cs="Arial"/>
                <w:sz w:val="20"/>
                <w:szCs w:val="20"/>
              </w:rPr>
            </w:pPr>
            <w:r w:rsidRPr="003169AF">
              <w:rPr>
                <w:rFonts w:ascii="Arial" w:hAnsi="Arial" w:cs="Arial"/>
                <w:sz w:val="20"/>
                <w:szCs w:val="20"/>
              </w:rPr>
              <w:t>354</w:t>
            </w:r>
          </w:p>
        </w:tc>
      </w:tr>
      <w:tr w:rsidR="00B548E1" w14:paraId="35B5251F" w14:textId="77777777" w:rsidTr="00057600">
        <w:tc>
          <w:tcPr>
            <w:tcW w:w="3893" w:type="dxa"/>
          </w:tcPr>
          <w:p w14:paraId="1B4BE95C" w14:textId="77777777" w:rsidR="00B548E1" w:rsidRPr="003169AF" w:rsidRDefault="00B548E1" w:rsidP="00057600">
            <w:pPr>
              <w:jc w:val="both"/>
              <w:rPr>
                <w:rFonts w:ascii="Arial" w:eastAsia="Times New Roman" w:hAnsi="Arial" w:cs="Arial"/>
                <w:kern w:val="0"/>
                <w:sz w:val="20"/>
                <w:szCs w:val="20"/>
                <w:lang w:eastAsia="en-ZA"/>
                <w14:ligatures w14:val="none"/>
              </w:rPr>
            </w:pPr>
            <w:r w:rsidRPr="003169AF">
              <w:rPr>
                <w:rFonts w:ascii="Arial" w:eastAsia="Times New Roman" w:hAnsi="Arial" w:cs="Arial"/>
                <w:kern w:val="0"/>
                <w:sz w:val="20"/>
                <w:szCs w:val="20"/>
                <w:lang w:eastAsia="en-ZA"/>
                <w14:ligatures w14:val="none"/>
              </w:rPr>
              <w:t>Medline</w:t>
            </w:r>
          </w:p>
        </w:tc>
        <w:tc>
          <w:tcPr>
            <w:tcW w:w="3473" w:type="dxa"/>
          </w:tcPr>
          <w:p w14:paraId="4A443514" w14:textId="77777777" w:rsidR="00B548E1" w:rsidRPr="003169AF" w:rsidRDefault="00B548E1" w:rsidP="00057600">
            <w:pPr>
              <w:jc w:val="both"/>
              <w:rPr>
                <w:rFonts w:ascii="Arial" w:hAnsi="Arial" w:cs="Arial"/>
                <w:sz w:val="20"/>
                <w:szCs w:val="20"/>
              </w:rPr>
            </w:pPr>
            <w:r w:rsidRPr="003169AF">
              <w:rPr>
                <w:rFonts w:ascii="Arial" w:hAnsi="Arial" w:cs="Arial"/>
                <w:sz w:val="20"/>
                <w:szCs w:val="20"/>
              </w:rPr>
              <w:t>259</w:t>
            </w:r>
          </w:p>
        </w:tc>
      </w:tr>
      <w:tr w:rsidR="00B548E1" w14:paraId="0C2EE3F0" w14:textId="77777777" w:rsidTr="00057600">
        <w:tc>
          <w:tcPr>
            <w:tcW w:w="3893" w:type="dxa"/>
          </w:tcPr>
          <w:p w14:paraId="015DDC79" w14:textId="77777777" w:rsidR="00B548E1" w:rsidRPr="003169AF" w:rsidRDefault="00B548E1" w:rsidP="00057600">
            <w:pPr>
              <w:jc w:val="both"/>
              <w:rPr>
                <w:rFonts w:ascii="Arial" w:eastAsia="Times New Roman" w:hAnsi="Arial" w:cs="Arial"/>
                <w:kern w:val="0"/>
                <w:sz w:val="20"/>
                <w:szCs w:val="20"/>
                <w:lang w:eastAsia="en-ZA"/>
                <w14:ligatures w14:val="none"/>
              </w:rPr>
            </w:pPr>
            <w:r w:rsidRPr="003169AF">
              <w:rPr>
                <w:rFonts w:ascii="Arial" w:eastAsia="Times New Roman" w:hAnsi="Arial" w:cs="Arial"/>
                <w:kern w:val="0"/>
                <w:sz w:val="20"/>
                <w:szCs w:val="20"/>
                <w:lang w:eastAsia="en-ZA"/>
                <w14:ligatures w14:val="none"/>
              </w:rPr>
              <w:t>APA PsycInfo</w:t>
            </w:r>
          </w:p>
        </w:tc>
        <w:tc>
          <w:tcPr>
            <w:tcW w:w="3473" w:type="dxa"/>
          </w:tcPr>
          <w:p w14:paraId="08DFC901" w14:textId="77777777" w:rsidR="00B548E1" w:rsidRPr="003169AF" w:rsidRDefault="00B548E1" w:rsidP="00057600">
            <w:pPr>
              <w:jc w:val="both"/>
              <w:rPr>
                <w:rFonts w:ascii="Arial" w:hAnsi="Arial" w:cs="Arial"/>
                <w:sz w:val="20"/>
                <w:szCs w:val="20"/>
              </w:rPr>
            </w:pPr>
            <w:r w:rsidRPr="003169AF">
              <w:rPr>
                <w:rFonts w:ascii="Arial" w:hAnsi="Arial" w:cs="Arial"/>
                <w:sz w:val="20"/>
                <w:szCs w:val="20"/>
              </w:rPr>
              <w:t>111</w:t>
            </w:r>
          </w:p>
        </w:tc>
      </w:tr>
      <w:tr w:rsidR="00B548E1" w14:paraId="6FE259EA" w14:textId="77777777" w:rsidTr="00057600">
        <w:tc>
          <w:tcPr>
            <w:tcW w:w="3893" w:type="dxa"/>
          </w:tcPr>
          <w:p w14:paraId="7DEB327B" w14:textId="77777777" w:rsidR="00B548E1" w:rsidRPr="003169AF" w:rsidRDefault="00B548E1" w:rsidP="00057600">
            <w:pPr>
              <w:jc w:val="both"/>
              <w:rPr>
                <w:rFonts w:ascii="Arial" w:eastAsia="Times New Roman" w:hAnsi="Arial" w:cs="Arial"/>
                <w:kern w:val="0"/>
                <w:sz w:val="20"/>
                <w:szCs w:val="20"/>
                <w:lang w:eastAsia="en-ZA"/>
                <w14:ligatures w14:val="none"/>
              </w:rPr>
            </w:pPr>
            <w:r w:rsidRPr="003169AF">
              <w:rPr>
                <w:rFonts w:ascii="Arial" w:eastAsia="Times New Roman" w:hAnsi="Arial" w:cs="Arial"/>
                <w:kern w:val="0"/>
                <w:sz w:val="20"/>
                <w:szCs w:val="20"/>
                <w:lang w:eastAsia="en-ZA"/>
                <w14:ligatures w14:val="none"/>
              </w:rPr>
              <w:t>Child Development &amp; Adolescent Studies</w:t>
            </w:r>
          </w:p>
        </w:tc>
        <w:tc>
          <w:tcPr>
            <w:tcW w:w="3473" w:type="dxa"/>
          </w:tcPr>
          <w:p w14:paraId="42FC9B65" w14:textId="77777777" w:rsidR="00B548E1" w:rsidRPr="003169AF" w:rsidRDefault="00B548E1" w:rsidP="00057600">
            <w:pPr>
              <w:jc w:val="both"/>
              <w:rPr>
                <w:rFonts w:ascii="Arial" w:hAnsi="Arial" w:cs="Arial"/>
                <w:sz w:val="20"/>
                <w:szCs w:val="20"/>
              </w:rPr>
            </w:pPr>
            <w:r w:rsidRPr="003169AF">
              <w:rPr>
                <w:rFonts w:ascii="Arial" w:hAnsi="Arial" w:cs="Arial"/>
                <w:sz w:val="20"/>
                <w:szCs w:val="20"/>
              </w:rPr>
              <w:t>4</w:t>
            </w:r>
          </w:p>
        </w:tc>
      </w:tr>
      <w:tr w:rsidR="00B548E1" w14:paraId="6AF4DBED" w14:textId="77777777" w:rsidTr="00057600">
        <w:tc>
          <w:tcPr>
            <w:tcW w:w="3893" w:type="dxa"/>
          </w:tcPr>
          <w:p w14:paraId="59A0593F" w14:textId="77777777" w:rsidR="00B548E1" w:rsidRPr="003169AF" w:rsidRDefault="00B548E1" w:rsidP="00057600">
            <w:pPr>
              <w:jc w:val="both"/>
              <w:rPr>
                <w:rFonts w:ascii="Arial" w:eastAsia="Times New Roman" w:hAnsi="Arial" w:cs="Arial"/>
                <w:kern w:val="0"/>
                <w:sz w:val="20"/>
                <w:szCs w:val="20"/>
                <w:lang w:eastAsia="en-ZA"/>
                <w14:ligatures w14:val="none"/>
              </w:rPr>
            </w:pPr>
            <w:r w:rsidRPr="003169AF">
              <w:rPr>
                <w:rFonts w:ascii="Arial" w:eastAsia="Times New Roman" w:hAnsi="Arial" w:cs="Arial"/>
                <w:kern w:val="0"/>
                <w:sz w:val="20"/>
                <w:szCs w:val="20"/>
                <w:lang w:eastAsia="en-ZA"/>
                <w14:ligatures w14:val="none"/>
              </w:rPr>
              <w:t>APA PsycArticles</w:t>
            </w:r>
          </w:p>
        </w:tc>
        <w:tc>
          <w:tcPr>
            <w:tcW w:w="3473" w:type="dxa"/>
          </w:tcPr>
          <w:p w14:paraId="778CADCF" w14:textId="77777777" w:rsidR="00B548E1" w:rsidRPr="003169AF" w:rsidRDefault="00B548E1" w:rsidP="00057600">
            <w:pPr>
              <w:jc w:val="both"/>
              <w:rPr>
                <w:rFonts w:ascii="Arial" w:hAnsi="Arial" w:cs="Arial"/>
                <w:sz w:val="20"/>
                <w:szCs w:val="20"/>
              </w:rPr>
            </w:pPr>
            <w:r w:rsidRPr="003169AF">
              <w:rPr>
                <w:rFonts w:ascii="Arial" w:hAnsi="Arial" w:cs="Arial"/>
                <w:sz w:val="20"/>
                <w:szCs w:val="20"/>
              </w:rPr>
              <w:t>3</w:t>
            </w:r>
          </w:p>
        </w:tc>
      </w:tr>
    </w:tbl>
    <w:p w14:paraId="4EA60B82" w14:textId="77777777" w:rsidR="00B548E1" w:rsidRPr="003169AF" w:rsidRDefault="00B548E1" w:rsidP="00B548E1">
      <w:pPr>
        <w:spacing w:after="0" w:line="240" w:lineRule="auto"/>
        <w:jc w:val="both"/>
        <w:rPr>
          <w:rFonts w:ascii="Arial" w:hAnsi="Arial" w:cs="Arial"/>
          <w:sz w:val="24"/>
          <w:szCs w:val="24"/>
        </w:rPr>
      </w:pPr>
    </w:p>
    <w:p w14:paraId="5314502B" w14:textId="77777777" w:rsidR="00B548E1" w:rsidRPr="003169AF" w:rsidRDefault="00B548E1" w:rsidP="00B548E1">
      <w:pPr>
        <w:pStyle w:val="Heading2"/>
        <w:spacing w:line="240" w:lineRule="auto"/>
        <w:rPr>
          <w:rFonts w:ascii="Arial" w:hAnsi="Arial" w:cs="Arial"/>
          <w:b/>
          <w:bCs/>
          <w:color w:val="auto"/>
          <w:sz w:val="24"/>
          <w:szCs w:val="24"/>
        </w:rPr>
        <w:sectPr w:rsidR="00B548E1" w:rsidRPr="003169AF" w:rsidSect="00B548E1">
          <w:pgSz w:w="11906" w:h="16838"/>
          <w:pgMar w:top="1440" w:right="1440" w:bottom="1440" w:left="1440" w:header="708" w:footer="708" w:gutter="0"/>
          <w:lnNumType w:countBy="1" w:restart="continuous"/>
          <w:cols w:space="708"/>
          <w:docGrid w:linePitch="360"/>
        </w:sectPr>
      </w:pPr>
    </w:p>
    <w:p w14:paraId="4D546892" w14:textId="77777777" w:rsidR="00B548E1" w:rsidRPr="003169AF" w:rsidRDefault="00B548E1" w:rsidP="00B548E1">
      <w:pPr>
        <w:pStyle w:val="Heading2"/>
        <w:spacing w:line="240" w:lineRule="auto"/>
        <w:rPr>
          <w:rFonts w:ascii="Arial" w:hAnsi="Arial" w:cs="Arial"/>
          <w:b/>
          <w:bCs/>
          <w:color w:val="auto"/>
          <w:sz w:val="24"/>
          <w:szCs w:val="24"/>
        </w:rPr>
      </w:pPr>
      <w:bookmarkStart w:id="5" w:name="_Toc185280924"/>
      <w:r w:rsidRPr="003169AF">
        <w:rPr>
          <w:rFonts w:ascii="Arial" w:hAnsi="Arial" w:cs="Arial"/>
          <w:b/>
          <w:bCs/>
          <w:color w:val="auto"/>
          <w:sz w:val="24"/>
          <w:szCs w:val="24"/>
        </w:rPr>
        <w:lastRenderedPageBreak/>
        <w:t xml:space="preserve">Annex 5. Key characteristics of </w:t>
      </w:r>
      <w:r>
        <w:rPr>
          <w:rFonts w:ascii="Arial" w:eastAsia="Times New Roman" w:hAnsi="Arial" w:cs="Arial"/>
          <w:b/>
          <w:bCs/>
          <w:color w:val="auto"/>
          <w:sz w:val="24"/>
          <w:szCs w:val="24"/>
        </w:rPr>
        <w:t xml:space="preserve">the </w:t>
      </w:r>
      <w:bookmarkEnd w:id="5"/>
      <w:r w:rsidRPr="003169AF">
        <w:rPr>
          <w:rFonts w:ascii="Arial" w:hAnsi="Arial" w:cs="Arial"/>
          <w:b/>
          <w:bCs/>
          <w:color w:val="auto"/>
          <w:sz w:val="24"/>
          <w:szCs w:val="24"/>
        </w:rPr>
        <w:t>sources of evidence</w:t>
      </w:r>
    </w:p>
    <w:tbl>
      <w:tblPr>
        <w:tblW w:w="149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1194"/>
        <w:gridCol w:w="3036"/>
        <w:gridCol w:w="1530"/>
        <w:gridCol w:w="2206"/>
        <w:gridCol w:w="1394"/>
        <w:gridCol w:w="1980"/>
        <w:gridCol w:w="2070"/>
      </w:tblGrid>
      <w:tr w:rsidR="00B548E1" w14:paraId="6703932B" w14:textId="77777777" w:rsidTr="00057600">
        <w:trPr>
          <w:trHeight w:val="782"/>
          <w:tblHeader/>
        </w:trPr>
        <w:tc>
          <w:tcPr>
            <w:tcW w:w="1530" w:type="dxa"/>
            <w:shd w:val="clear" w:color="auto" w:fill="D9D9D9" w:themeFill="background1" w:themeFillShade="D9"/>
            <w:hideMark/>
          </w:tcPr>
          <w:p w14:paraId="3A3C98E8" w14:textId="77777777" w:rsidR="00B548E1" w:rsidRPr="003169AF" w:rsidRDefault="00B548E1" w:rsidP="00057600">
            <w:pPr>
              <w:spacing w:line="240" w:lineRule="auto"/>
              <w:rPr>
                <w:rFonts w:ascii="Arial" w:eastAsia="Times New Roman" w:hAnsi="Arial" w:cs="Arial"/>
                <w:b/>
                <w:bCs/>
                <w:i/>
                <w:iCs/>
                <w:color w:val="000000"/>
                <w:kern w:val="0"/>
                <w:sz w:val="16"/>
                <w:szCs w:val="16"/>
                <w:lang w:eastAsia="en-ZA"/>
                <w14:ligatures w14:val="none"/>
              </w:rPr>
            </w:pPr>
            <w:r w:rsidRPr="003169AF">
              <w:rPr>
                <w:rFonts w:ascii="Arial" w:eastAsia="Times New Roman" w:hAnsi="Arial" w:cs="Arial"/>
                <w:b/>
                <w:bCs/>
                <w:i/>
                <w:iCs/>
                <w:color w:val="000000"/>
                <w:kern w:val="0"/>
                <w:sz w:val="16"/>
                <w:szCs w:val="16"/>
                <w:lang w:eastAsia="en-ZA"/>
                <w14:ligatures w14:val="none"/>
              </w:rPr>
              <w:t>Author(s)</w:t>
            </w:r>
          </w:p>
        </w:tc>
        <w:tc>
          <w:tcPr>
            <w:tcW w:w="1194" w:type="dxa"/>
            <w:shd w:val="clear" w:color="auto" w:fill="D9D9D9" w:themeFill="background1" w:themeFillShade="D9"/>
            <w:hideMark/>
          </w:tcPr>
          <w:p w14:paraId="41C2DD63" w14:textId="77777777" w:rsidR="00B548E1" w:rsidRPr="003169AF" w:rsidRDefault="00B548E1" w:rsidP="00057600">
            <w:pPr>
              <w:spacing w:line="240" w:lineRule="auto"/>
              <w:rPr>
                <w:rFonts w:ascii="Arial" w:eastAsia="Times New Roman" w:hAnsi="Arial" w:cs="Arial"/>
                <w:b/>
                <w:bCs/>
                <w:i/>
                <w:iCs/>
                <w:color w:val="000000"/>
                <w:kern w:val="0"/>
                <w:sz w:val="16"/>
                <w:szCs w:val="16"/>
                <w:lang w:eastAsia="en-ZA"/>
                <w14:ligatures w14:val="none"/>
              </w:rPr>
            </w:pPr>
            <w:r w:rsidRPr="003169AF">
              <w:rPr>
                <w:rFonts w:ascii="Arial" w:eastAsia="Times New Roman" w:hAnsi="Arial" w:cs="Arial"/>
                <w:b/>
                <w:bCs/>
                <w:i/>
                <w:iCs/>
                <w:color w:val="000000"/>
                <w:kern w:val="0"/>
                <w:sz w:val="16"/>
                <w:szCs w:val="16"/>
                <w:lang w:eastAsia="en-ZA"/>
                <w14:ligatures w14:val="none"/>
              </w:rPr>
              <w:t>Publication year</w:t>
            </w:r>
          </w:p>
        </w:tc>
        <w:tc>
          <w:tcPr>
            <w:tcW w:w="3036" w:type="dxa"/>
            <w:shd w:val="clear" w:color="auto" w:fill="D9D9D9" w:themeFill="background1" w:themeFillShade="D9"/>
            <w:hideMark/>
          </w:tcPr>
          <w:p w14:paraId="6BB40863" w14:textId="77777777" w:rsidR="00B548E1" w:rsidRPr="003169AF" w:rsidRDefault="00B548E1" w:rsidP="00057600">
            <w:pPr>
              <w:spacing w:line="240" w:lineRule="auto"/>
              <w:rPr>
                <w:rFonts w:ascii="Arial" w:eastAsia="Times New Roman" w:hAnsi="Arial" w:cs="Arial"/>
                <w:b/>
                <w:bCs/>
                <w:i/>
                <w:iCs/>
                <w:color w:val="000000"/>
                <w:kern w:val="0"/>
                <w:sz w:val="16"/>
                <w:szCs w:val="16"/>
                <w:lang w:eastAsia="en-ZA"/>
                <w14:ligatures w14:val="none"/>
              </w:rPr>
            </w:pPr>
            <w:r w:rsidRPr="003169AF">
              <w:rPr>
                <w:rFonts w:ascii="Arial" w:eastAsia="Times New Roman" w:hAnsi="Arial" w:cs="Arial"/>
                <w:b/>
                <w:bCs/>
                <w:i/>
                <w:iCs/>
                <w:color w:val="000000"/>
                <w:kern w:val="0"/>
                <w:sz w:val="16"/>
                <w:szCs w:val="16"/>
                <w:lang w:eastAsia="en-ZA"/>
                <w14:ligatures w14:val="none"/>
              </w:rPr>
              <w:t>Publication title</w:t>
            </w:r>
          </w:p>
        </w:tc>
        <w:tc>
          <w:tcPr>
            <w:tcW w:w="1530" w:type="dxa"/>
            <w:shd w:val="clear" w:color="auto" w:fill="D9D9D9" w:themeFill="background1" w:themeFillShade="D9"/>
            <w:hideMark/>
          </w:tcPr>
          <w:p w14:paraId="74B2AD9B" w14:textId="77777777" w:rsidR="00B548E1" w:rsidRPr="003169AF" w:rsidRDefault="00B548E1" w:rsidP="00057600">
            <w:pPr>
              <w:spacing w:line="240" w:lineRule="auto"/>
              <w:rPr>
                <w:rFonts w:ascii="Arial" w:eastAsia="Times New Roman" w:hAnsi="Arial" w:cs="Arial"/>
                <w:b/>
                <w:bCs/>
                <w:i/>
                <w:iCs/>
                <w:color w:val="000000"/>
                <w:kern w:val="0"/>
                <w:sz w:val="16"/>
                <w:szCs w:val="16"/>
                <w:lang w:eastAsia="en-ZA"/>
                <w14:ligatures w14:val="none"/>
              </w:rPr>
            </w:pPr>
            <w:r w:rsidRPr="003169AF">
              <w:rPr>
                <w:rFonts w:ascii="Arial" w:eastAsia="Times New Roman" w:hAnsi="Arial" w:cs="Arial"/>
                <w:b/>
                <w:bCs/>
                <w:i/>
                <w:iCs/>
                <w:color w:val="000000"/>
                <w:kern w:val="0"/>
                <w:sz w:val="16"/>
                <w:szCs w:val="16"/>
                <w:lang w:eastAsia="en-ZA"/>
                <w14:ligatures w14:val="none"/>
              </w:rPr>
              <w:t>Country or region</w:t>
            </w:r>
          </w:p>
        </w:tc>
        <w:tc>
          <w:tcPr>
            <w:tcW w:w="2206" w:type="dxa"/>
            <w:shd w:val="clear" w:color="auto" w:fill="D9D9D9" w:themeFill="background1" w:themeFillShade="D9"/>
            <w:hideMark/>
          </w:tcPr>
          <w:p w14:paraId="05BB0607" w14:textId="77777777" w:rsidR="00B548E1" w:rsidRPr="003169AF" w:rsidRDefault="00B548E1" w:rsidP="00057600">
            <w:pPr>
              <w:spacing w:line="240" w:lineRule="auto"/>
              <w:rPr>
                <w:rFonts w:ascii="Arial" w:eastAsia="Times New Roman" w:hAnsi="Arial" w:cs="Arial"/>
                <w:b/>
                <w:bCs/>
                <w:i/>
                <w:iCs/>
                <w:color w:val="000000"/>
                <w:kern w:val="0"/>
                <w:sz w:val="16"/>
                <w:szCs w:val="16"/>
                <w:lang w:eastAsia="en-ZA"/>
                <w14:ligatures w14:val="none"/>
              </w:rPr>
            </w:pPr>
            <w:r w:rsidRPr="003169AF">
              <w:rPr>
                <w:rFonts w:ascii="Arial" w:eastAsia="Times New Roman" w:hAnsi="Arial" w:cs="Arial"/>
                <w:b/>
                <w:bCs/>
                <w:i/>
                <w:iCs/>
                <w:color w:val="000000"/>
                <w:kern w:val="0"/>
                <w:sz w:val="16"/>
                <w:szCs w:val="16"/>
                <w:lang w:eastAsia="en-ZA"/>
                <w14:ligatures w14:val="none"/>
              </w:rPr>
              <w:t>Sample and sample size</w:t>
            </w:r>
          </w:p>
        </w:tc>
        <w:tc>
          <w:tcPr>
            <w:tcW w:w="1394" w:type="dxa"/>
            <w:shd w:val="clear" w:color="auto" w:fill="D9D9D9" w:themeFill="background1" w:themeFillShade="D9"/>
            <w:hideMark/>
          </w:tcPr>
          <w:p w14:paraId="72E2F19D" w14:textId="77777777" w:rsidR="00B548E1" w:rsidRPr="003169AF" w:rsidRDefault="00B548E1" w:rsidP="00057600">
            <w:pPr>
              <w:spacing w:line="240" w:lineRule="auto"/>
              <w:rPr>
                <w:rFonts w:ascii="Arial" w:eastAsia="Times New Roman" w:hAnsi="Arial" w:cs="Arial"/>
                <w:b/>
                <w:bCs/>
                <w:i/>
                <w:iCs/>
                <w:color w:val="000000"/>
                <w:kern w:val="0"/>
                <w:sz w:val="16"/>
                <w:szCs w:val="16"/>
                <w:lang w:eastAsia="en-ZA"/>
                <w14:ligatures w14:val="none"/>
              </w:rPr>
            </w:pPr>
            <w:r w:rsidRPr="003169AF">
              <w:rPr>
                <w:rFonts w:ascii="Arial" w:eastAsia="Times New Roman" w:hAnsi="Arial" w:cs="Arial"/>
                <w:b/>
                <w:bCs/>
                <w:i/>
                <w:iCs/>
                <w:color w:val="000000"/>
                <w:kern w:val="0"/>
                <w:sz w:val="16"/>
                <w:szCs w:val="16"/>
                <w:lang w:eastAsia="en-ZA"/>
                <w14:ligatures w14:val="none"/>
              </w:rPr>
              <w:t>Age group</w:t>
            </w:r>
          </w:p>
        </w:tc>
        <w:tc>
          <w:tcPr>
            <w:tcW w:w="1980" w:type="dxa"/>
            <w:shd w:val="clear" w:color="auto" w:fill="D9D9D9" w:themeFill="background1" w:themeFillShade="D9"/>
            <w:hideMark/>
          </w:tcPr>
          <w:p w14:paraId="075C0149" w14:textId="77777777" w:rsidR="00B548E1" w:rsidRPr="003169AF" w:rsidRDefault="00B548E1" w:rsidP="00057600">
            <w:pPr>
              <w:spacing w:line="240" w:lineRule="auto"/>
              <w:rPr>
                <w:rFonts w:ascii="Arial" w:eastAsia="Times New Roman" w:hAnsi="Arial" w:cs="Arial"/>
                <w:b/>
                <w:bCs/>
                <w:i/>
                <w:iCs/>
                <w:color w:val="000000"/>
                <w:kern w:val="0"/>
                <w:sz w:val="16"/>
                <w:szCs w:val="16"/>
                <w:lang w:eastAsia="en-ZA"/>
                <w14:ligatures w14:val="none"/>
              </w:rPr>
            </w:pPr>
            <w:r w:rsidRPr="003169AF">
              <w:rPr>
                <w:rFonts w:ascii="Arial" w:eastAsia="Times New Roman" w:hAnsi="Arial" w:cs="Arial"/>
                <w:b/>
                <w:bCs/>
                <w:i/>
                <w:iCs/>
                <w:color w:val="000000"/>
                <w:kern w:val="0"/>
                <w:sz w:val="16"/>
                <w:szCs w:val="16"/>
                <w:lang w:eastAsia="en-ZA"/>
                <w14:ligatures w14:val="none"/>
              </w:rPr>
              <w:t>Research design</w:t>
            </w:r>
          </w:p>
        </w:tc>
        <w:tc>
          <w:tcPr>
            <w:tcW w:w="2070" w:type="dxa"/>
            <w:shd w:val="clear" w:color="auto" w:fill="D9D9D9" w:themeFill="background1" w:themeFillShade="D9"/>
            <w:hideMark/>
          </w:tcPr>
          <w:p w14:paraId="6FA9FAB3" w14:textId="77777777" w:rsidR="00B548E1" w:rsidRPr="003169AF" w:rsidRDefault="00B548E1" w:rsidP="00057600">
            <w:pPr>
              <w:spacing w:line="240" w:lineRule="auto"/>
              <w:rPr>
                <w:rFonts w:ascii="Arial" w:eastAsia="Times New Roman" w:hAnsi="Arial" w:cs="Arial"/>
                <w:b/>
                <w:bCs/>
                <w:i/>
                <w:iCs/>
                <w:color w:val="000000"/>
                <w:kern w:val="0"/>
                <w:sz w:val="16"/>
                <w:szCs w:val="16"/>
                <w:lang w:eastAsia="en-ZA"/>
                <w14:ligatures w14:val="none"/>
              </w:rPr>
            </w:pPr>
            <w:r w:rsidRPr="003169AF">
              <w:rPr>
                <w:rFonts w:ascii="Arial" w:eastAsia="Times New Roman" w:hAnsi="Arial" w:cs="Arial"/>
                <w:b/>
                <w:bCs/>
                <w:i/>
                <w:iCs/>
                <w:color w:val="000000"/>
                <w:kern w:val="0"/>
                <w:sz w:val="16"/>
                <w:szCs w:val="16"/>
                <w:lang w:eastAsia="en-ZA"/>
                <w14:ligatures w14:val="none"/>
              </w:rPr>
              <w:t>Intervention context: stable, emergency or humanitarian</w:t>
            </w:r>
          </w:p>
        </w:tc>
      </w:tr>
      <w:tr w:rsidR="00B548E1" w14:paraId="3B61DF82" w14:textId="77777777" w:rsidTr="00057600">
        <w:trPr>
          <w:trHeight w:val="1120"/>
        </w:trPr>
        <w:tc>
          <w:tcPr>
            <w:tcW w:w="1530" w:type="dxa"/>
            <w:hideMark/>
          </w:tcPr>
          <w:p w14:paraId="0F31D96D" w14:textId="77777777" w:rsidR="00B548E1" w:rsidRPr="003C70EE" w:rsidRDefault="00B548E1" w:rsidP="00057600">
            <w:pPr>
              <w:spacing w:line="240" w:lineRule="auto"/>
              <w:rPr>
                <w:rFonts w:ascii="Arial" w:eastAsia="Times New Roman" w:hAnsi="Arial" w:cs="Arial"/>
                <w:kern w:val="0"/>
                <w:sz w:val="16"/>
                <w:szCs w:val="16"/>
                <w:lang w:val="fr-FR" w:eastAsia="en-ZA"/>
                <w14:ligatures w14:val="none"/>
              </w:rPr>
            </w:pPr>
            <w:r w:rsidRPr="008514A5">
              <w:rPr>
                <w:rFonts w:ascii="Arial" w:eastAsia="Times New Roman" w:hAnsi="Arial" w:cs="Arial"/>
                <w:kern w:val="0"/>
                <w:sz w:val="16"/>
                <w:szCs w:val="16"/>
                <w:lang w:val="fr-FR" w:eastAsia="en-ZA"/>
                <w14:ligatures w14:val="none"/>
              </w:rPr>
              <w:t>Bestle, S.M.S. et al.</w:t>
            </w:r>
          </w:p>
        </w:tc>
        <w:tc>
          <w:tcPr>
            <w:tcW w:w="1194" w:type="dxa"/>
            <w:noWrap/>
            <w:hideMark/>
          </w:tcPr>
          <w:p w14:paraId="066EE74B"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2024</w:t>
            </w:r>
          </w:p>
        </w:tc>
        <w:tc>
          <w:tcPr>
            <w:tcW w:w="3036" w:type="dxa"/>
            <w:hideMark/>
          </w:tcPr>
          <w:p w14:paraId="67ABE0AA"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Reduction in intake of discretionary foods and drinks among Danish schoolchildren: dietary results from the real-life cluster-randomized controlled trial “Are You Too Sweet?”</w:t>
            </w:r>
          </w:p>
        </w:tc>
        <w:tc>
          <w:tcPr>
            <w:tcW w:w="1530" w:type="dxa"/>
            <w:hideMark/>
          </w:tcPr>
          <w:p w14:paraId="47D6D158" w14:textId="77777777" w:rsidR="00B548E1" w:rsidRPr="003169AF" w:rsidRDefault="00B548E1" w:rsidP="00057600">
            <w:pPr>
              <w:spacing w:after="0"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Danish municipality,</w:t>
            </w:r>
          </w:p>
          <w:p w14:paraId="1729F2EA" w14:textId="77777777" w:rsidR="00B548E1" w:rsidRPr="003169AF" w:rsidRDefault="00B548E1" w:rsidP="00057600">
            <w:pPr>
              <w:spacing w:after="0"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Denmark</w:t>
            </w:r>
          </w:p>
        </w:tc>
        <w:tc>
          <w:tcPr>
            <w:tcW w:w="2206" w:type="dxa"/>
            <w:hideMark/>
          </w:tcPr>
          <w:p w14:paraId="3F58BB99"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6 schools randomized to the intervention group (n=4) or the control group (n=2). Participants: 153 children</w:t>
            </w:r>
          </w:p>
        </w:tc>
        <w:tc>
          <w:tcPr>
            <w:tcW w:w="1394" w:type="dxa"/>
            <w:hideMark/>
          </w:tcPr>
          <w:p w14:paraId="4A21A616"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5–7 years</w:t>
            </w:r>
          </w:p>
        </w:tc>
        <w:tc>
          <w:tcPr>
            <w:tcW w:w="1980" w:type="dxa"/>
            <w:hideMark/>
          </w:tcPr>
          <w:p w14:paraId="07ED7B1A"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Two-arm cluster-randomized controlled trial</w:t>
            </w:r>
          </w:p>
        </w:tc>
        <w:tc>
          <w:tcPr>
            <w:tcW w:w="2070" w:type="dxa"/>
            <w:noWrap/>
            <w:hideMark/>
          </w:tcPr>
          <w:p w14:paraId="3C985782"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78186630" w14:textId="77777777" w:rsidTr="00057600">
        <w:trPr>
          <w:trHeight w:val="840"/>
        </w:trPr>
        <w:tc>
          <w:tcPr>
            <w:tcW w:w="1530" w:type="dxa"/>
            <w:hideMark/>
          </w:tcPr>
          <w:p w14:paraId="34C84A6E" w14:textId="77777777" w:rsidR="00B548E1" w:rsidRPr="003C70EE" w:rsidRDefault="00B548E1" w:rsidP="00057600">
            <w:pPr>
              <w:spacing w:line="240" w:lineRule="auto"/>
              <w:rPr>
                <w:rFonts w:ascii="Arial" w:eastAsia="Times New Roman" w:hAnsi="Arial" w:cs="Arial"/>
                <w:kern w:val="0"/>
                <w:sz w:val="16"/>
                <w:szCs w:val="16"/>
                <w:lang w:val="fr-FR" w:eastAsia="en-ZA"/>
                <w14:ligatures w14:val="none"/>
              </w:rPr>
            </w:pPr>
            <w:r w:rsidRPr="008514A5">
              <w:rPr>
                <w:rFonts w:ascii="Arial" w:eastAsia="Times New Roman" w:hAnsi="Arial" w:cs="Arial"/>
                <w:kern w:val="0"/>
                <w:sz w:val="16"/>
                <w:szCs w:val="16"/>
                <w:lang w:val="fr-FR" w:eastAsia="en-ZA"/>
                <w14:ligatures w14:val="none"/>
              </w:rPr>
              <w:t>Chai, L.K. et al.</w:t>
            </w:r>
          </w:p>
        </w:tc>
        <w:tc>
          <w:tcPr>
            <w:tcW w:w="1194" w:type="dxa"/>
            <w:noWrap/>
            <w:hideMark/>
          </w:tcPr>
          <w:p w14:paraId="02DC2D64"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2019</w:t>
            </w:r>
          </w:p>
        </w:tc>
        <w:tc>
          <w:tcPr>
            <w:tcW w:w="3036" w:type="dxa"/>
            <w:hideMark/>
          </w:tcPr>
          <w:p w14:paraId="53C5F71F"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Development of text messages targeting healthy eating for children in the context of parenting partnerships</w:t>
            </w:r>
          </w:p>
        </w:tc>
        <w:tc>
          <w:tcPr>
            <w:tcW w:w="1530" w:type="dxa"/>
            <w:noWrap/>
            <w:hideMark/>
          </w:tcPr>
          <w:p w14:paraId="6CA63707"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Australia</w:t>
            </w:r>
          </w:p>
        </w:tc>
        <w:tc>
          <w:tcPr>
            <w:tcW w:w="2206" w:type="dxa"/>
            <w:hideMark/>
          </w:tcPr>
          <w:p w14:paraId="3F9A056C"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 parents and 28 health experts</w:t>
            </w:r>
          </w:p>
        </w:tc>
        <w:tc>
          <w:tcPr>
            <w:tcW w:w="1394" w:type="dxa"/>
            <w:hideMark/>
          </w:tcPr>
          <w:p w14:paraId="12CEE012"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39 (mean age - SD±9.87)</w:t>
            </w:r>
          </w:p>
        </w:tc>
        <w:tc>
          <w:tcPr>
            <w:tcW w:w="1980" w:type="dxa"/>
            <w:hideMark/>
          </w:tcPr>
          <w:p w14:paraId="2576D23B"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Mixed methods - Likert scale + open text</w:t>
            </w:r>
          </w:p>
        </w:tc>
        <w:tc>
          <w:tcPr>
            <w:tcW w:w="2070" w:type="dxa"/>
            <w:noWrap/>
            <w:hideMark/>
          </w:tcPr>
          <w:p w14:paraId="5A6BE40B"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07838917" w14:textId="77777777" w:rsidTr="00057600">
        <w:trPr>
          <w:trHeight w:val="840"/>
        </w:trPr>
        <w:tc>
          <w:tcPr>
            <w:tcW w:w="1530" w:type="dxa"/>
            <w:noWrap/>
            <w:hideMark/>
          </w:tcPr>
          <w:p w14:paraId="5B154ABA"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Costello, N. et al.</w:t>
            </w:r>
          </w:p>
        </w:tc>
        <w:tc>
          <w:tcPr>
            <w:tcW w:w="1194" w:type="dxa"/>
            <w:noWrap/>
            <w:hideMark/>
          </w:tcPr>
          <w:p w14:paraId="5AE0B52F"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2017</w:t>
            </w:r>
          </w:p>
        </w:tc>
        <w:tc>
          <w:tcPr>
            <w:tcW w:w="3036" w:type="dxa"/>
            <w:hideMark/>
          </w:tcPr>
          <w:p w14:paraId="7993B053"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Snap-N-Send: A valid and reliable method for assessing the energy intake of elite adolescent athletes</w:t>
            </w:r>
          </w:p>
        </w:tc>
        <w:tc>
          <w:tcPr>
            <w:tcW w:w="1530" w:type="dxa"/>
            <w:hideMark/>
          </w:tcPr>
          <w:p w14:paraId="31E061B4"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United Kingdom</w:t>
            </w:r>
          </w:p>
        </w:tc>
        <w:tc>
          <w:tcPr>
            <w:tcW w:w="2206" w:type="dxa"/>
            <w:hideMark/>
          </w:tcPr>
          <w:p w14:paraId="0811127B"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12 elite adolescent male rugby players</w:t>
            </w:r>
          </w:p>
        </w:tc>
        <w:tc>
          <w:tcPr>
            <w:tcW w:w="1394" w:type="dxa"/>
            <w:noWrap/>
            <w:hideMark/>
          </w:tcPr>
          <w:p w14:paraId="11FEB53B"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16–18 years</w:t>
            </w:r>
          </w:p>
        </w:tc>
        <w:tc>
          <w:tcPr>
            <w:tcW w:w="1980" w:type="dxa"/>
            <w:hideMark/>
          </w:tcPr>
          <w:p w14:paraId="737B42EA"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Counterbalanced, crossover design</w:t>
            </w:r>
          </w:p>
        </w:tc>
        <w:tc>
          <w:tcPr>
            <w:tcW w:w="2070" w:type="dxa"/>
            <w:noWrap/>
            <w:hideMark/>
          </w:tcPr>
          <w:p w14:paraId="5AC30AD6"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000E01E9" w14:textId="77777777" w:rsidTr="00057600">
        <w:trPr>
          <w:trHeight w:val="840"/>
        </w:trPr>
        <w:tc>
          <w:tcPr>
            <w:tcW w:w="1530" w:type="dxa"/>
            <w:noWrap/>
            <w:hideMark/>
          </w:tcPr>
          <w:p w14:paraId="5C2EE68F"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Cox, J.S. et al.</w:t>
            </w:r>
          </w:p>
        </w:tc>
        <w:tc>
          <w:tcPr>
            <w:tcW w:w="1194" w:type="dxa"/>
            <w:noWrap/>
            <w:hideMark/>
          </w:tcPr>
          <w:p w14:paraId="0E4FE66D"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2023</w:t>
            </w:r>
          </w:p>
        </w:tc>
        <w:tc>
          <w:tcPr>
            <w:tcW w:w="3036" w:type="dxa"/>
            <w:hideMark/>
          </w:tcPr>
          <w:p w14:paraId="2A479B59"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Integrating COM-B and the person-based approach to develop an ACT-based therapy programme to raise self-determination in adolescents with obesity</w:t>
            </w:r>
          </w:p>
        </w:tc>
        <w:tc>
          <w:tcPr>
            <w:tcW w:w="1530" w:type="dxa"/>
            <w:hideMark/>
          </w:tcPr>
          <w:p w14:paraId="181F5E35"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United Kingdom</w:t>
            </w:r>
          </w:p>
        </w:tc>
        <w:tc>
          <w:tcPr>
            <w:tcW w:w="2206" w:type="dxa"/>
            <w:hideMark/>
          </w:tcPr>
          <w:p w14:paraId="066DC590"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Semistructured interviews with 12 families (parents or adolescent interviews)</w:t>
            </w:r>
          </w:p>
        </w:tc>
        <w:tc>
          <w:tcPr>
            <w:tcW w:w="1394" w:type="dxa"/>
            <w:hideMark/>
          </w:tcPr>
          <w:p w14:paraId="3C40E288"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14.5 (mean age)</w:t>
            </w:r>
          </w:p>
        </w:tc>
        <w:tc>
          <w:tcPr>
            <w:tcW w:w="1980" w:type="dxa"/>
            <w:noWrap/>
            <w:hideMark/>
          </w:tcPr>
          <w:p w14:paraId="203F3E3F"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Qualitative research</w:t>
            </w:r>
          </w:p>
        </w:tc>
        <w:tc>
          <w:tcPr>
            <w:tcW w:w="2070" w:type="dxa"/>
            <w:noWrap/>
            <w:hideMark/>
          </w:tcPr>
          <w:p w14:paraId="3543AB43"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697B3A2A" w14:textId="77777777" w:rsidTr="00057600">
        <w:trPr>
          <w:trHeight w:val="476"/>
        </w:trPr>
        <w:tc>
          <w:tcPr>
            <w:tcW w:w="1530" w:type="dxa"/>
            <w:hideMark/>
          </w:tcPr>
          <w:p w14:paraId="346BEF95"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Curtis, K., Atkins, L. and Brown, K.</w:t>
            </w:r>
          </w:p>
        </w:tc>
        <w:tc>
          <w:tcPr>
            <w:tcW w:w="1194" w:type="dxa"/>
            <w:noWrap/>
            <w:hideMark/>
          </w:tcPr>
          <w:p w14:paraId="2BD2F9DA"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2017</w:t>
            </w:r>
          </w:p>
        </w:tc>
        <w:tc>
          <w:tcPr>
            <w:tcW w:w="3036" w:type="dxa"/>
            <w:hideMark/>
          </w:tcPr>
          <w:p w14:paraId="57C7F5B0"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Big hearts, small hands: a focus group study exploring parental food portion behaviors</w:t>
            </w:r>
          </w:p>
        </w:tc>
        <w:tc>
          <w:tcPr>
            <w:tcW w:w="1530" w:type="dxa"/>
            <w:hideMark/>
          </w:tcPr>
          <w:p w14:paraId="2D294472"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United Kingdom</w:t>
            </w:r>
          </w:p>
        </w:tc>
        <w:tc>
          <w:tcPr>
            <w:tcW w:w="2206" w:type="dxa"/>
            <w:hideMark/>
          </w:tcPr>
          <w:p w14:paraId="23338549"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Family weight management case workers (n=4). Participants in weight management programmes (n=14) comprising of females (n=12) and males (n=2) and had children classified as very overweight (53%), overweight (33%) and healthy weight (7%).</w:t>
            </w:r>
          </w:p>
        </w:tc>
        <w:tc>
          <w:tcPr>
            <w:tcW w:w="1394" w:type="dxa"/>
            <w:hideMark/>
          </w:tcPr>
          <w:p w14:paraId="0A8CFA05"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Participants with overweight children &gt;5 age</w:t>
            </w:r>
          </w:p>
        </w:tc>
        <w:tc>
          <w:tcPr>
            <w:tcW w:w="1980" w:type="dxa"/>
            <w:noWrap/>
            <w:hideMark/>
          </w:tcPr>
          <w:p w14:paraId="5D6043A4"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Qualitative research</w:t>
            </w:r>
          </w:p>
        </w:tc>
        <w:tc>
          <w:tcPr>
            <w:tcW w:w="2070" w:type="dxa"/>
            <w:noWrap/>
            <w:hideMark/>
          </w:tcPr>
          <w:p w14:paraId="510FE2C3"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1780C64F" w14:textId="77777777" w:rsidTr="00057600">
        <w:trPr>
          <w:trHeight w:val="840"/>
        </w:trPr>
        <w:tc>
          <w:tcPr>
            <w:tcW w:w="1530" w:type="dxa"/>
            <w:hideMark/>
          </w:tcPr>
          <w:p w14:paraId="3773499B"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Erzse, A. et al.</w:t>
            </w:r>
          </w:p>
        </w:tc>
        <w:tc>
          <w:tcPr>
            <w:tcW w:w="1194" w:type="dxa"/>
            <w:noWrap/>
            <w:hideMark/>
          </w:tcPr>
          <w:p w14:paraId="5CDB8BCF"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2023</w:t>
            </w:r>
          </w:p>
        </w:tc>
        <w:tc>
          <w:tcPr>
            <w:tcW w:w="3036" w:type="dxa"/>
            <w:hideMark/>
          </w:tcPr>
          <w:p w14:paraId="6D8F6F7E"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Participatory prioritization of interventions to improve primary school food environments in Gauteng, South Africa</w:t>
            </w:r>
          </w:p>
        </w:tc>
        <w:tc>
          <w:tcPr>
            <w:tcW w:w="1530" w:type="dxa"/>
            <w:hideMark/>
          </w:tcPr>
          <w:p w14:paraId="32B5392C"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South Africa</w:t>
            </w:r>
          </w:p>
        </w:tc>
        <w:tc>
          <w:tcPr>
            <w:tcW w:w="2206" w:type="dxa"/>
            <w:hideMark/>
          </w:tcPr>
          <w:p w14:paraId="6D5F2553"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26 interviews with primary school staff + Delphi survey respondents (n=38)</w:t>
            </w:r>
          </w:p>
        </w:tc>
        <w:tc>
          <w:tcPr>
            <w:tcW w:w="1394" w:type="dxa"/>
            <w:hideMark/>
          </w:tcPr>
          <w:p w14:paraId="7627C0E8"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No age specified for participants, but intervention targets primary schoolchildren</w:t>
            </w:r>
          </w:p>
        </w:tc>
        <w:tc>
          <w:tcPr>
            <w:tcW w:w="1980" w:type="dxa"/>
            <w:hideMark/>
          </w:tcPr>
          <w:p w14:paraId="6E2089E0"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Mixed methods: interviews and a Delphi survey</w:t>
            </w:r>
          </w:p>
        </w:tc>
        <w:tc>
          <w:tcPr>
            <w:tcW w:w="2070" w:type="dxa"/>
            <w:noWrap/>
            <w:hideMark/>
          </w:tcPr>
          <w:p w14:paraId="7156517B"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4543117D" w14:textId="77777777" w:rsidTr="00057600">
        <w:trPr>
          <w:trHeight w:val="570"/>
        </w:trPr>
        <w:tc>
          <w:tcPr>
            <w:tcW w:w="1530" w:type="dxa"/>
            <w:hideMark/>
          </w:tcPr>
          <w:p w14:paraId="42448A75" w14:textId="77777777" w:rsidR="00B548E1" w:rsidRPr="003C70EE" w:rsidRDefault="00B548E1" w:rsidP="00057600">
            <w:pPr>
              <w:spacing w:line="240" w:lineRule="auto"/>
              <w:rPr>
                <w:rFonts w:ascii="Arial" w:eastAsia="Times New Roman" w:hAnsi="Arial" w:cs="Arial"/>
                <w:color w:val="000000"/>
                <w:kern w:val="0"/>
                <w:sz w:val="16"/>
                <w:szCs w:val="16"/>
                <w:lang w:val="fr-FR" w:eastAsia="en-ZA"/>
                <w14:ligatures w14:val="none"/>
              </w:rPr>
            </w:pPr>
            <w:r w:rsidRPr="008514A5">
              <w:rPr>
                <w:rFonts w:ascii="Arial" w:eastAsia="Times New Roman" w:hAnsi="Arial" w:cs="Arial"/>
                <w:color w:val="000000"/>
                <w:kern w:val="0"/>
                <w:sz w:val="16"/>
                <w:szCs w:val="16"/>
                <w:lang w:val="fr-FR" w:eastAsia="en-ZA"/>
                <w14:ligatures w14:val="none"/>
              </w:rPr>
              <w:lastRenderedPageBreak/>
              <w:t>Fernández-Álvarez, M.M. et al</w:t>
            </w:r>
            <w:r w:rsidRPr="008514A5">
              <w:rPr>
                <w:rFonts w:ascii="Arial" w:eastAsia="Times New Roman" w:hAnsi="Arial" w:cs="Arial"/>
                <w:i/>
                <w:iCs/>
                <w:color w:val="000000"/>
                <w:kern w:val="0"/>
                <w:sz w:val="16"/>
                <w:szCs w:val="16"/>
                <w:lang w:val="fr-FR" w:eastAsia="en-ZA"/>
                <w14:ligatures w14:val="none"/>
              </w:rPr>
              <w:t>.</w:t>
            </w:r>
          </w:p>
        </w:tc>
        <w:tc>
          <w:tcPr>
            <w:tcW w:w="1194" w:type="dxa"/>
            <w:noWrap/>
            <w:hideMark/>
          </w:tcPr>
          <w:p w14:paraId="5A808876"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2020</w:t>
            </w:r>
          </w:p>
        </w:tc>
        <w:tc>
          <w:tcPr>
            <w:tcW w:w="3036" w:type="dxa"/>
            <w:hideMark/>
          </w:tcPr>
          <w:p w14:paraId="10000E88"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A nutrition education intervention in adolescents who play soccer: The IDEHA-F project</w:t>
            </w:r>
          </w:p>
        </w:tc>
        <w:tc>
          <w:tcPr>
            <w:tcW w:w="1530" w:type="dxa"/>
            <w:hideMark/>
          </w:tcPr>
          <w:p w14:paraId="6D3A2DF4"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Principality of Asturias in Spain</w:t>
            </w:r>
          </w:p>
        </w:tc>
        <w:tc>
          <w:tcPr>
            <w:tcW w:w="2206" w:type="dxa"/>
            <w:hideMark/>
          </w:tcPr>
          <w:p w14:paraId="6C01CC78"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319 adolescent soccer players</w:t>
            </w:r>
          </w:p>
        </w:tc>
        <w:tc>
          <w:tcPr>
            <w:tcW w:w="1394" w:type="dxa"/>
            <w:hideMark/>
          </w:tcPr>
          <w:p w14:paraId="1C0E07EA"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14.2 (mean age, SD=1.09</w:t>
            </w:r>
          </w:p>
        </w:tc>
        <w:tc>
          <w:tcPr>
            <w:tcW w:w="1980" w:type="dxa"/>
            <w:hideMark/>
          </w:tcPr>
          <w:p w14:paraId="61525A46"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Randomized pilot trial</w:t>
            </w:r>
          </w:p>
        </w:tc>
        <w:tc>
          <w:tcPr>
            <w:tcW w:w="2070" w:type="dxa"/>
            <w:noWrap/>
            <w:hideMark/>
          </w:tcPr>
          <w:p w14:paraId="2F5E0719"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702E41B3" w14:textId="77777777" w:rsidTr="00057600">
        <w:trPr>
          <w:trHeight w:val="1400"/>
        </w:trPr>
        <w:tc>
          <w:tcPr>
            <w:tcW w:w="1530" w:type="dxa"/>
            <w:noWrap/>
            <w:hideMark/>
          </w:tcPr>
          <w:p w14:paraId="3902C639"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Grant, A. et al.</w:t>
            </w:r>
          </w:p>
        </w:tc>
        <w:tc>
          <w:tcPr>
            <w:tcW w:w="1194" w:type="dxa"/>
            <w:noWrap/>
            <w:hideMark/>
          </w:tcPr>
          <w:p w14:paraId="3A7B3C11"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2019</w:t>
            </w:r>
          </w:p>
        </w:tc>
        <w:tc>
          <w:tcPr>
            <w:tcW w:w="3036" w:type="dxa"/>
            <w:hideMark/>
          </w:tcPr>
          <w:p w14:paraId="24BC3D55"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Understanding health behavior in pregnancy and infant feeding intentions in low-income women from the UK through qualitative visual methods and application to the COM-B (Capability, Opportunity, Motivation-Behavior) model</w:t>
            </w:r>
          </w:p>
        </w:tc>
        <w:tc>
          <w:tcPr>
            <w:tcW w:w="1530" w:type="dxa"/>
            <w:hideMark/>
          </w:tcPr>
          <w:p w14:paraId="6489A198"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United Kingdom</w:t>
            </w:r>
          </w:p>
        </w:tc>
        <w:tc>
          <w:tcPr>
            <w:tcW w:w="2206" w:type="dxa"/>
            <w:hideMark/>
          </w:tcPr>
          <w:p w14:paraId="0F093B82"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10 pregnant women</w:t>
            </w:r>
          </w:p>
        </w:tc>
        <w:tc>
          <w:tcPr>
            <w:tcW w:w="1394" w:type="dxa"/>
            <w:hideMark/>
          </w:tcPr>
          <w:p w14:paraId="703CA44B"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Less than 30 weeks pregnant at Time 1</w:t>
            </w:r>
          </w:p>
        </w:tc>
        <w:tc>
          <w:tcPr>
            <w:tcW w:w="1980" w:type="dxa"/>
            <w:hideMark/>
          </w:tcPr>
          <w:p w14:paraId="6177C8AE"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Interpretivist paradigm</w:t>
            </w:r>
          </w:p>
        </w:tc>
        <w:tc>
          <w:tcPr>
            <w:tcW w:w="2070" w:type="dxa"/>
            <w:noWrap/>
            <w:hideMark/>
          </w:tcPr>
          <w:p w14:paraId="4B5AA9BB"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196966CA" w14:textId="77777777" w:rsidTr="00057600">
        <w:trPr>
          <w:trHeight w:val="1400"/>
        </w:trPr>
        <w:tc>
          <w:tcPr>
            <w:tcW w:w="1530" w:type="dxa"/>
            <w:hideMark/>
          </w:tcPr>
          <w:p w14:paraId="399B56E8" w14:textId="77777777" w:rsidR="00B548E1" w:rsidRPr="003169AF" w:rsidRDefault="00B548E1" w:rsidP="00057600">
            <w:pPr>
              <w:spacing w:line="240" w:lineRule="auto"/>
              <w:rPr>
                <w:rFonts w:ascii="Arial" w:eastAsia="Times New Roman" w:hAnsi="Arial" w:cs="Arial"/>
                <w:color w:val="000000"/>
                <w:kern w:val="0"/>
                <w:sz w:val="16"/>
                <w:szCs w:val="16"/>
                <w:lang w:eastAsia="en-ZA"/>
                <w14:ligatures w14:val="none"/>
              </w:rPr>
            </w:pPr>
            <w:r w:rsidRPr="003169AF">
              <w:rPr>
                <w:rFonts w:ascii="Arial" w:eastAsia="Times New Roman" w:hAnsi="Arial" w:cs="Arial"/>
                <w:color w:val="000000"/>
                <w:kern w:val="0"/>
                <w:sz w:val="16"/>
                <w:szCs w:val="16"/>
                <w:lang w:eastAsia="en-ZA"/>
                <w14:ligatures w14:val="none"/>
              </w:rPr>
              <w:t>Hart, C.S. and Page, A.</w:t>
            </w:r>
          </w:p>
        </w:tc>
        <w:tc>
          <w:tcPr>
            <w:tcW w:w="1194" w:type="dxa"/>
            <w:noWrap/>
            <w:hideMark/>
          </w:tcPr>
          <w:p w14:paraId="1761C4E5"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2020</w:t>
            </w:r>
          </w:p>
        </w:tc>
        <w:tc>
          <w:tcPr>
            <w:tcW w:w="3036" w:type="dxa"/>
            <w:hideMark/>
          </w:tcPr>
          <w:p w14:paraId="1CCB4B07"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The capability approach and school food education and culture in England: “gingerbread men ain’t gonna get me very far”</w:t>
            </w:r>
          </w:p>
        </w:tc>
        <w:tc>
          <w:tcPr>
            <w:tcW w:w="1530" w:type="dxa"/>
            <w:hideMark/>
          </w:tcPr>
          <w:p w14:paraId="3E0A0A1C"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England</w:t>
            </w:r>
          </w:p>
        </w:tc>
        <w:tc>
          <w:tcPr>
            <w:tcW w:w="2206" w:type="dxa"/>
            <w:hideMark/>
          </w:tcPr>
          <w:p w14:paraId="2232A15A"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Surveys of food teachers (n= 1503), senior school leaders and class teachers (n=684), parents and carers (n=573) and a mixed methods study of pupils in primary and secondary schools (n=240).</w:t>
            </w:r>
          </w:p>
        </w:tc>
        <w:tc>
          <w:tcPr>
            <w:tcW w:w="1394" w:type="dxa"/>
            <w:hideMark/>
          </w:tcPr>
          <w:p w14:paraId="0B64B09F"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Pupils aged 5–14 years</w:t>
            </w:r>
          </w:p>
        </w:tc>
        <w:tc>
          <w:tcPr>
            <w:tcW w:w="1980" w:type="dxa"/>
            <w:hideMark/>
          </w:tcPr>
          <w:p w14:paraId="30D87CB5"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Mixed methods: online surveys and participatory research</w:t>
            </w:r>
          </w:p>
        </w:tc>
        <w:tc>
          <w:tcPr>
            <w:tcW w:w="2070" w:type="dxa"/>
            <w:noWrap/>
            <w:hideMark/>
          </w:tcPr>
          <w:p w14:paraId="7C350763"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56B4CA55" w14:textId="77777777" w:rsidTr="00057600">
        <w:trPr>
          <w:trHeight w:val="1120"/>
        </w:trPr>
        <w:tc>
          <w:tcPr>
            <w:tcW w:w="1530" w:type="dxa"/>
            <w:hideMark/>
          </w:tcPr>
          <w:p w14:paraId="7B9916BD"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Lee, S.Y. et al.</w:t>
            </w:r>
          </w:p>
        </w:tc>
        <w:tc>
          <w:tcPr>
            <w:tcW w:w="1194" w:type="dxa"/>
            <w:noWrap/>
            <w:hideMark/>
          </w:tcPr>
          <w:p w14:paraId="3B0A5C2D"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2020</w:t>
            </w:r>
          </w:p>
        </w:tc>
        <w:tc>
          <w:tcPr>
            <w:tcW w:w="3036" w:type="dxa"/>
            <w:hideMark/>
          </w:tcPr>
          <w:p w14:paraId="177F0C95"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A 24-week intervention based on nutrition care process improves diet quality, body mass index, and motivation in children and adolescents with obesity</w:t>
            </w:r>
          </w:p>
        </w:tc>
        <w:tc>
          <w:tcPr>
            <w:tcW w:w="1530" w:type="dxa"/>
            <w:hideMark/>
          </w:tcPr>
          <w:p w14:paraId="001268A1"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Seoul and Gyeonggi province, South Korea</w:t>
            </w:r>
          </w:p>
        </w:tc>
        <w:tc>
          <w:tcPr>
            <w:tcW w:w="2206" w:type="dxa"/>
            <w:noWrap/>
            <w:hideMark/>
          </w:tcPr>
          <w:p w14:paraId="5D449A50"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104 children</w:t>
            </w:r>
          </w:p>
        </w:tc>
        <w:tc>
          <w:tcPr>
            <w:tcW w:w="1394" w:type="dxa"/>
            <w:noWrap/>
            <w:hideMark/>
          </w:tcPr>
          <w:p w14:paraId="2BE0E740"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mean age: 10.95 years</w:t>
            </w:r>
          </w:p>
        </w:tc>
        <w:tc>
          <w:tcPr>
            <w:tcW w:w="1980" w:type="dxa"/>
            <w:hideMark/>
          </w:tcPr>
          <w:p w14:paraId="6E1450D9"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Consecutive randomization procedure</w:t>
            </w:r>
          </w:p>
        </w:tc>
        <w:tc>
          <w:tcPr>
            <w:tcW w:w="2070" w:type="dxa"/>
            <w:noWrap/>
            <w:hideMark/>
          </w:tcPr>
          <w:p w14:paraId="1C6E836E"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68C0023D" w14:textId="77777777" w:rsidTr="00057600">
        <w:trPr>
          <w:trHeight w:val="1120"/>
        </w:trPr>
        <w:tc>
          <w:tcPr>
            <w:tcW w:w="1530" w:type="dxa"/>
            <w:noWrap/>
            <w:hideMark/>
          </w:tcPr>
          <w:p w14:paraId="70C301A2" w14:textId="77777777" w:rsidR="00B548E1" w:rsidRPr="003C70EE" w:rsidRDefault="00B548E1" w:rsidP="00057600">
            <w:pPr>
              <w:spacing w:line="240" w:lineRule="auto"/>
              <w:rPr>
                <w:rFonts w:ascii="Arial" w:eastAsia="Times New Roman" w:hAnsi="Arial" w:cs="Arial"/>
                <w:kern w:val="0"/>
                <w:sz w:val="16"/>
                <w:szCs w:val="16"/>
                <w:lang w:val="fr-FR" w:eastAsia="en-ZA"/>
                <w14:ligatures w14:val="none"/>
              </w:rPr>
            </w:pPr>
            <w:r w:rsidRPr="008514A5">
              <w:rPr>
                <w:rFonts w:ascii="Arial" w:eastAsia="Times New Roman" w:hAnsi="Arial" w:cs="Arial"/>
                <w:kern w:val="0"/>
                <w:sz w:val="16"/>
                <w:szCs w:val="16"/>
                <w:lang w:val="fr-FR" w:eastAsia="en-ZA"/>
                <w14:ligatures w14:val="none"/>
              </w:rPr>
              <w:t>Litterbach, E.-K. et al.</w:t>
            </w:r>
          </w:p>
        </w:tc>
        <w:tc>
          <w:tcPr>
            <w:tcW w:w="1194" w:type="dxa"/>
            <w:noWrap/>
            <w:hideMark/>
          </w:tcPr>
          <w:p w14:paraId="04228D21"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2017</w:t>
            </w:r>
          </w:p>
        </w:tc>
        <w:tc>
          <w:tcPr>
            <w:tcW w:w="3036" w:type="dxa"/>
            <w:hideMark/>
          </w:tcPr>
          <w:p w14:paraId="3C8CE668"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Factors Influencing Engagement and Behavioral Determinants of Infant Feeding in an mHealth Program: Qualitative Evaluation of the Growing Healthy Program</w:t>
            </w:r>
          </w:p>
        </w:tc>
        <w:tc>
          <w:tcPr>
            <w:tcW w:w="1530" w:type="dxa"/>
            <w:noWrap/>
            <w:hideMark/>
          </w:tcPr>
          <w:p w14:paraId="046FFF33"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Australia</w:t>
            </w:r>
          </w:p>
        </w:tc>
        <w:tc>
          <w:tcPr>
            <w:tcW w:w="2206" w:type="dxa"/>
            <w:noWrap/>
            <w:hideMark/>
          </w:tcPr>
          <w:p w14:paraId="579DEBB7"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24 individual mothers</w:t>
            </w:r>
          </w:p>
        </w:tc>
        <w:tc>
          <w:tcPr>
            <w:tcW w:w="1394" w:type="dxa"/>
            <w:hideMark/>
          </w:tcPr>
          <w:p w14:paraId="6068C16A"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With infants between 6 and 9 months old</w:t>
            </w:r>
          </w:p>
        </w:tc>
        <w:tc>
          <w:tcPr>
            <w:tcW w:w="1980" w:type="dxa"/>
            <w:hideMark/>
          </w:tcPr>
          <w:p w14:paraId="2DD0FBF7"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Quasiexperimental design</w:t>
            </w:r>
          </w:p>
        </w:tc>
        <w:tc>
          <w:tcPr>
            <w:tcW w:w="2070" w:type="dxa"/>
            <w:noWrap/>
            <w:hideMark/>
          </w:tcPr>
          <w:p w14:paraId="455F0141"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2D3AF2AF" w14:textId="77777777" w:rsidTr="00057600">
        <w:trPr>
          <w:trHeight w:val="1120"/>
        </w:trPr>
        <w:tc>
          <w:tcPr>
            <w:tcW w:w="1530" w:type="dxa"/>
            <w:hideMark/>
          </w:tcPr>
          <w:p w14:paraId="2922C005"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Livingstone, K.M. et al.</w:t>
            </w:r>
          </w:p>
        </w:tc>
        <w:tc>
          <w:tcPr>
            <w:tcW w:w="1194" w:type="dxa"/>
            <w:noWrap/>
            <w:hideMark/>
          </w:tcPr>
          <w:p w14:paraId="352D3BD6"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2023</w:t>
            </w:r>
          </w:p>
        </w:tc>
        <w:tc>
          <w:tcPr>
            <w:tcW w:w="3036" w:type="dxa"/>
            <w:hideMark/>
          </w:tcPr>
          <w:p w14:paraId="235D472D"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Do food-related capabilities, opportunities and motivations of adolescents mediate the association between socioeconomic position in adolescence and diet quality in early adulthood?</w:t>
            </w:r>
          </w:p>
        </w:tc>
        <w:tc>
          <w:tcPr>
            <w:tcW w:w="1530" w:type="dxa"/>
            <w:noWrap/>
            <w:hideMark/>
          </w:tcPr>
          <w:p w14:paraId="4C80594C"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Australia</w:t>
            </w:r>
          </w:p>
        </w:tc>
        <w:tc>
          <w:tcPr>
            <w:tcW w:w="2206" w:type="dxa"/>
            <w:noWrap/>
            <w:hideMark/>
          </w:tcPr>
          <w:p w14:paraId="72EE8B2D" w14:textId="77777777" w:rsidR="00B548E1" w:rsidRPr="003C70EE" w:rsidRDefault="00B548E1" w:rsidP="00057600">
            <w:pPr>
              <w:spacing w:line="240" w:lineRule="auto"/>
              <w:rPr>
                <w:rFonts w:ascii="Arial" w:eastAsia="Times New Roman" w:hAnsi="Arial" w:cs="Arial"/>
                <w:kern w:val="0"/>
                <w:sz w:val="16"/>
                <w:szCs w:val="16"/>
                <w:lang w:val="fr-FR" w:eastAsia="en-ZA"/>
                <w14:ligatures w14:val="none"/>
              </w:rPr>
            </w:pPr>
            <w:r w:rsidRPr="008514A5">
              <w:rPr>
                <w:rFonts w:ascii="Arial" w:eastAsia="Times New Roman" w:hAnsi="Arial" w:cs="Arial"/>
                <w:kern w:val="0"/>
                <w:sz w:val="16"/>
                <w:szCs w:val="16"/>
                <w:lang w:val="fr-FR" w:eastAsia="en-ZA"/>
                <w14:ligatures w14:val="none"/>
              </w:rPr>
              <w:t>774 adolescents (males n=183; females n=591)</w:t>
            </w:r>
          </w:p>
        </w:tc>
        <w:tc>
          <w:tcPr>
            <w:tcW w:w="1394" w:type="dxa"/>
            <w:hideMark/>
          </w:tcPr>
          <w:p w14:paraId="445E43FE"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Adolescents approximately 16–17 years old (mean age 16.9)</w:t>
            </w:r>
          </w:p>
        </w:tc>
        <w:tc>
          <w:tcPr>
            <w:tcW w:w="1980" w:type="dxa"/>
            <w:hideMark/>
          </w:tcPr>
          <w:p w14:paraId="6F6350D8"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Structural equation modeling</w:t>
            </w:r>
          </w:p>
        </w:tc>
        <w:tc>
          <w:tcPr>
            <w:tcW w:w="2070" w:type="dxa"/>
            <w:noWrap/>
            <w:hideMark/>
          </w:tcPr>
          <w:p w14:paraId="50216C0C"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4481C82B" w14:textId="77777777" w:rsidTr="00057600">
        <w:trPr>
          <w:trHeight w:val="840"/>
        </w:trPr>
        <w:tc>
          <w:tcPr>
            <w:tcW w:w="1530" w:type="dxa"/>
            <w:hideMark/>
          </w:tcPr>
          <w:p w14:paraId="497CF3BF" w14:textId="77777777" w:rsidR="00B548E1" w:rsidRPr="003C70EE" w:rsidRDefault="00B548E1" w:rsidP="00057600">
            <w:pPr>
              <w:spacing w:line="240" w:lineRule="auto"/>
              <w:rPr>
                <w:rFonts w:ascii="Arial" w:eastAsia="Times New Roman" w:hAnsi="Arial" w:cs="Arial"/>
                <w:kern w:val="0"/>
                <w:sz w:val="16"/>
                <w:szCs w:val="16"/>
                <w:lang w:val="fr-FR" w:eastAsia="en-ZA"/>
                <w14:ligatures w14:val="none"/>
              </w:rPr>
            </w:pPr>
            <w:r w:rsidRPr="008514A5">
              <w:rPr>
                <w:rFonts w:ascii="Arial" w:eastAsia="Times New Roman" w:hAnsi="Arial" w:cs="Arial"/>
                <w:kern w:val="0"/>
                <w:sz w:val="16"/>
                <w:szCs w:val="16"/>
                <w:lang w:val="fr-FR" w:eastAsia="en-ZA"/>
                <w14:ligatures w14:val="none"/>
              </w:rPr>
              <w:t>Musgrave, L.M. et al.</w:t>
            </w:r>
          </w:p>
        </w:tc>
        <w:tc>
          <w:tcPr>
            <w:tcW w:w="1194" w:type="dxa"/>
            <w:noWrap/>
            <w:hideMark/>
          </w:tcPr>
          <w:p w14:paraId="599FCDDD"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2021</w:t>
            </w:r>
          </w:p>
        </w:tc>
        <w:tc>
          <w:tcPr>
            <w:tcW w:w="3036" w:type="dxa"/>
            <w:hideMark/>
          </w:tcPr>
          <w:p w14:paraId="62A96B34"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 xml:space="preserve">Baby Buddy App for Breastfeeding and Behavior Change: Retrospective Study </w:t>
            </w:r>
            <w:r w:rsidRPr="003169AF">
              <w:rPr>
                <w:rFonts w:ascii="Arial" w:eastAsia="Times New Roman" w:hAnsi="Arial" w:cs="Arial"/>
                <w:kern w:val="0"/>
                <w:sz w:val="16"/>
                <w:szCs w:val="16"/>
                <w:lang w:eastAsia="en-ZA"/>
                <w14:ligatures w14:val="none"/>
              </w:rPr>
              <w:lastRenderedPageBreak/>
              <w:t>of the App Using the Behavior Change Wheel</w:t>
            </w:r>
          </w:p>
        </w:tc>
        <w:tc>
          <w:tcPr>
            <w:tcW w:w="1530" w:type="dxa"/>
            <w:hideMark/>
          </w:tcPr>
          <w:p w14:paraId="18829484"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lastRenderedPageBreak/>
              <w:t>United Kingdom</w:t>
            </w:r>
          </w:p>
        </w:tc>
        <w:tc>
          <w:tcPr>
            <w:tcW w:w="2206" w:type="dxa"/>
            <w:hideMark/>
          </w:tcPr>
          <w:p w14:paraId="648851A2"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 xml:space="preserve">Not applicable (NA), document review (access to all reports, market </w:t>
            </w:r>
            <w:r w:rsidRPr="003169AF">
              <w:rPr>
                <w:rFonts w:ascii="Arial" w:eastAsia="Times New Roman" w:hAnsi="Arial" w:cs="Arial"/>
                <w:kern w:val="0"/>
                <w:sz w:val="16"/>
                <w:szCs w:val="16"/>
                <w:lang w:eastAsia="en-ZA"/>
                <w14:ligatures w14:val="none"/>
              </w:rPr>
              <w:lastRenderedPageBreak/>
              <w:t>research, and interview and focus group findings)</w:t>
            </w:r>
          </w:p>
        </w:tc>
        <w:tc>
          <w:tcPr>
            <w:tcW w:w="1394" w:type="dxa"/>
            <w:noWrap/>
            <w:hideMark/>
          </w:tcPr>
          <w:p w14:paraId="5CB0B135"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lastRenderedPageBreak/>
              <w:t>NA</w:t>
            </w:r>
          </w:p>
        </w:tc>
        <w:tc>
          <w:tcPr>
            <w:tcW w:w="1980" w:type="dxa"/>
            <w:hideMark/>
          </w:tcPr>
          <w:p w14:paraId="018B13AD"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Qualitative methods</w:t>
            </w:r>
          </w:p>
        </w:tc>
        <w:tc>
          <w:tcPr>
            <w:tcW w:w="2070" w:type="dxa"/>
            <w:noWrap/>
            <w:hideMark/>
          </w:tcPr>
          <w:p w14:paraId="4F7E8A05"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4148DA0F" w14:textId="77777777" w:rsidTr="00057600">
        <w:trPr>
          <w:trHeight w:val="1120"/>
        </w:trPr>
        <w:tc>
          <w:tcPr>
            <w:tcW w:w="1530" w:type="dxa"/>
            <w:hideMark/>
          </w:tcPr>
          <w:p w14:paraId="41E90392"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Nuampa, S. et al.</w:t>
            </w:r>
          </w:p>
        </w:tc>
        <w:tc>
          <w:tcPr>
            <w:tcW w:w="1194" w:type="dxa"/>
            <w:noWrap/>
            <w:hideMark/>
          </w:tcPr>
          <w:p w14:paraId="233ACBBC"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2024</w:t>
            </w:r>
          </w:p>
        </w:tc>
        <w:tc>
          <w:tcPr>
            <w:tcW w:w="3036" w:type="dxa"/>
            <w:hideMark/>
          </w:tcPr>
          <w:p w14:paraId="21A6C104"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“The way to obtain freedom and equality”: Experiences and needs of Thai adolescent mothers in terms of the use smartphone applications for breastfeeding support</w:t>
            </w:r>
          </w:p>
        </w:tc>
        <w:tc>
          <w:tcPr>
            <w:tcW w:w="1530" w:type="dxa"/>
            <w:noWrap/>
            <w:hideMark/>
          </w:tcPr>
          <w:p w14:paraId="15478881"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Thailand</w:t>
            </w:r>
          </w:p>
        </w:tc>
        <w:tc>
          <w:tcPr>
            <w:tcW w:w="2206" w:type="dxa"/>
            <w:hideMark/>
          </w:tcPr>
          <w:p w14:paraId="744C6C5D"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Forty-eight (48) adolescent mothers through in-depth interviews with six focus group discussions and 12 nurses</w:t>
            </w:r>
          </w:p>
        </w:tc>
        <w:tc>
          <w:tcPr>
            <w:tcW w:w="1394" w:type="dxa"/>
            <w:hideMark/>
          </w:tcPr>
          <w:p w14:paraId="32E63222"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Adolescent mothers age, 15–19 years with children 1 to 6 months after childbirth</w:t>
            </w:r>
          </w:p>
        </w:tc>
        <w:tc>
          <w:tcPr>
            <w:tcW w:w="1980" w:type="dxa"/>
            <w:hideMark/>
          </w:tcPr>
          <w:p w14:paraId="441E100D"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Formative qualitative study (focus groups and in-depth interviews)</w:t>
            </w:r>
          </w:p>
        </w:tc>
        <w:tc>
          <w:tcPr>
            <w:tcW w:w="2070" w:type="dxa"/>
            <w:noWrap/>
            <w:hideMark/>
          </w:tcPr>
          <w:p w14:paraId="505AAA6C"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0E05840A" w14:textId="77777777" w:rsidTr="00057600">
        <w:trPr>
          <w:trHeight w:val="560"/>
        </w:trPr>
        <w:tc>
          <w:tcPr>
            <w:tcW w:w="1530" w:type="dxa"/>
            <w:hideMark/>
          </w:tcPr>
          <w:p w14:paraId="22E24FB6"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Page, D. et al.</w:t>
            </w:r>
          </w:p>
        </w:tc>
        <w:tc>
          <w:tcPr>
            <w:tcW w:w="1194" w:type="dxa"/>
            <w:noWrap/>
            <w:hideMark/>
          </w:tcPr>
          <w:p w14:paraId="5F18BFEC"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2017</w:t>
            </w:r>
          </w:p>
        </w:tc>
        <w:tc>
          <w:tcPr>
            <w:tcW w:w="3036" w:type="dxa"/>
            <w:hideMark/>
          </w:tcPr>
          <w:p w14:paraId="5387B386"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Optimizing early neonatal nutrition using translational research methodology</w:t>
            </w:r>
          </w:p>
        </w:tc>
        <w:tc>
          <w:tcPr>
            <w:tcW w:w="1530" w:type="dxa"/>
            <w:noWrap/>
            <w:hideMark/>
          </w:tcPr>
          <w:p w14:paraId="17FF0003"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Australia</w:t>
            </w:r>
          </w:p>
        </w:tc>
        <w:tc>
          <w:tcPr>
            <w:tcW w:w="2206" w:type="dxa"/>
            <w:hideMark/>
          </w:tcPr>
          <w:p w14:paraId="2CB02EE2"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Nineteen (19) medical and nursing staff participated in semistructured interviews</w:t>
            </w:r>
          </w:p>
        </w:tc>
        <w:tc>
          <w:tcPr>
            <w:tcW w:w="1394" w:type="dxa"/>
            <w:hideMark/>
          </w:tcPr>
          <w:p w14:paraId="7E036BFD"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Preterm infants, no months/age specified</w:t>
            </w:r>
          </w:p>
        </w:tc>
        <w:tc>
          <w:tcPr>
            <w:tcW w:w="1980" w:type="dxa"/>
            <w:hideMark/>
          </w:tcPr>
          <w:p w14:paraId="6452CB95"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Individual interviews</w:t>
            </w:r>
          </w:p>
        </w:tc>
        <w:tc>
          <w:tcPr>
            <w:tcW w:w="2070" w:type="dxa"/>
            <w:noWrap/>
            <w:hideMark/>
          </w:tcPr>
          <w:p w14:paraId="57590AF0"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638631B4" w14:textId="77777777" w:rsidTr="00057600">
        <w:trPr>
          <w:trHeight w:val="840"/>
        </w:trPr>
        <w:tc>
          <w:tcPr>
            <w:tcW w:w="1530" w:type="dxa"/>
            <w:hideMark/>
          </w:tcPr>
          <w:p w14:paraId="04A727DD"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Pallan, M. et al.</w:t>
            </w:r>
          </w:p>
        </w:tc>
        <w:tc>
          <w:tcPr>
            <w:tcW w:w="1194" w:type="dxa"/>
            <w:noWrap/>
            <w:hideMark/>
          </w:tcPr>
          <w:p w14:paraId="1BB0ED8E"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2019</w:t>
            </w:r>
          </w:p>
        </w:tc>
        <w:tc>
          <w:tcPr>
            <w:tcW w:w="3036" w:type="dxa"/>
            <w:hideMark/>
          </w:tcPr>
          <w:p w14:paraId="6D9610C3"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Cultural adaptation of a children’s weight management programme: Child weigHt mANaGement for Ethnically diverse communities (CHANGE) study</w:t>
            </w:r>
          </w:p>
        </w:tc>
        <w:tc>
          <w:tcPr>
            <w:tcW w:w="1530" w:type="dxa"/>
            <w:hideMark/>
          </w:tcPr>
          <w:p w14:paraId="310E012D"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United Kingdom</w:t>
            </w:r>
          </w:p>
        </w:tc>
        <w:tc>
          <w:tcPr>
            <w:tcW w:w="2206" w:type="dxa"/>
            <w:hideMark/>
          </w:tcPr>
          <w:p w14:paraId="014FEA67"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Interviews or focus groups with 31 parents of children with excess weight</w:t>
            </w:r>
          </w:p>
        </w:tc>
        <w:tc>
          <w:tcPr>
            <w:tcW w:w="1394" w:type="dxa"/>
            <w:noWrap/>
            <w:hideMark/>
          </w:tcPr>
          <w:p w14:paraId="71E016BB"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Children aged 4–11 years</w:t>
            </w:r>
          </w:p>
        </w:tc>
        <w:tc>
          <w:tcPr>
            <w:tcW w:w="1980" w:type="dxa"/>
            <w:noWrap/>
            <w:hideMark/>
          </w:tcPr>
          <w:p w14:paraId="3CD4EF4F"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Qualitative study</w:t>
            </w:r>
          </w:p>
        </w:tc>
        <w:tc>
          <w:tcPr>
            <w:tcW w:w="2070" w:type="dxa"/>
            <w:noWrap/>
            <w:hideMark/>
          </w:tcPr>
          <w:p w14:paraId="4FED73F4"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7F21EB28" w14:textId="77777777" w:rsidTr="00057600">
        <w:trPr>
          <w:trHeight w:val="2861"/>
        </w:trPr>
        <w:tc>
          <w:tcPr>
            <w:tcW w:w="1530" w:type="dxa"/>
            <w:hideMark/>
          </w:tcPr>
          <w:p w14:paraId="2E2DACF8"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Phillips, R. et al.</w:t>
            </w:r>
          </w:p>
        </w:tc>
        <w:tc>
          <w:tcPr>
            <w:tcW w:w="1194" w:type="dxa"/>
            <w:noWrap/>
            <w:hideMark/>
          </w:tcPr>
          <w:p w14:paraId="2951731F"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2018</w:t>
            </w:r>
          </w:p>
        </w:tc>
        <w:tc>
          <w:tcPr>
            <w:tcW w:w="3036" w:type="dxa"/>
            <w:hideMark/>
          </w:tcPr>
          <w:p w14:paraId="34BA3B9D"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Development of a novel motivational interviewing (MI) informed peer-support intervention to support mothers to breastfeed for longer</w:t>
            </w:r>
          </w:p>
        </w:tc>
        <w:tc>
          <w:tcPr>
            <w:tcW w:w="1530" w:type="dxa"/>
            <w:hideMark/>
          </w:tcPr>
          <w:p w14:paraId="678DB738"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United Kingdom</w:t>
            </w:r>
          </w:p>
        </w:tc>
        <w:tc>
          <w:tcPr>
            <w:tcW w:w="2206" w:type="dxa"/>
            <w:hideMark/>
          </w:tcPr>
          <w:p w14:paraId="42BAE098"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Health professionals and service providers (n=14) and focus groups with mothers (n=14), fathers (n=3), and breastfeeding peer-supporters (n=15); consultation with a combined professional and lay Stakeholder Group (n=23).</w:t>
            </w:r>
          </w:p>
        </w:tc>
        <w:tc>
          <w:tcPr>
            <w:tcW w:w="1394" w:type="dxa"/>
            <w:hideMark/>
          </w:tcPr>
          <w:p w14:paraId="16470DB9"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No age specified but intervention is about breastfeeding</w:t>
            </w:r>
          </w:p>
        </w:tc>
        <w:tc>
          <w:tcPr>
            <w:tcW w:w="1980" w:type="dxa"/>
            <w:hideMark/>
          </w:tcPr>
          <w:p w14:paraId="3EE63844"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Qualitative interviews and focus groups</w:t>
            </w:r>
          </w:p>
        </w:tc>
        <w:tc>
          <w:tcPr>
            <w:tcW w:w="2070" w:type="dxa"/>
            <w:noWrap/>
            <w:hideMark/>
          </w:tcPr>
          <w:p w14:paraId="21095C2D"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3E4E9F24" w14:textId="77777777" w:rsidTr="00057600">
        <w:trPr>
          <w:trHeight w:val="1880"/>
        </w:trPr>
        <w:tc>
          <w:tcPr>
            <w:tcW w:w="1530" w:type="dxa"/>
            <w:hideMark/>
          </w:tcPr>
          <w:p w14:paraId="5347624E"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lastRenderedPageBreak/>
              <w:t>Ray, D. et al.</w:t>
            </w:r>
          </w:p>
        </w:tc>
        <w:tc>
          <w:tcPr>
            <w:tcW w:w="1194" w:type="dxa"/>
            <w:noWrap/>
            <w:hideMark/>
          </w:tcPr>
          <w:p w14:paraId="74931F14"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2022</w:t>
            </w:r>
          </w:p>
        </w:tc>
        <w:tc>
          <w:tcPr>
            <w:tcW w:w="3036" w:type="dxa"/>
            <w:hideMark/>
          </w:tcPr>
          <w:p w14:paraId="4B1C2CD0"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A collaborative approach to develop an intervention to strengthen health visitors’ role in prevention of excess weight gain in children</w:t>
            </w:r>
          </w:p>
        </w:tc>
        <w:tc>
          <w:tcPr>
            <w:tcW w:w="1530" w:type="dxa"/>
            <w:hideMark/>
          </w:tcPr>
          <w:p w14:paraId="12F00CCB"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County Durham, England</w:t>
            </w:r>
          </w:p>
        </w:tc>
        <w:tc>
          <w:tcPr>
            <w:tcW w:w="2206" w:type="dxa"/>
            <w:hideMark/>
          </w:tcPr>
          <w:p w14:paraId="1E278A6F"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Five Health Visitors teams worked across different rural and urban areas within the County of Durham. SR included 50 studies from nine countries</w:t>
            </w:r>
          </w:p>
        </w:tc>
        <w:tc>
          <w:tcPr>
            <w:tcW w:w="1394" w:type="dxa"/>
            <w:noWrap/>
            <w:hideMark/>
          </w:tcPr>
          <w:p w14:paraId="6DF69120"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0-2-year-olds</w:t>
            </w:r>
          </w:p>
        </w:tc>
        <w:tc>
          <w:tcPr>
            <w:tcW w:w="1980" w:type="dxa"/>
            <w:hideMark/>
          </w:tcPr>
          <w:p w14:paraId="272A596F"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Mixed-methods systematic review</w:t>
            </w:r>
          </w:p>
        </w:tc>
        <w:tc>
          <w:tcPr>
            <w:tcW w:w="2070" w:type="dxa"/>
            <w:noWrap/>
            <w:hideMark/>
          </w:tcPr>
          <w:p w14:paraId="1EB5C4E1"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24CBEE0F" w14:textId="77777777" w:rsidTr="00057600">
        <w:trPr>
          <w:trHeight w:val="2320"/>
        </w:trPr>
        <w:tc>
          <w:tcPr>
            <w:tcW w:w="1530" w:type="dxa"/>
            <w:noWrap/>
            <w:hideMark/>
          </w:tcPr>
          <w:p w14:paraId="693BF2C8" w14:textId="77777777" w:rsidR="00B548E1" w:rsidRPr="003C70EE" w:rsidRDefault="00B548E1" w:rsidP="00057600">
            <w:pPr>
              <w:spacing w:line="240" w:lineRule="auto"/>
              <w:rPr>
                <w:rFonts w:ascii="Arial" w:eastAsia="Times New Roman" w:hAnsi="Arial" w:cs="Arial"/>
                <w:kern w:val="0"/>
                <w:sz w:val="16"/>
                <w:szCs w:val="16"/>
                <w:lang w:val="fr-FR" w:eastAsia="en-ZA"/>
                <w14:ligatures w14:val="none"/>
              </w:rPr>
            </w:pPr>
            <w:r w:rsidRPr="008514A5">
              <w:rPr>
                <w:rFonts w:ascii="Arial" w:eastAsia="Times New Roman" w:hAnsi="Arial" w:cs="Arial"/>
                <w:kern w:val="0"/>
                <w:sz w:val="16"/>
                <w:szCs w:val="16"/>
                <w:lang w:val="fr-FR" w:eastAsia="en-ZA"/>
                <w14:ligatures w14:val="none"/>
              </w:rPr>
              <w:t>Russell, C.G. et al.</w:t>
            </w:r>
          </w:p>
        </w:tc>
        <w:tc>
          <w:tcPr>
            <w:tcW w:w="1194" w:type="dxa"/>
            <w:noWrap/>
            <w:hideMark/>
          </w:tcPr>
          <w:p w14:paraId="3BDDC02B"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2018</w:t>
            </w:r>
          </w:p>
        </w:tc>
        <w:tc>
          <w:tcPr>
            <w:tcW w:w="3036" w:type="dxa"/>
            <w:hideMark/>
          </w:tcPr>
          <w:p w14:paraId="4521FF79"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Impact of the Growing Healthy mHealth Program on Maternal Feeding Practices, Infant Food Preferences, and Satiety Responsiveness: Quasi-Experimental Study</w:t>
            </w:r>
          </w:p>
        </w:tc>
        <w:tc>
          <w:tcPr>
            <w:tcW w:w="1530" w:type="dxa"/>
            <w:hideMark/>
          </w:tcPr>
          <w:p w14:paraId="4452943B"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New South Wales and Victoria, Australia</w:t>
            </w:r>
          </w:p>
        </w:tc>
        <w:tc>
          <w:tcPr>
            <w:tcW w:w="2206" w:type="dxa"/>
            <w:hideMark/>
          </w:tcPr>
          <w:p w14:paraId="2F0D7C04"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A total of 645 parents at Time 1, reducing to a sample size of 546 at Time 2 and a sample size of 518 at Time 3. Pregnant (30+ weeks gestation) or parent/caregiver of an infant aged under 3 months</w:t>
            </w:r>
          </w:p>
        </w:tc>
        <w:tc>
          <w:tcPr>
            <w:tcW w:w="1394" w:type="dxa"/>
            <w:hideMark/>
          </w:tcPr>
          <w:p w14:paraId="335B8477"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Target: infants under 3 months at baseline</w:t>
            </w:r>
          </w:p>
        </w:tc>
        <w:tc>
          <w:tcPr>
            <w:tcW w:w="1980" w:type="dxa"/>
            <w:hideMark/>
          </w:tcPr>
          <w:p w14:paraId="58F588FE"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Quasiexperimental study</w:t>
            </w:r>
          </w:p>
        </w:tc>
        <w:tc>
          <w:tcPr>
            <w:tcW w:w="2070" w:type="dxa"/>
            <w:noWrap/>
            <w:hideMark/>
          </w:tcPr>
          <w:p w14:paraId="5E956837"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0D37108C" w14:textId="77777777" w:rsidTr="00057600">
        <w:trPr>
          <w:trHeight w:val="1400"/>
        </w:trPr>
        <w:tc>
          <w:tcPr>
            <w:tcW w:w="1530" w:type="dxa"/>
            <w:noWrap/>
            <w:hideMark/>
          </w:tcPr>
          <w:p w14:paraId="3E787464"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Sutherland, R. et al.</w:t>
            </w:r>
          </w:p>
        </w:tc>
        <w:tc>
          <w:tcPr>
            <w:tcW w:w="1194" w:type="dxa"/>
            <w:noWrap/>
            <w:hideMark/>
          </w:tcPr>
          <w:p w14:paraId="2E15E9FC"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2021</w:t>
            </w:r>
          </w:p>
        </w:tc>
        <w:tc>
          <w:tcPr>
            <w:tcW w:w="3036" w:type="dxa"/>
            <w:hideMark/>
          </w:tcPr>
          <w:p w14:paraId="19BE313B"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A Multicomponent mHealth-Based Intervention (SWAP IT) to Decrease the Consumption of Discretionary Foods Packed in School Lunchboxes: Type I Effectiveness-Implementation Hybrid Cluster Randomized Controlled Trial</w:t>
            </w:r>
          </w:p>
        </w:tc>
        <w:tc>
          <w:tcPr>
            <w:tcW w:w="1530" w:type="dxa"/>
            <w:hideMark/>
          </w:tcPr>
          <w:p w14:paraId="30735F41"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New South Wales, Australia</w:t>
            </w:r>
          </w:p>
        </w:tc>
        <w:tc>
          <w:tcPr>
            <w:tcW w:w="2206" w:type="dxa"/>
            <w:hideMark/>
          </w:tcPr>
          <w:p w14:paraId="551A0AA4"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Parents with a child enrolled in classes from kindergarten to year 6 (5-12 years)</w:t>
            </w:r>
          </w:p>
        </w:tc>
        <w:tc>
          <w:tcPr>
            <w:tcW w:w="1394" w:type="dxa"/>
            <w:noWrap/>
            <w:hideMark/>
          </w:tcPr>
          <w:p w14:paraId="63172119"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5-12 years</w:t>
            </w:r>
          </w:p>
        </w:tc>
        <w:tc>
          <w:tcPr>
            <w:tcW w:w="1980" w:type="dxa"/>
            <w:hideMark/>
          </w:tcPr>
          <w:p w14:paraId="095DAF07"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Effectiveness -implementation hybrid cluster randomized controlled trial</w:t>
            </w:r>
          </w:p>
        </w:tc>
        <w:tc>
          <w:tcPr>
            <w:tcW w:w="2070" w:type="dxa"/>
            <w:noWrap/>
            <w:hideMark/>
          </w:tcPr>
          <w:p w14:paraId="6A104514"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7579188A" w14:textId="77777777" w:rsidTr="00057600">
        <w:trPr>
          <w:trHeight w:val="840"/>
        </w:trPr>
        <w:tc>
          <w:tcPr>
            <w:tcW w:w="1530" w:type="dxa"/>
            <w:hideMark/>
          </w:tcPr>
          <w:p w14:paraId="14827D24"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Thomson, G. and Crossland, N.</w:t>
            </w:r>
          </w:p>
        </w:tc>
        <w:tc>
          <w:tcPr>
            <w:tcW w:w="1194" w:type="dxa"/>
            <w:noWrap/>
            <w:hideMark/>
          </w:tcPr>
          <w:p w14:paraId="6D077CFB"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2019</w:t>
            </w:r>
          </w:p>
        </w:tc>
        <w:tc>
          <w:tcPr>
            <w:tcW w:w="3036" w:type="dxa"/>
            <w:hideMark/>
          </w:tcPr>
          <w:p w14:paraId="53529E25"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Using the behavior change wheel to explore infant feeding peer support provision; insights from a North West UK evaluation</w:t>
            </w:r>
          </w:p>
        </w:tc>
        <w:tc>
          <w:tcPr>
            <w:tcW w:w="1530" w:type="dxa"/>
            <w:hideMark/>
          </w:tcPr>
          <w:p w14:paraId="2389E01D"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North West, United Kingdom</w:t>
            </w:r>
          </w:p>
        </w:tc>
        <w:tc>
          <w:tcPr>
            <w:tcW w:w="2206" w:type="dxa"/>
            <w:hideMark/>
          </w:tcPr>
          <w:p w14:paraId="7B6776DF"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23 interviews (n = 14 - individual; n = 9 - group) and 409 completed surveys</w:t>
            </w:r>
          </w:p>
        </w:tc>
        <w:tc>
          <w:tcPr>
            <w:tcW w:w="1394" w:type="dxa"/>
            <w:hideMark/>
          </w:tcPr>
          <w:p w14:paraId="4B484E02"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No age specified but intervention benefits infants</w:t>
            </w:r>
          </w:p>
        </w:tc>
        <w:tc>
          <w:tcPr>
            <w:tcW w:w="1980" w:type="dxa"/>
            <w:hideMark/>
          </w:tcPr>
          <w:p w14:paraId="2FE58C74"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Mixed methods evaluation</w:t>
            </w:r>
          </w:p>
        </w:tc>
        <w:tc>
          <w:tcPr>
            <w:tcW w:w="2070" w:type="dxa"/>
            <w:noWrap/>
            <w:hideMark/>
          </w:tcPr>
          <w:p w14:paraId="1449FCEF"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r w:rsidR="00B548E1" w14:paraId="7DCF04C9" w14:textId="77777777" w:rsidTr="00057600">
        <w:trPr>
          <w:trHeight w:val="2627"/>
        </w:trPr>
        <w:tc>
          <w:tcPr>
            <w:tcW w:w="1530" w:type="dxa"/>
            <w:noWrap/>
            <w:hideMark/>
          </w:tcPr>
          <w:p w14:paraId="41AF5D6B"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lastRenderedPageBreak/>
              <w:t>Toomey, E. et al.</w:t>
            </w:r>
          </w:p>
        </w:tc>
        <w:tc>
          <w:tcPr>
            <w:tcW w:w="1194" w:type="dxa"/>
            <w:noWrap/>
            <w:hideMark/>
          </w:tcPr>
          <w:p w14:paraId="7F9FB24D"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2020</w:t>
            </w:r>
          </w:p>
        </w:tc>
        <w:tc>
          <w:tcPr>
            <w:tcW w:w="3036" w:type="dxa"/>
            <w:hideMark/>
          </w:tcPr>
          <w:p w14:paraId="2C882B69"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A collaborative approach to developing sustainable behavior change interventions for childhood obesity prevention: Development of the Choosing Healthy Eating for Infant Health (CHErIsH) intervention and implementation strategy</w:t>
            </w:r>
          </w:p>
        </w:tc>
        <w:tc>
          <w:tcPr>
            <w:tcW w:w="1530" w:type="dxa"/>
            <w:noWrap/>
            <w:hideMark/>
          </w:tcPr>
          <w:p w14:paraId="7EF6234C"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Ireland</w:t>
            </w:r>
          </w:p>
        </w:tc>
        <w:tc>
          <w:tcPr>
            <w:tcW w:w="2206" w:type="dxa"/>
            <w:hideMark/>
          </w:tcPr>
          <w:p w14:paraId="43B517BD"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Five (5) evidence syntheses and two primary qualitative studies with Health Care Professionals (HCPs) and parents, formal and informal consultations with policy, practice, and researcher stakeholders</w:t>
            </w:r>
          </w:p>
        </w:tc>
        <w:tc>
          <w:tcPr>
            <w:tcW w:w="1394" w:type="dxa"/>
            <w:hideMark/>
          </w:tcPr>
          <w:p w14:paraId="155C94B1"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Parents of infants aged ≤6 weeks</w:t>
            </w:r>
          </w:p>
        </w:tc>
        <w:tc>
          <w:tcPr>
            <w:tcW w:w="1980" w:type="dxa"/>
            <w:hideMark/>
          </w:tcPr>
          <w:p w14:paraId="1BC0F46A"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Systematic review, qualitative evidence synthesis, and qualitative focus groups</w:t>
            </w:r>
          </w:p>
        </w:tc>
        <w:tc>
          <w:tcPr>
            <w:tcW w:w="2070" w:type="dxa"/>
            <w:noWrap/>
            <w:hideMark/>
          </w:tcPr>
          <w:p w14:paraId="546D3D21" w14:textId="77777777" w:rsidR="00B548E1" w:rsidRPr="003169AF" w:rsidRDefault="00B548E1" w:rsidP="00057600">
            <w:pPr>
              <w:spacing w:line="240" w:lineRule="auto"/>
              <w:rPr>
                <w:rFonts w:ascii="Arial" w:eastAsia="Times New Roman" w:hAnsi="Arial" w:cs="Arial"/>
                <w:kern w:val="0"/>
                <w:sz w:val="16"/>
                <w:szCs w:val="16"/>
                <w:lang w:eastAsia="en-ZA"/>
                <w14:ligatures w14:val="none"/>
              </w:rPr>
            </w:pPr>
            <w:r w:rsidRPr="003169AF">
              <w:rPr>
                <w:rFonts w:ascii="Arial" w:eastAsia="Times New Roman" w:hAnsi="Arial" w:cs="Arial"/>
                <w:kern w:val="0"/>
                <w:sz w:val="16"/>
                <w:szCs w:val="16"/>
                <w:lang w:eastAsia="en-ZA"/>
                <w14:ligatures w14:val="none"/>
              </w:rPr>
              <w:t>Stable context</w:t>
            </w:r>
          </w:p>
        </w:tc>
      </w:tr>
    </w:tbl>
    <w:p w14:paraId="09F77F25" w14:textId="77777777" w:rsidR="00B548E1" w:rsidRPr="003169AF" w:rsidRDefault="00B548E1" w:rsidP="00B548E1">
      <w:pPr>
        <w:spacing w:after="0" w:line="240" w:lineRule="auto"/>
        <w:jc w:val="both"/>
        <w:rPr>
          <w:rFonts w:ascii="Arial" w:hAnsi="Arial" w:cs="Arial"/>
          <w:b/>
          <w:bCs/>
          <w:sz w:val="24"/>
          <w:szCs w:val="24"/>
        </w:rPr>
        <w:sectPr w:rsidR="00B548E1" w:rsidRPr="003169AF" w:rsidSect="00B548E1">
          <w:pgSz w:w="16838" w:h="11906" w:orient="landscape"/>
          <w:pgMar w:top="1440" w:right="1440" w:bottom="1440" w:left="1440" w:header="708" w:footer="708" w:gutter="0"/>
          <w:cols w:space="708"/>
          <w:docGrid w:linePitch="360"/>
        </w:sectPr>
      </w:pPr>
    </w:p>
    <w:p w14:paraId="76D5661C" w14:textId="77777777" w:rsidR="00B548E1" w:rsidRPr="003169AF" w:rsidRDefault="00B548E1" w:rsidP="00B548E1">
      <w:pPr>
        <w:pStyle w:val="Heading2"/>
        <w:spacing w:line="240" w:lineRule="auto"/>
        <w:rPr>
          <w:rFonts w:ascii="Arial" w:hAnsi="Arial" w:cs="Arial"/>
          <w:b/>
          <w:bCs/>
          <w:color w:val="auto"/>
          <w:sz w:val="24"/>
          <w:szCs w:val="24"/>
        </w:rPr>
      </w:pPr>
      <w:r w:rsidRPr="003169AF">
        <w:rPr>
          <w:rFonts w:ascii="Arial" w:hAnsi="Arial" w:cs="Arial"/>
          <w:b/>
          <w:bCs/>
          <w:color w:val="auto"/>
          <w:sz w:val="24"/>
          <w:szCs w:val="24"/>
        </w:rPr>
        <w:lastRenderedPageBreak/>
        <w:t>Annex 6.</w:t>
      </w:r>
      <w:bookmarkStart w:id="6" w:name="_Toc185280925"/>
      <w:r w:rsidRPr="003169AF">
        <w:rPr>
          <w:rFonts w:ascii="Arial" w:hAnsi="Arial" w:cs="Arial"/>
          <w:b/>
          <w:bCs/>
          <w:color w:val="auto"/>
          <w:sz w:val="24"/>
          <w:szCs w:val="24"/>
        </w:rPr>
        <w:t xml:space="preserve"> Foci and t</w:t>
      </w:r>
      <w:bookmarkEnd w:id="6"/>
      <w:r w:rsidRPr="003169AF">
        <w:rPr>
          <w:rFonts w:ascii="Arial" w:eastAsia="Times New Roman" w:hAnsi="Arial" w:cs="Arial"/>
          <w:b/>
          <w:bCs/>
          <w:color w:val="auto"/>
          <w:sz w:val="24"/>
          <w:szCs w:val="24"/>
        </w:rPr>
        <w:t xml:space="preserve">ypes of interventions using BCW and their theoretical </w:t>
      </w:r>
      <w:r>
        <w:rPr>
          <w:rFonts w:ascii="Arial" w:eastAsia="Times New Roman" w:hAnsi="Arial" w:cs="Arial"/>
          <w:b/>
          <w:bCs/>
          <w:color w:val="auto"/>
          <w:sz w:val="24"/>
          <w:szCs w:val="24"/>
        </w:rPr>
        <w:t>rationales</w:t>
      </w:r>
    </w:p>
    <w:tbl>
      <w:tblPr>
        <w:tblW w:w="15115" w:type="dxa"/>
        <w:tblLook w:val="04A0" w:firstRow="1" w:lastRow="0" w:firstColumn="1" w:lastColumn="0" w:noHBand="0" w:noVBand="1"/>
      </w:tblPr>
      <w:tblGrid>
        <w:gridCol w:w="418"/>
        <w:gridCol w:w="1139"/>
        <w:gridCol w:w="1207"/>
        <w:gridCol w:w="1176"/>
        <w:gridCol w:w="1176"/>
        <w:gridCol w:w="1322"/>
        <w:gridCol w:w="1457"/>
        <w:gridCol w:w="1678"/>
        <w:gridCol w:w="1367"/>
        <w:gridCol w:w="1389"/>
        <w:gridCol w:w="1346"/>
        <w:gridCol w:w="1440"/>
      </w:tblGrid>
      <w:tr w:rsidR="00B548E1" w14:paraId="5F79B0C1" w14:textId="77777777" w:rsidTr="00057600">
        <w:trPr>
          <w:trHeight w:val="460"/>
          <w:tblHeader/>
        </w:trPr>
        <w:tc>
          <w:tcPr>
            <w:tcW w:w="418"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3BB3ECC" w14:textId="77777777" w:rsidR="00B548E1" w:rsidRPr="003169AF" w:rsidRDefault="00B548E1" w:rsidP="00057600">
            <w:pPr>
              <w:spacing w:after="0" w:line="240" w:lineRule="auto"/>
              <w:jc w:val="center"/>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w:t>
            </w:r>
          </w:p>
        </w:tc>
        <w:tc>
          <w:tcPr>
            <w:tcW w:w="1139"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1651769" w14:textId="77777777" w:rsidR="00B548E1" w:rsidRPr="003169AF" w:rsidRDefault="00B548E1" w:rsidP="00057600">
            <w:pPr>
              <w:spacing w:after="0" w:line="240" w:lineRule="auto"/>
              <w:jc w:val="center"/>
              <w:rPr>
                <w:rFonts w:ascii="Arial" w:eastAsia="Times New Roman" w:hAnsi="Arial" w:cs="Arial"/>
                <w:b/>
                <w:bCs/>
                <w:color w:val="000000"/>
                <w:kern w:val="0"/>
                <w:sz w:val="14"/>
                <w:szCs w:val="14"/>
                <w:lang w:eastAsia="en-GB"/>
                <w14:ligatures w14:val="none"/>
              </w:rPr>
            </w:pPr>
            <w:r w:rsidRPr="003169AF">
              <w:rPr>
                <w:rFonts w:ascii="Arial" w:eastAsia="Times New Roman" w:hAnsi="Arial" w:cs="Arial"/>
                <w:b/>
                <w:bCs/>
                <w:color w:val="000000"/>
                <w:kern w:val="0"/>
                <w:sz w:val="14"/>
                <w:szCs w:val="14"/>
                <w:lang w:eastAsia="en-GB"/>
                <w14:ligatures w14:val="none"/>
              </w:rPr>
              <w:t>Authors of the article and year of publication</w:t>
            </w:r>
          </w:p>
        </w:tc>
        <w:tc>
          <w:tcPr>
            <w:tcW w:w="1207"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E40085C" w14:textId="77777777" w:rsidR="00B548E1" w:rsidRPr="003169AF" w:rsidRDefault="00B548E1" w:rsidP="00057600">
            <w:pPr>
              <w:spacing w:after="0" w:line="240" w:lineRule="auto"/>
              <w:jc w:val="center"/>
              <w:rPr>
                <w:rFonts w:ascii="Arial" w:eastAsia="Times New Roman" w:hAnsi="Arial" w:cs="Arial"/>
                <w:b/>
                <w:bCs/>
                <w:color w:val="000000"/>
                <w:kern w:val="0"/>
                <w:sz w:val="14"/>
                <w:szCs w:val="14"/>
                <w:lang w:eastAsia="en-GB"/>
                <w14:ligatures w14:val="none"/>
              </w:rPr>
            </w:pPr>
            <w:r w:rsidRPr="003169AF">
              <w:rPr>
                <w:rFonts w:ascii="Arial" w:eastAsia="Times New Roman" w:hAnsi="Arial" w:cs="Arial"/>
                <w:b/>
                <w:bCs/>
                <w:color w:val="000000"/>
                <w:kern w:val="0"/>
                <w:sz w:val="14"/>
                <w:szCs w:val="14"/>
                <w:lang w:eastAsia="en-GB"/>
                <w14:ligatures w14:val="none"/>
              </w:rPr>
              <w:t>Summary of Key Findings: nutrition outcomes</w:t>
            </w:r>
          </w:p>
        </w:tc>
        <w:tc>
          <w:tcPr>
            <w:tcW w:w="1176"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98D9CF3" w14:textId="77777777" w:rsidR="00B548E1" w:rsidRPr="003169AF" w:rsidRDefault="00B548E1" w:rsidP="00057600">
            <w:pPr>
              <w:spacing w:after="0" w:line="240" w:lineRule="auto"/>
              <w:jc w:val="center"/>
              <w:rPr>
                <w:rFonts w:ascii="Arial" w:eastAsia="Times New Roman" w:hAnsi="Arial" w:cs="Arial"/>
                <w:b/>
                <w:bCs/>
                <w:color w:val="000000"/>
                <w:kern w:val="0"/>
                <w:sz w:val="14"/>
                <w:szCs w:val="14"/>
                <w:lang w:eastAsia="en-GB"/>
                <w14:ligatures w14:val="none"/>
              </w:rPr>
            </w:pPr>
            <w:r w:rsidRPr="003169AF">
              <w:rPr>
                <w:rFonts w:ascii="Arial" w:eastAsia="Times New Roman" w:hAnsi="Arial" w:cs="Arial"/>
                <w:b/>
                <w:bCs/>
                <w:color w:val="000000"/>
                <w:kern w:val="0"/>
                <w:sz w:val="14"/>
                <w:szCs w:val="14"/>
                <w:lang w:eastAsia="en-GB"/>
                <w14:ligatures w14:val="none"/>
              </w:rPr>
              <w:t>Number of Supporting Sources (n=22)</w:t>
            </w:r>
          </w:p>
        </w:tc>
        <w:tc>
          <w:tcPr>
            <w:tcW w:w="1176"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8CABC7E" w14:textId="77777777" w:rsidR="00B548E1" w:rsidRPr="003169AF" w:rsidRDefault="00B548E1" w:rsidP="00057600">
            <w:pPr>
              <w:spacing w:after="0" w:line="240" w:lineRule="auto"/>
              <w:jc w:val="center"/>
              <w:rPr>
                <w:rFonts w:ascii="Arial" w:eastAsia="Times New Roman" w:hAnsi="Arial" w:cs="Arial"/>
                <w:b/>
                <w:bCs/>
                <w:color w:val="000000"/>
                <w:kern w:val="0"/>
                <w:sz w:val="14"/>
                <w:szCs w:val="14"/>
                <w:lang w:eastAsia="en-GB"/>
                <w14:ligatures w14:val="none"/>
              </w:rPr>
            </w:pPr>
            <w:r w:rsidRPr="003169AF">
              <w:rPr>
                <w:rFonts w:ascii="Arial" w:eastAsia="Times New Roman" w:hAnsi="Arial" w:cs="Arial"/>
                <w:b/>
                <w:bCs/>
                <w:color w:val="000000"/>
                <w:kern w:val="0"/>
                <w:sz w:val="14"/>
                <w:szCs w:val="14"/>
                <w:lang w:eastAsia="en-GB"/>
                <w14:ligatures w14:val="none"/>
              </w:rPr>
              <w:t>Proportion of Supporting Sources (%) (n=22)</w:t>
            </w:r>
          </w:p>
        </w:tc>
        <w:tc>
          <w:tcPr>
            <w:tcW w:w="1322"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4ADF9AD" w14:textId="77777777" w:rsidR="00B548E1" w:rsidRPr="003169AF" w:rsidRDefault="00B548E1" w:rsidP="00057600">
            <w:pPr>
              <w:spacing w:after="0" w:line="240" w:lineRule="auto"/>
              <w:rPr>
                <w:rFonts w:ascii="Arial" w:eastAsia="Times New Roman" w:hAnsi="Arial" w:cs="Arial"/>
                <w:b/>
                <w:bCs/>
                <w:kern w:val="0"/>
                <w:sz w:val="14"/>
                <w:szCs w:val="14"/>
                <w:lang w:eastAsia="en-GB"/>
                <w14:ligatures w14:val="none"/>
              </w:rPr>
            </w:pPr>
            <w:r w:rsidRPr="003169AF">
              <w:rPr>
                <w:rFonts w:ascii="Arial" w:eastAsia="Times New Roman" w:hAnsi="Arial" w:cs="Arial"/>
                <w:b/>
                <w:bCs/>
                <w:kern w:val="0"/>
                <w:sz w:val="14"/>
                <w:szCs w:val="14"/>
                <w:lang w:eastAsia="en-GB"/>
                <w14:ligatures w14:val="none"/>
              </w:rPr>
              <w:t>Types of nutrition interventions for children</w:t>
            </w:r>
          </w:p>
        </w:tc>
        <w:tc>
          <w:tcPr>
            <w:tcW w:w="4502" w:type="dxa"/>
            <w:gridSpan w:val="3"/>
            <w:tcBorders>
              <w:top w:val="single" w:sz="4" w:space="0" w:color="auto"/>
              <w:left w:val="nil"/>
              <w:bottom w:val="single" w:sz="4" w:space="0" w:color="auto"/>
              <w:right w:val="single" w:sz="4" w:space="0" w:color="auto"/>
            </w:tcBorders>
            <w:shd w:val="clear" w:color="auto" w:fill="D9D9D9" w:themeFill="background1" w:themeFillShade="D9"/>
            <w:hideMark/>
          </w:tcPr>
          <w:p w14:paraId="11503BC4" w14:textId="77777777" w:rsidR="00B548E1" w:rsidRPr="003169AF" w:rsidRDefault="00B548E1" w:rsidP="00057600">
            <w:pPr>
              <w:spacing w:after="0" w:line="240" w:lineRule="auto"/>
              <w:jc w:val="center"/>
              <w:rPr>
                <w:rFonts w:ascii="Arial" w:eastAsia="Times New Roman" w:hAnsi="Arial" w:cs="Arial"/>
                <w:b/>
                <w:bCs/>
                <w:color w:val="000000"/>
                <w:kern w:val="0"/>
                <w:sz w:val="14"/>
                <w:szCs w:val="14"/>
                <w:lang w:eastAsia="en-GB"/>
                <w14:ligatures w14:val="none"/>
              </w:rPr>
            </w:pPr>
            <w:r w:rsidRPr="003169AF">
              <w:rPr>
                <w:rFonts w:ascii="Arial" w:eastAsia="Times New Roman" w:hAnsi="Arial" w:cs="Arial"/>
                <w:b/>
                <w:bCs/>
                <w:color w:val="000000"/>
                <w:kern w:val="0"/>
                <w:sz w:val="14"/>
                <w:szCs w:val="14"/>
                <w:lang w:eastAsia="en-GB"/>
                <w14:ligatures w14:val="none"/>
              </w:rPr>
              <w:t>Mention of BCW and/or COM-B</w:t>
            </w:r>
          </w:p>
        </w:tc>
        <w:tc>
          <w:tcPr>
            <w:tcW w:w="1389"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E11807B" w14:textId="77777777" w:rsidR="00B548E1" w:rsidRPr="003169AF" w:rsidRDefault="00B548E1" w:rsidP="00057600">
            <w:pPr>
              <w:spacing w:after="0" w:line="240" w:lineRule="auto"/>
              <w:rPr>
                <w:rFonts w:ascii="Arial" w:eastAsia="Times New Roman" w:hAnsi="Arial" w:cs="Arial"/>
                <w:b/>
                <w:bCs/>
                <w:color w:val="000000"/>
                <w:kern w:val="0"/>
                <w:sz w:val="14"/>
                <w:szCs w:val="14"/>
                <w:lang w:eastAsia="en-GB"/>
                <w14:ligatures w14:val="none"/>
              </w:rPr>
            </w:pPr>
            <w:r w:rsidRPr="003169AF">
              <w:rPr>
                <w:rFonts w:ascii="Arial" w:eastAsia="Times New Roman" w:hAnsi="Arial" w:cs="Arial"/>
                <w:b/>
                <w:bCs/>
                <w:color w:val="000000"/>
                <w:kern w:val="0"/>
                <w:sz w:val="14"/>
                <w:szCs w:val="14"/>
                <w:lang w:eastAsia="en-GB"/>
                <w14:ligatures w14:val="none"/>
              </w:rPr>
              <w:t>Theoretical justification for use of, or alignment with, BCW and COM-B model or other theories</w:t>
            </w:r>
          </w:p>
        </w:tc>
        <w:tc>
          <w:tcPr>
            <w:tcW w:w="1346"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07AC3F5" w14:textId="77777777" w:rsidR="00B548E1" w:rsidRPr="003169AF" w:rsidRDefault="00B548E1" w:rsidP="00057600">
            <w:pPr>
              <w:spacing w:after="0" w:line="240" w:lineRule="auto"/>
              <w:rPr>
                <w:rFonts w:ascii="Arial" w:eastAsia="Times New Roman" w:hAnsi="Arial" w:cs="Arial"/>
                <w:b/>
                <w:bCs/>
                <w:color w:val="000000"/>
                <w:kern w:val="0"/>
                <w:sz w:val="14"/>
                <w:szCs w:val="14"/>
                <w:lang w:eastAsia="en-GB"/>
                <w14:ligatures w14:val="none"/>
              </w:rPr>
            </w:pPr>
            <w:r w:rsidRPr="003169AF">
              <w:rPr>
                <w:rFonts w:ascii="Arial" w:eastAsia="Times New Roman" w:hAnsi="Arial" w:cs="Arial"/>
                <w:b/>
                <w:bCs/>
                <w:color w:val="000000"/>
                <w:kern w:val="0"/>
                <w:sz w:val="14"/>
                <w:szCs w:val="14"/>
                <w:lang w:eastAsia="en-GB"/>
                <w14:ligatures w14:val="none"/>
              </w:rPr>
              <w:t>Theoretical strengths</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0BC363D" w14:textId="77777777" w:rsidR="00B548E1" w:rsidRPr="003169AF" w:rsidRDefault="00B548E1" w:rsidP="00057600">
            <w:pPr>
              <w:spacing w:after="0" w:line="240" w:lineRule="auto"/>
              <w:rPr>
                <w:rFonts w:ascii="Arial" w:eastAsia="Times New Roman" w:hAnsi="Arial" w:cs="Arial"/>
                <w:b/>
                <w:bCs/>
                <w:color w:val="000000"/>
                <w:kern w:val="0"/>
                <w:sz w:val="14"/>
                <w:szCs w:val="14"/>
                <w:lang w:eastAsia="en-GB"/>
                <w14:ligatures w14:val="none"/>
              </w:rPr>
            </w:pPr>
            <w:r w:rsidRPr="003169AF">
              <w:rPr>
                <w:rFonts w:ascii="Arial" w:eastAsia="Times New Roman" w:hAnsi="Arial" w:cs="Arial"/>
                <w:b/>
                <w:bCs/>
                <w:color w:val="000000"/>
                <w:kern w:val="0"/>
                <w:sz w:val="14"/>
                <w:szCs w:val="14"/>
                <w:lang w:eastAsia="en-GB"/>
                <w14:ligatures w14:val="none"/>
              </w:rPr>
              <w:t>Theoretical gaps</w:t>
            </w:r>
          </w:p>
        </w:tc>
      </w:tr>
      <w:tr w:rsidR="00B548E1" w14:paraId="3428EB03" w14:textId="77777777" w:rsidTr="00057600">
        <w:trPr>
          <w:trHeight w:val="440"/>
          <w:tblHeader/>
        </w:trPr>
        <w:tc>
          <w:tcPr>
            <w:tcW w:w="418"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A7EB9D9"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39"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AAC9C96" w14:textId="77777777" w:rsidR="00B548E1" w:rsidRPr="003169AF" w:rsidRDefault="00B548E1" w:rsidP="00057600">
            <w:pPr>
              <w:spacing w:after="0" w:line="240" w:lineRule="auto"/>
              <w:rPr>
                <w:rFonts w:ascii="Arial" w:eastAsia="Times New Roman" w:hAnsi="Arial" w:cs="Arial"/>
                <w:b/>
                <w:bCs/>
                <w:color w:val="000000"/>
                <w:kern w:val="0"/>
                <w:sz w:val="14"/>
                <w:szCs w:val="14"/>
                <w:lang w:eastAsia="en-GB"/>
                <w14:ligatures w14:val="none"/>
              </w:rPr>
            </w:pPr>
          </w:p>
        </w:tc>
        <w:tc>
          <w:tcPr>
            <w:tcW w:w="1207"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B000FC4" w14:textId="77777777" w:rsidR="00B548E1" w:rsidRPr="003169AF" w:rsidRDefault="00B548E1" w:rsidP="00057600">
            <w:pPr>
              <w:spacing w:after="0" w:line="240" w:lineRule="auto"/>
              <w:rPr>
                <w:rFonts w:ascii="Arial" w:eastAsia="Times New Roman" w:hAnsi="Arial" w:cs="Arial"/>
                <w:b/>
                <w:bCs/>
                <w:color w:val="000000"/>
                <w:kern w:val="0"/>
                <w:sz w:val="14"/>
                <w:szCs w:val="14"/>
                <w:lang w:eastAsia="en-GB"/>
                <w14:ligatures w14:val="none"/>
              </w:rPr>
            </w:pPr>
          </w:p>
        </w:tc>
        <w:tc>
          <w:tcPr>
            <w:tcW w:w="1176"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C69B3E9" w14:textId="77777777" w:rsidR="00B548E1" w:rsidRPr="003169AF" w:rsidRDefault="00B548E1" w:rsidP="00057600">
            <w:pPr>
              <w:spacing w:after="0" w:line="240" w:lineRule="auto"/>
              <w:rPr>
                <w:rFonts w:ascii="Arial" w:eastAsia="Times New Roman" w:hAnsi="Arial" w:cs="Arial"/>
                <w:b/>
                <w:bCs/>
                <w:color w:val="000000"/>
                <w:kern w:val="0"/>
                <w:sz w:val="14"/>
                <w:szCs w:val="14"/>
                <w:lang w:eastAsia="en-GB"/>
                <w14:ligatures w14:val="none"/>
              </w:rPr>
            </w:pPr>
          </w:p>
        </w:tc>
        <w:tc>
          <w:tcPr>
            <w:tcW w:w="1176"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E27C616" w14:textId="77777777" w:rsidR="00B548E1" w:rsidRPr="003169AF" w:rsidRDefault="00B548E1" w:rsidP="00057600">
            <w:pPr>
              <w:spacing w:after="0" w:line="240" w:lineRule="auto"/>
              <w:rPr>
                <w:rFonts w:ascii="Arial" w:eastAsia="Times New Roman" w:hAnsi="Arial" w:cs="Arial"/>
                <w:b/>
                <w:bCs/>
                <w:color w:val="000000"/>
                <w:kern w:val="0"/>
                <w:sz w:val="14"/>
                <w:szCs w:val="14"/>
                <w:lang w:eastAsia="en-GB"/>
                <w14:ligatures w14:val="none"/>
              </w:rPr>
            </w:pPr>
          </w:p>
        </w:tc>
        <w:tc>
          <w:tcPr>
            <w:tcW w:w="1322"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6E72F09" w14:textId="77777777" w:rsidR="00B548E1" w:rsidRPr="003169AF" w:rsidRDefault="00B548E1" w:rsidP="00057600">
            <w:pPr>
              <w:spacing w:after="0" w:line="240" w:lineRule="auto"/>
              <w:rPr>
                <w:rFonts w:ascii="Arial" w:eastAsia="Times New Roman" w:hAnsi="Arial" w:cs="Arial"/>
                <w:b/>
                <w:bCs/>
                <w:kern w:val="0"/>
                <w:sz w:val="14"/>
                <w:szCs w:val="14"/>
                <w:lang w:eastAsia="en-GB"/>
                <w14:ligatures w14:val="none"/>
              </w:rPr>
            </w:pPr>
          </w:p>
        </w:tc>
        <w:tc>
          <w:tcPr>
            <w:tcW w:w="1457" w:type="dxa"/>
            <w:tcBorders>
              <w:top w:val="nil"/>
              <w:left w:val="nil"/>
              <w:bottom w:val="single" w:sz="4" w:space="0" w:color="auto"/>
              <w:right w:val="single" w:sz="4" w:space="0" w:color="auto"/>
            </w:tcBorders>
            <w:shd w:val="clear" w:color="auto" w:fill="D9D9D9" w:themeFill="background1" w:themeFillShade="D9"/>
            <w:hideMark/>
          </w:tcPr>
          <w:p w14:paraId="6E041541" w14:textId="77777777" w:rsidR="00B548E1" w:rsidRPr="003169AF" w:rsidRDefault="00B548E1" w:rsidP="00057600">
            <w:pPr>
              <w:spacing w:after="0" w:line="240" w:lineRule="auto"/>
              <w:rPr>
                <w:rFonts w:ascii="Arial" w:eastAsia="Times New Roman" w:hAnsi="Arial" w:cs="Arial"/>
                <w:b/>
                <w:bCs/>
                <w:color w:val="000000"/>
                <w:kern w:val="0"/>
                <w:sz w:val="14"/>
                <w:szCs w:val="14"/>
                <w:lang w:eastAsia="en-GB"/>
                <w14:ligatures w14:val="none"/>
              </w:rPr>
            </w:pPr>
            <w:r w:rsidRPr="003169AF">
              <w:rPr>
                <w:rFonts w:ascii="Arial" w:eastAsia="Times New Roman" w:hAnsi="Arial" w:cs="Arial"/>
                <w:b/>
                <w:bCs/>
                <w:color w:val="000000"/>
                <w:kern w:val="0"/>
                <w:sz w:val="14"/>
                <w:szCs w:val="14"/>
                <w:lang w:eastAsia="en-GB"/>
                <w14:ligatures w14:val="none"/>
              </w:rPr>
              <w:t>Design</w:t>
            </w:r>
          </w:p>
        </w:tc>
        <w:tc>
          <w:tcPr>
            <w:tcW w:w="1678" w:type="dxa"/>
            <w:tcBorders>
              <w:top w:val="nil"/>
              <w:left w:val="nil"/>
              <w:bottom w:val="single" w:sz="4" w:space="0" w:color="auto"/>
              <w:right w:val="single" w:sz="4" w:space="0" w:color="auto"/>
            </w:tcBorders>
            <w:shd w:val="clear" w:color="auto" w:fill="D9D9D9" w:themeFill="background1" w:themeFillShade="D9"/>
            <w:hideMark/>
          </w:tcPr>
          <w:p w14:paraId="2DB0462A" w14:textId="77777777" w:rsidR="00B548E1" w:rsidRPr="003169AF" w:rsidRDefault="00B548E1" w:rsidP="00057600">
            <w:pPr>
              <w:spacing w:after="0" w:line="240" w:lineRule="auto"/>
              <w:rPr>
                <w:rFonts w:ascii="Arial" w:eastAsia="Times New Roman" w:hAnsi="Arial" w:cs="Arial"/>
                <w:b/>
                <w:bCs/>
                <w:color w:val="000000"/>
                <w:kern w:val="0"/>
                <w:sz w:val="14"/>
                <w:szCs w:val="14"/>
                <w:lang w:eastAsia="en-GB"/>
                <w14:ligatures w14:val="none"/>
              </w:rPr>
            </w:pPr>
            <w:r w:rsidRPr="003169AF">
              <w:rPr>
                <w:rFonts w:ascii="Arial" w:eastAsia="Times New Roman" w:hAnsi="Arial" w:cs="Arial"/>
                <w:b/>
                <w:bCs/>
                <w:color w:val="000000"/>
                <w:kern w:val="0"/>
                <w:sz w:val="14"/>
                <w:szCs w:val="14"/>
                <w:lang w:eastAsia="en-GB"/>
                <w14:ligatures w14:val="none"/>
              </w:rPr>
              <w:t>Implementation</w:t>
            </w:r>
          </w:p>
        </w:tc>
        <w:tc>
          <w:tcPr>
            <w:tcW w:w="1367" w:type="dxa"/>
            <w:tcBorders>
              <w:top w:val="nil"/>
              <w:left w:val="nil"/>
              <w:bottom w:val="single" w:sz="4" w:space="0" w:color="auto"/>
              <w:right w:val="single" w:sz="4" w:space="0" w:color="auto"/>
            </w:tcBorders>
            <w:shd w:val="clear" w:color="auto" w:fill="D9D9D9" w:themeFill="background1" w:themeFillShade="D9"/>
            <w:noWrap/>
            <w:hideMark/>
          </w:tcPr>
          <w:p w14:paraId="5E80944B" w14:textId="77777777" w:rsidR="00B548E1" w:rsidRPr="003169AF" w:rsidRDefault="00B548E1" w:rsidP="00057600">
            <w:pPr>
              <w:spacing w:after="0" w:line="240" w:lineRule="auto"/>
              <w:rPr>
                <w:rFonts w:ascii="Arial" w:eastAsia="Times New Roman" w:hAnsi="Arial" w:cs="Arial"/>
                <w:b/>
                <w:bCs/>
                <w:color w:val="000000"/>
                <w:kern w:val="0"/>
                <w:sz w:val="14"/>
                <w:szCs w:val="14"/>
                <w:lang w:eastAsia="en-GB"/>
                <w14:ligatures w14:val="none"/>
              </w:rPr>
            </w:pPr>
            <w:r w:rsidRPr="003169AF">
              <w:rPr>
                <w:rFonts w:ascii="Arial" w:eastAsia="Times New Roman" w:hAnsi="Arial" w:cs="Arial"/>
                <w:b/>
                <w:bCs/>
                <w:color w:val="000000"/>
                <w:kern w:val="0"/>
                <w:sz w:val="14"/>
                <w:szCs w:val="14"/>
                <w:lang w:eastAsia="en-GB"/>
                <w14:ligatures w14:val="none"/>
              </w:rPr>
              <w:t>Evaluation</w:t>
            </w:r>
          </w:p>
        </w:tc>
        <w:tc>
          <w:tcPr>
            <w:tcW w:w="1389"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5C5F5B0" w14:textId="77777777" w:rsidR="00B548E1" w:rsidRPr="003169AF" w:rsidRDefault="00B548E1" w:rsidP="00057600">
            <w:pPr>
              <w:spacing w:after="0" w:line="240" w:lineRule="auto"/>
              <w:rPr>
                <w:rFonts w:ascii="Arial" w:eastAsia="Times New Roman" w:hAnsi="Arial" w:cs="Arial"/>
                <w:b/>
                <w:bCs/>
                <w:color w:val="000000"/>
                <w:kern w:val="0"/>
                <w:sz w:val="14"/>
                <w:szCs w:val="14"/>
                <w:lang w:eastAsia="en-GB"/>
                <w14:ligatures w14:val="none"/>
              </w:rPr>
            </w:pPr>
          </w:p>
        </w:tc>
        <w:tc>
          <w:tcPr>
            <w:tcW w:w="1346"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66F1EC2" w14:textId="77777777" w:rsidR="00B548E1" w:rsidRPr="003169AF" w:rsidRDefault="00B548E1" w:rsidP="00057600">
            <w:pPr>
              <w:spacing w:after="0" w:line="240" w:lineRule="auto"/>
              <w:rPr>
                <w:rFonts w:ascii="Arial" w:eastAsia="Times New Roman" w:hAnsi="Arial" w:cs="Arial"/>
                <w:b/>
                <w:bCs/>
                <w:color w:val="000000"/>
                <w:kern w:val="0"/>
                <w:sz w:val="14"/>
                <w:szCs w:val="14"/>
                <w:lang w:eastAsia="en-GB"/>
                <w14:ligatures w14:val="none"/>
              </w:rPr>
            </w:pPr>
          </w:p>
        </w:tc>
        <w:tc>
          <w:tcPr>
            <w:tcW w:w="1440"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FBA655" w14:textId="77777777" w:rsidR="00B548E1" w:rsidRPr="003169AF" w:rsidRDefault="00B548E1" w:rsidP="00057600">
            <w:pPr>
              <w:spacing w:after="0" w:line="240" w:lineRule="auto"/>
              <w:rPr>
                <w:rFonts w:ascii="Arial" w:eastAsia="Times New Roman" w:hAnsi="Arial" w:cs="Arial"/>
                <w:b/>
                <w:bCs/>
                <w:color w:val="000000"/>
                <w:kern w:val="0"/>
                <w:sz w:val="14"/>
                <w:szCs w:val="14"/>
                <w:lang w:eastAsia="en-GB"/>
                <w14:ligatures w14:val="none"/>
              </w:rPr>
            </w:pPr>
          </w:p>
        </w:tc>
      </w:tr>
      <w:tr w:rsidR="00B548E1" w14:paraId="3637F16E" w14:textId="77777777" w:rsidTr="00057600">
        <w:trPr>
          <w:trHeight w:val="1790"/>
        </w:trPr>
        <w:tc>
          <w:tcPr>
            <w:tcW w:w="418" w:type="dxa"/>
            <w:tcBorders>
              <w:top w:val="nil"/>
              <w:left w:val="single" w:sz="4" w:space="0" w:color="auto"/>
              <w:bottom w:val="single" w:sz="4" w:space="0" w:color="auto"/>
              <w:right w:val="single" w:sz="4" w:space="0" w:color="auto"/>
            </w:tcBorders>
            <w:noWrap/>
            <w:hideMark/>
          </w:tcPr>
          <w:p w14:paraId="20CCADA8"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1</w:t>
            </w:r>
          </w:p>
        </w:tc>
        <w:tc>
          <w:tcPr>
            <w:tcW w:w="1139" w:type="dxa"/>
            <w:tcBorders>
              <w:top w:val="nil"/>
              <w:left w:val="nil"/>
              <w:bottom w:val="single" w:sz="4" w:space="0" w:color="auto"/>
              <w:right w:val="single" w:sz="4" w:space="0" w:color="auto"/>
            </w:tcBorders>
            <w:hideMark/>
          </w:tcPr>
          <w:p w14:paraId="672EB828"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Costello et al., 2017</w:t>
            </w:r>
          </w:p>
        </w:tc>
        <w:tc>
          <w:tcPr>
            <w:tcW w:w="1207" w:type="dxa"/>
            <w:vMerge w:val="restart"/>
            <w:tcBorders>
              <w:top w:val="nil"/>
              <w:left w:val="single" w:sz="4" w:space="0" w:color="auto"/>
              <w:bottom w:val="single" w:sz="4" w:space="0" w:color="auto"/>
              <w:right w:val="single" w:sz="4" w:space="0" w:color="auto"/>
            </w:tcBorders>
            <w:hideMark/>
          </w:tcPr>
          <w:p w14:paraId="065BC43B" w14:textId="77777777" w:rsidR="00B548E1" w:rsidRPr="003169AF" w:rsidRDefault="00B548E1" w:rsidP="00057600">
            <w:pPr>
              <w:spacing w:after="0" w:line="240" w:lineRule="auto"/>
              <w:jc w:val="center"/>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Interventions on overall improved child nutrition</w:t>
            </w:r>
          </w:p>
        </w:tc>
        <w:tc>
          <w:tcPr>
            <w:tcW w:w="1176" w:type="dxa"/>
            <w:vMerge w:val="restart"/>
            <w:tcBorders>
              <w:top w:val="nil"/>
              <w:left w:val="single" w:sz="4" w:space="0" w:color="auto"/>
              <w:bottom w:val="single" w:sz="4" w:space="0" w:color="auto"/>
              <w:right w:val="single" w:sz="4" w:space="0" w:color="auto"/>
            </w:tcBorders>
            <w:noWrap/>
            <w:hideMark/>
          </w:tcPr>
          <w:p w14:paraId="0983BBEA" w14:textId="77777777" w:rsidR="00B548E1" w:rsidRPr="003169AF" w:rsidRDefault="00B548E1" w:rsidP="00057600">
            <w:pPr>
              <w:spacing w:after="0" w:line="240" w:lineRule="auto"/>
              <w:jc w:val="center"/>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14</w:t>
            </w:r>
          </w:p>
        </w:tc>
        <w:tc>
          <w:tcPr>
            <w:tcW w:w="1176" w:type="dxa"/>
            <w:vMerge w:val="restart"/>
            <w:tcBorders>
              <w:top w:val="nil"/>
              <w:left w:val="single" w:sz="4" w:space="0" w:color="auto"/>
              <w:bottom w:val="single" w:sz="4" w:space="0" w:color="auto"/>
              <w:right w:val="single" w:sz="4" w:space="0" w:color="auto"/>
            </w:tcBorders>
            <w:hideMark/>
          </w:tcPr>
          <w:p w14:paraId="1DCCC77E" w14:textId="77777777" w:rsidR="00B548E1" w:rsidRPr="003169AF" w:rsidRDefault="00B548E1" w:rsidP="00057600">
            <w:pPr>
              <w:spacing w:after="0" w:line="240" w:lineRule="auto"/>
              <w:jc w:val="center"/>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64%</w:t>
            </w:r>
          </w:p>
        </w:tc>
        <w:tc>
          <w:tcPr>
            <w:tcW w:w="1322" w:type="dxa"/>
            <w:tcBorders>
              <w:top w:val="nil"/>
              <w:left w:val="nil"/>
              <w:bottom w:val="single" w:sz="4" w:space="0" w:color="auto"/>
              <w:right w:val="single" w:sz="4" w:space="0" w:color="auto"/>
            </w:tcBorders>
            <w:hideMark/>
          </w:tcPr>
          <w:p w14:paraId="540DEB30"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Nutrition interventions in social and/or clinical settings: Measuring energy intake among adolescent athletes</w:t>
            </w:r>
          </w:p>
        </w:tc>
        <w:tc>
          <w:tcPr>
            <w:tcW w:w="1457" w:type="dxa"/>
            <w:tcBorders>
              <w:top w:val="nil"/>
              <w:left w:val="nil"/>
              <w:bottom w:val="single" w:sz="4" w:space="0" w:color="auto"/>
              <w:right w:val="single" w:sz="4" w:space="0" w:color="auto"/>
            </w:tcBorders>
            <w:hideMark/>
          </w:tcPr>
          <w:p w14:paraId="3504760B"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Forty-seven (47) behavior change techniques were identified across six intervention domains, five policy categories, within the design of the preliminary workshop and dietary assessment methods</w:t>
            </w:r>
          </w:p>
        </w:tc>
        <w:tc>
          <w:tcPr>
            <w:tcW w:w="1678" w:type="dxa"/>
            <w:tcBorders>
              <w:top w:val="nil"/>
              <w:left w:val="nil"/>
              <w:bottom w:val="single" w:sz="4" w:space="0" w:color="auto"/>
              <w:right w:val="single" w:sz="4" w:space="0" w:color="auto"/>
            </w:tcBorders>
            <w:hideMark/>
          </w:tcPr>
          <w:p w14:paraId="0731432A"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identified behavior change techniques were delivered across four modes of delivery</w:t>
            </w:r>
          </w:p>
        </w:tc>
        <w:tc>
          <w:tcPr>
            <w:tcW w:w="1367" w:type="dxa"/>
            <w:tcBorders>
              <w:top w:val="nil"/>
              <w:left w:val="nil"/>
              <w:bottom w:val="single" w:sz="4" w:space="0" w:color="auto"/>
              <w:right w:val="single" w:sz="4" w:space="0" w:color="auto"/>
            </w:tcBorders>
            <w:hideMark/>
          </w:tcPr>
          <w:p w14:paraId="07EA5A75"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p>
        </w:tc>
        <w:tc>
          <w:tcPr>
            <w:tcW w:w="1389" w:type="dxa"/>
            <w:tcBorders>
              <w:top w:val="nil"/>
              <w:left w:val="nil"/>
              <w:bottom w:val="single" w:sz="4" w:space="0" w:color="auto"/>
              <w:right w:val="single" w:sz="4" w:space="0" w:color="auto"/>
            </w:tcBorders>
            <w:hideMark/>
          </w:tcPr>
          <w:p w14:paraId="449CF6D2"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A comprehensive behavior change intervention enhances the validity of the conventional dietary assessment, with evidence provided on the importance of deploying a comprehensive behavior change approach.</w:t>
            </w:r>
          </w:p>
        </w:tc>
        <w:tc>
          <w:tcPr>
            <w:tcW w:w="1346" w:type="dxa"/>
            <w:tcBorders>
              <w:top w:val="nil"/>
              <w:left w:val="nil"/>
              <w:bottom w:val="single" w:sz="4" w:space="0" w:color="auto"/>
              <w:right w:val="single" w:sz="4" w:space="0" w:color="auto"/>
            </w:tcBorders>
            <w:noWrap/>
            <w:hideMark/>
          </w:tcPr>
          <w:p w14:paraId="54B5B898"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440" w:type="dxa"/>
            <w:tcBorders>
              <w:top w:val="nil"/>
              <w:left w:val="nil"/>
              <w:bottom w:val="single" w:sz="4" w:space="0" w:color="auto"/>
              <w:right w:val="single" w:sz="4" w:space="0" w:color="auto"/>
            </w:tcBorders>
            <w:hideMark/>
          </w:tcPr>
          <w:p w14:paraId="5A77850C"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r>
      <w:tr w:rsidR="00B548E1" w14:paraId="7E1F2CC0" w14:textId="77777777" w:rsidTr="00057600">
        <w:trPr>
          <w:trHeight w:val="2100"/>
        </w:trPr>
        <w:tc>
          <w:tcPr>
            <w:tcW w:w="418" w:type="dxa"/>
            <w:tcBorders>
              <w:top w:val="nil"/>
              <w:left w:val="single" w:sz="4" w:space="0" w:color="auto"/>
              <w:bottom w:val="single" w:sz="4" w:space="0" w:color="auto"/>
              <w:right w:val="single" w:sz="4" w:space="0" w:color="auto"/>
            </w:tcBorders>
            <w:noWrap/>
            <w:hideMark/>
          </w:tcPr>
          <w:p w14:paraId="1B35DB29"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2</w:t>
            </w:r>
          </w:p>
        </w:tc>
        <w:tc>
          <w:tcPr>
            <w:tcW w:w="1139" w:type="dxa"/>
            <w:tcBorders>
              <w:top w:val="nil"/>
              <w:left w:val="nil"/>
              <w:bottom w:val="single" w:sz="4" w:space="0" w:color="auto"/>
              <w:right w:val="single" w:sz="4" w:space="0" w:color="auto"/>
            </w:tcBorders>
            <w:hideMark/>
          </w:tcPr>
          <w:p w14:paraId="7C257155"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Litterbach et al., 2017</w:t>
            </w:r>
          </w:p>
        </w:tc>
        <w:tc>
          <w:tcPr>
            <w:tcW w:w="1207" w:type="dxa"/>
            <w:vMerge/>
            <w:tcBorders>
              <w:top w:val="nil"/>
              <w:left w:val="single" w:sz="4" w:space="0" w:color="auto"/>
              <w:bottom w:val="single" w:sz="4" w:space="0" w:color="auto"/>
              <w:right w:val="single" w:sz="4" w:space="0" w:color="auto"/>
            </w:tcBorders>
            <w:vAlign w:val="center"/>
            <w:hideMark/>
          </w:tcPr>
          <w:p w14:paraId="4379C7FC"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31F9DCFF"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59A0034B"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6AAB3A39"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Pregnancy, neonatal, and breastfeeding nutrition interventions: Behavioral determinants of infant feeding practices</w:t>
            </w:r>
          </w:p>
        </w:tc>
        <w:tc>
          <w:tcPr>
            <w:tcW w:w="1457" w:type="dxa"/>
            <w:tcBorders>
              <w:top w:val="nil"/>
              <w:left w:val="nil"/>
              <w:bottom w:val="single" w:sz="4" w:space="0" w:color="auto"/>
              <w:right w:val="single" w:sz="4" w:space="0" w:color="auto"/>
            </w:tcBorders>
            <w:hideMark/>
          </w:tcPr>
          <w:p w14:paraId="45E57EB7"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A feasibility study of the Growing Healthy programme and extensive formative work were conducted to identify target behaviors for the program design which was guided by the BCW framework</w:t>
            </w:r>
          </w:p>
        </w:tc>
        <w:tc>
          <w:tcPr>
            <w:tcW w:w="1678" w:type="dxa"/>
            <w:tcBorders>
              <w:top w:val="nil"/>
              <w:left w:val="nil"/>
              <w:bottom w:val="single" w:sz="4" w:space="0" w:color="auto"/>
              <w:right w:val="single" w:sz="4" w:space="0" w:color="auto"/>
            </w:tcBorders>
            <w:noWrap/>
            <w:hideMark/>
          </w:tcPr>
          <w:p w14:paraId="103AFC70"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67" w:type="dxa"/>
            <w:tcBorders>
              <w:top w:val="nil"/>
              <w:left w:val="nil"/>
              <w:bottom w:val="single" w:sz="4" w:space="0" w:color="auto"/>
              <w:right w:val="single" w:sz="4" w:space="0" w:color="auto"/>
            </w:tcBorders>
            <w:noWrap/>
            <w:hideMark/>
          </w:tcPr>
          <w:p w14:paraId="41F312E1"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89" w:type="dxa"/>
            <w:tcBorders>
              <w:top w:val="nil"/>
              <w:left w:val="nil"/>
              <w:bottom w:val="single" w:sz="4" w:space="0" w:color="auto"/>
              <w:right w:val="single" w:sz="4" w:space="0" w:color="auto"/>
            </w:tcBorders>
            <w:hideMark/>
          </w:tcPr>
          <w:p w14:paraId="25281270"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Data coding was informed by the COM-B model for behavioral determinants. The programme provided social support (opportunity), increased skills, knowledge, and confidence in breastfeeding (capability), and influenced motivation to continue the promoted behaviors.</w:t>
            </w:r>
          </w:p>
        </w:tc>
        <w:tc>
          <w:tcPr>
            <w:tcW w:w="1346" w:type="dxa"/>
            <w:tcBorders>
              <w:top w:val="nil"/>
              <w:left w:val="nil"/>
              <w:bottom w:val="single" w:sz="4" w:space="0" w:color="auto"/>
              <w:right w:val="single" w:sz="4" w:space="0" w:color="auto"/>
            </w:tcBorders>
            <w:hideMark/>
          </w:tcPr>
          <w:p w14:paraId="0D581E38"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440" w:type="dxa"/>
            <w:tcBorders>
              <w:top w:val="nil"/>
              <w:left w:val="nil"/>
              <w:bottom w:val="single" w:sz="4" w:space="0" w:color="auto"/>
              <w:right w:val="single" w:sz="4" w:space="0" w:color="auto"/>
            </w:tcBorders>
            <w:hideMark/>
          </w:tcPr>
          <w:p w14:paraId="088C016B"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program was less able to influence motivation in terms of infant feeding plans and intentions as these were reportedly formed before joining the program, an indication that the timing of the programme delivery or mistimed stage of change was an important limitation.</w:t>
            </w:r>
          </w:p>
        </w:tc>
      </w:tr>
      <w:tr w:rsidR="00B548E1" w14:paraId="614040D0" w14:textId="77777777" w:rsidTr="00057600">
        <w:trPr>
          <w:trHeight w:val="3010"/>
        </w:trPr>
        <w:tc>
          <w:tcPr>
            <w:tcW w:w="418" w:type="dxa"/>
            <w:tcBorders>
              <w:top w:val="nil"/>
              <w:left w:val="single" w:sz="4" w:space="0" w:color="auto"/>
              <w:bottom w:val="single" w:sz="4" w:space="0" w:color="auto"/>
              <w:right w:val="single" w:sz="4" w:space="0" w:color="auto"/>
            </w:tcBorders>
            <w:noWrap/>
            <w:hideMark/>
          </w:tcPr>
          <w:p w14:paraId="0D04BB83"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lastRenderedPageBreak/>
              <w:t>3</w:t>
            </w:r>
          </w:p>
        </w:tc>
        <w:tc>
          <w:tcPr>
            <w:tcW w:w="1139" w:type="dxa"/>
            <w:tcBorders>
              <w:top w:val="nil"/>
              <w:left w:val="nil"/>
              <w:bottom w:val="single" w:sz="4" w:space="0" w:color="auto"/>
              <w:right w:val="single" w:sz="4" w:space="0" w:color="auto"/>
            </w:tcBorders>
            <w:hideMark/>
          </w:tcPr>
          <w:p w14:paraId="099A4A83"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Page et al., 2017</w:t>
            </w:r>
          </w:p>
        </w:tc>
        <w:tc>
          <w:tcPr>
            <w:tcW w:w="1207" w:type="dxa"/>
            <w:vMerge/>
            <w:tcBorders>
              <w:top w:val="nil"/>
              <w:left w:val="single" w:sz="4" w:space="0" w:color="auto"/>
              <w:bottom w:val="single" w:sz="4" w:space="0" w:color="auto"/>
              <w:right w:val="single" w:sz="4" w:space="0" w:color="auto"/>
            </w:tcBorders>
            <w:vAlign w:val="center"/>
            <w:hideMark/>
          </w:tcPr>
          <w:p w14:paraId="7F2946B9"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6D8B1DD1"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0D03C973"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6553F141"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Pregnancy, neonatal, and breastfeeding nutrition interventions: early neonatal nutrition</w:t>
            </w:r>
          </w:p>
        </w:tc>
        <w:tc>
          <w:tcPr>
            <w:tcW w:w="1457" w:type="dxa"/>
            <w:tcBorders>
              <w:top w:val="nil"/>
              <w:left w:val="nil"/>
              <w:bottom w:val="single" w:sz="4" w:space="0" w:color="auto"/>
              <w:right w:val="single" w:sz="4" w:space="0" w:color="auto"/>
            </w:tcBorders>
            <w:hideMark/>
          </w:tcPr>
          <w:p w14:paraId="605B3875"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BCW and COM-B model was followed to identify key strategies required to effectively address the barriers uncovered through behavior change techniques. Using Theoretical Domain Framework (TDF), eight barrier ‘domains’ were identified, and four steps were followed to assess the influencing factors and the design of implementation strategies.</w:t>
            </w:r>
          </w:p>
        </w:tc>
        <w:tc>
          <w:tcPr>
            <w:tcW w:w="1678" w:type="dxa"/>
            <w:tcBorders>
              <w:top w:val="nil"/>
              <w:left w:val="nil"/>
              <w:bottom w:val="single" w:sz="4" w:space="0" w:color="auto"/>
              <w:right w:val="single" w:sz="4" w:space="0" w:color="auto"/>
            </w:tcBorders>
            <w:hideMark/>
          </w:tcPr>
          <w:p w14:paraId="2691C549"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Using the TDF, potential interventions were selected to identify the barriers to the delivery of early optimal nutrition to inform the project implementation.</w:t>
            </w:r>
          </w:p>
        </w:tc>
        <w:tc>
          <w:tcPr>
            <w:tcW w:w="1367" w:type="dxa"/>
            <w:tcBorders>
              <w:top w:val="nil"/>
              <w:left w:val="nil"/>
              <w:bottom w:val="single" w:sz="4" w:space="0" w:color="auto"/>
              <w:right w:val="single" w:sz="4" w:space="0" w:color="auto"/>
            </w:tcBorders>
            <w:noWrap/>
            <w:hideMark/>
          </w:tcPr>
          <w:p w14:paraId="414A40C2"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89" w:type="dxa"/>
            <w:tcBorders>
              <w:top w:val="nil"/>
              <w:left w:val="nil"/>
              <w:bottom w:val="single" w:sz="4" w:space="0" w:color="auto"/>
              <w:right w:val="single" w:sz="4" w:space="0" w:color="auto"/>
            </w:tcBorders>
            <w:hideMark/>
          </w:tcPr>
          <w:p w14:paraId="58A33801"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theory domains were aligned with sources of behavior using the COM-B system and mapped through the BCW intervention functions.</w:t>
            </w:r>
          </w:p>
        </w:tc>
        <w:tc>
          <w:tcPr>
            <w:tcW w:w="1346" w:type="dxa"/>
            <w:tcBorders>
              <w:top w:val="nil"/>
              <w:left w:val="nil"/>
              <w:bottom w:val="single" w:sz="4" w:space="0" w:color="auto"/>
              <w:right w:val="single" w:sz="4" w:space="0" w:color="auto"/>
            </w:tcBorders>
            <w:hideMark/>
          </w:tcPr>
          <w:p w14:paraId="08A85CED"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Prioritized targeted strategies on the biggest challenges, able to uncover barriers to early nutrition.</w:t>
            </w:r>
          </w:p>
        </w:tc>
        <w:tc>
          <w:tcPr>
            <w:tcW w:w="1440" w:type="dxa"/>
            <w:tcBorders>
              <w:top w:val="nil"/>
              <w:left w:val="nil"/>
              <w:bottom w:val="single" w:sz="4" w:space="0" w:color="auto"/>
              <w:right w:val="single" w:sz="4" w:space="0" w:color="auto"/>
            </w:tcBorders>
            <w:hideMark/>
          </w:tcPr>
          <w:p w14:paraId="3E01AC6A"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r>
      <w:tr w:rsidR="00B548E1" w14:paraId="236A21F3" w14:textId="77777777" w:rsidTr="00057600">
        <w:trPr>
          <w:trHeight w:val="737"/>
        </w:trPr>
        <w:tc>
          <w:tcPr>
            <w:tcW w:w="418" w:type="dxa"/>
            <w:tcBorders>
              <w:top w:val="nil"/>
              <w:left w:val="single" w:sz="4" w:space="0" w:color="auto"/>
              <w:bottom w:val="single" w:sz="4" w:space="0" w:color="auto"/>
              <w:right w:val="single" w:sz="4" w:space="0" w:color="auto"/>
            </w:tcBorders>
            <w:noWrap/>
            <w:hideMark/>
          </w:tcPr>
          <w:p w14:paraId="79035163"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4</w:t>
            </w:r>
          </w:p>
        </w:tc>
        <w:tc>
          <w:tcPr>
            <w:tcW w:w="1139" w:type="dxa"/>
            <w:tcBorders>
              <w:top w:val="nil"/>
              <w:left w:val="nil"/>
              <w:bottom w:val="single" w:sz="4" w:space="0" w:color="auto"/>
              <w:right w:val="single" w:sz="4" w:space="0" w:color="auto"/>
            </w:tcBorders>
            <w:hideMark/>
          </w:tcPr>
          <w:p w14:paraId="0F563D67"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Phillips et al., 2018</w:t>
            </w:r>
          </w:p>
        </w:tc>
        <w:tc>
          <w:tcPr>
            <w:tcW w:w="1207" w:type="dxa"/>
            <w:vMerge/>
            <w:tcBorders>
              <w:top w:val="nil"/>
              <w:left w:val="single" w:sz="4" w:space="0" w:color="auto"/>
              <w:bottom w:val="single" w:sz="4" w:space="0" w:color="auto"/>
              <w:right w:val="single" w:sz="4" w:space="0" w:color="auto"/>
            </w:tcBorders>
            <w:vAlign w:val="center"/>
            <w:hideMark/>
          </w:tcPr>
          <w:p w14:paraId="7A7E4466"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5912EECB"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465FD7C2"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65E50A89"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Pregnancy, neonatal, and breastfeeding nutrition interventions: longer breastfeeding</w:t>
            </w:r>
          </w:p>
        </w:tc>
        <w:tc>
          <w:tcPr>
            <w:tcW w:w="1457" w:type="dxa"/>
            <w:tcBorders>
              <w:top w:val="nil"/>
              <w:left w:val="nil"/>
              <w:bottom w:val="single" w:sz="4" w:space="0" w:color="auto"/>
              <w:right w:val="single" w:sz="4" w:space="0" w:color="auto"/>
            </w:tcBorders>
            <w:hideMark/>
          </w:tcPr>
          <w:p w14:paraId="1ED21A8A"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BCW guided intervention development process: the behavior to change; sources of this behavior based on the COM-B model; intervention functions that could alter this behavior; and mode of delivery for the intervention.</w:t>
            </w:r>
          </w:p>
        </w:tc>
        <w:tc>
          <w:tcPr>
            <w:tcW w:w="1678" w:type="dxa"/>
            <w:tcBorders>
              <w:top w:val="nil"/>
              <w:left w:val="nil"/>
              <w:bottom w:val="single" w:sz="4" w:space="0" w:color="auto"/>
              <w:right w:val="single" w:sz="4" w:space="0" w:color="auto"/>
            </w:tcBorders>
            <w:hideMark/>
          </w:tcPr>
          <w:p w14:paraId="7D50E1C4"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67" w:type="dxa"/>
            <w:tcBorders>
              <w:top w:val="nil"/>
              <w:left w:val="nil"/>
              <w:bottom w:val="single" w:sz="4" w:space="0" w:color="auto"/>
              <w:right w:val="single" w:sz="4" w:space="0" w:color="auto"/>
            </w:tcBorders>
            <w:hideMark/>
          </w:tcPr>
          <w:p w14:paraId="22F220E7"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89" w:type="dxa"/>
            <w:tcBorders>
              <w:top w:val="nil"/>
              <w:left w:val="nil"/>
              <w:bottom w:val="single" w:sz="4" w:space="0" w:color="auto"/>
              <w:right w:val="single" w:sz="4" w:space="0" w:color="auto"/>
            </w:tcBorders>
            <w:hideMark/>
          </w:tcPr>
          <w:p w14:paraId="3DE50BC5"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intervention used evidence to identify the target behavior, its sources and remedies based on the COM-B model and implementation modality. The BCW framework was used to model and characterize the flexible and iterative intervention development process. An initial coding framework was developed using the BCW as a guide, reinforced by adding Motivational Interviewing (MI).</w:t>
            </w:r>
          </w:p>
        </w:tc>
        <w:tc>
          <w:tcPr>
            <w:tcW w:w="1346" w:type="dxa"/>
            <w:tcBorders>
              <w:top w:val="nil"/>
              <w:left w:val="nil"/>
              <w:bottom w:val="single" w:sz="4" w:space="0" w:color="auto"/>
              <w:right w:val="single" w:sz="4" w:space="0" w:color="auto"/>
            </w:tcBorders>
            <w:hideMark/>
          </w:tcPr>
          <w:p w14:paraId="170153D8"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xml:space="preserve">Working with people, and not imposing anything onto them to elicit change, a MI informed approach was used to guide mothers in reflecting on their breastfeeding goals and outcomes, using open questions and simple and complex reflections to explore their own beliefs, motivations, and ambivalence. In addition to BCW/COM-B model, MI's added value on relational and interpersonal </w:t>
            </w:r>
            <w:r w:rsidRPr="003169AF">
              <w:rPr>
                <w:rFonts w:ascii="Arial" w:eastAsia="Times New Roman" w:hAnsi="Arial" w:cs="Arial"/>
                <w:kern w:val="0"/>
                <w:sz w:val="14"/>
                <w:szCs w:val="14"/>
                <w:lang w:eastAsia="en-GB"/>
                <w14:ligatures w14:val="none"/>
              </w:rPr>
              <w:lastRenderedPageBreak/>
              <w:t>techniques to strongly influence intervention effectiveness.</w:t>
            </w:r>
          </w:p>
        </w:tc>
        <w:tc>
          <w:tcPr>
            <w:tcW w:w="1440" w:type="dxa"/>
            <w:tcBorders>
              <w:top w:val="nil"/>
              <w:left w:val="nil"/>
              <w:bottom w:val="single" w:sz="4" w:space="0" w:color="auto"/>
              <w:right w:val="single" w:sz="4" w:space="0" w:color="auto"/>
            </w:tcBorders>
            <w:hideMark/>
          </w:tcPr>
          <w:p w14:paraId="28FA3FB1"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lastRenderedPageBreak/>
              <w:t>The Behavior Change Technique Taxonomy version 1 which was used focuses on technical behavior change methods, such as goal setting and problem solving, and pays less attention to interpersonal-relational factors.</w:t>
            </w:r>
          </w:p>
        </w:tc>
      </w:tr>
      <w:tr w:rsidR="00B548E1" w14:paraId="25A2D86F" w14:textId="77777777" w:rsidTr="00057600">
        <w:trPr>
          <w:trHeight w:val="2520"/>
        </w:trPr>
        <w:tc>
          <w:tcPr>
            <w:tcW w:w="418" w:type="dxa"/>
            <w:tcBorders>
              <w:top w:val="nil"/>
              <w:left w:val="single" w:sz="4" w:space="0" w:color="auto"/>
              <w:bottom w:val="single" w:sz="4" w:space="0" w:color="auto"/>
              <w:right w:val="single" w:sz="4" w:space="0" w:color="auto"/>
            </w:tcBorders>
            <w:noWrap/>
            <w:hideMark/>
          </w:tcPr>
          <w:p w14:paraId="39A5270B"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5</w:t>
            </w:r>
          </w:p>
        </w:tc>
        <w:tc>
          <w:tcPr>
            <w:tcW w:w="1139" w:type="dxa"/>
            <w:tcBorders>
              <w:top w:val="nil"/>
              <w:left w:val="nil"/>
              <w:bottom w:val="single" w:sz="4" w:space="0" w:color="auto"/>
              <w:right w:val="single" w:sz="4" w:space="0" w:color="auto"/>
            </w:tcBorders>
            <w:hideMark/>
          </w:tcPr>
          <w:p w14:paraId="0FD79A94"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Russell et al., 2018</w:t>
            </w:r>
          </w:p>
        </w:tc>
        <w:tc>
          <w:tcPr>
            <w:tcW w:w="1207" w:type="dxa"/>
            <w:vMerge/>
            <w:tcBorders>
              <w:top w:val="nil"/>
              <w:left w:val="single" w:sz="4" w:space="0" w:color="auto"/>
              <w:bottom w:val="single" w:sz="4" w:space="0" w:color="auto"/>
              <w:right w:val="single" w:sz="4" w:space="0" w:color="auto"/>
            </w:tcBorders>
            <w:vAlign w:val="center"/>
            <w:hideMark/>
          </w:tcPr>
          <w:p w14:paraId="5D51E17A"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2943EAA0"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2D8CC5C8"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0C8C5257"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Pregnancy, neonatal, and breastfeeding nutrition interventions: digital apps for healthy infant feeding</w:t>
            </w:r>
          </w:p>
        </w:tc>
        <w:tc>
          <w:tcPr>
            <w:tcW w:w="1457" w:type="dxa"/>
            <w:tcBorders>
              <w:top w:val="nil"/>
              <w:left w:val="nil"/>
              <w:bottom w:val="single" w:sz="4" w:space="0" w:color="auto"/>
              <w:right w:val="single" w:sz="4" w:space="0" w:color="auto"/>
            </w:tcBorders>
            <w:hideMark/>
          </w:tcPr>
          <w:p w14:paraId="7E3F8E6C"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Promising behavior change techniques (BCTs) were selected using the BCW framework as a guide to identify determinants of the target behaviors and their alternatives (less desirable behaviors) and to map BCT using behavior change taxonomy.</w:t>
            </w:r>
          </w:p>
        </w:tc>
        <w:tc>
          <w:tcPr>
            <w:tcW w:w="1678" w:type="dxa"/>
            <w:tcBorders>
              <w:top w:val="nil"/>
              <w:left w:val="nil"/>
              <w:bottom w:val="single" w:sz="4" w:space="0" w:color="auto"/>
              <w:right w:val="single" w:sz="4" w:space="0" w:color="auto"/>
            </w:tcBorders>
            <w:hideMark/>
          </w:tcPr>
          <w:p w14:paraId="6747B5A0"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67" w:type="dxa"/>
            <w:tcBorders>
              <w:top w:val="nil"/>
              <w:left w:val="nil"/>
              <w:bottom w:val="single" w:sz="4" w:space="0" w:color="auto"/>
              <w:right w:val="single" w:sz="4" w:space="0" w:color="auto"/>
            </w:tcBorders>
            <w:hideMark/>
          </w:tcPr>
          <w:p w14:paraId="450FA6A6"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Drawing on the BCW/COM-B model, a three-data points quasiexperimental evaluation was conducted at baseline, midline and endline.</w:t>
            </w:r>
          </w:p>
        </w:tc>
        <w:tc>
          <w:tcPr>
            <w:tcW w:w="1389" w:type="dxa"/>
            <w:tcBorders>
              <w:top w:val="nil"/>
              <w:left w:val="nil"/>
              <w:bottom w:val="single" w:sz="4" w:space="0" w:color="auto"/>
              <w:right w:val="single" w:sz="4" w:space="0" w:color="auto"/>
            </w:tcBorders>
            <w:hideMark/>
          </w:tcPr>
          <w:p w14:paraId="0478FAE3"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Acknowledged that interventions adhering to behavioral theories such as the BCW are more likely to be effective.</w:t>
            </w:r>
          </w:p>
        </w:tc>
        <w:tc>
          <w:tcPr>
            <w:tcW w:w="1346" w:type="dxa"/>
            <w:tcBorders>
              <w:top w:val="nil"/>
              <w:left w:val="nil"/>
              <w:bottom w:val="single" w:sz="4" w:space="0" w:color="auto"/>
              <w:right w:val="single" w:sz="4" w:space="0" w:color="auto"/>
            </w:tcBorders>
            <w:hideMark/>
          </w:tcPr>
          <w:p w14:paraId="303D7C01"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A number of feeding behaviors were targeted across a diverse sample of participants. Available evidence on the likely relationships between the COM-B elements and the BCTs most likely to be effective in changing them was used. The programme drew on the BCW/COM-B framework to select BCTs likely to be effective in changing the target behaviors.</w:t>
            </w:r>
          </w:p>
        </w:tc>
        <w:tc>
          <w:tcPr>
            <w:tcW w:w="1440" w:type="dxa"/>
            <w:tcBorders>
              <w:top w:val="nil"/>
              <w:left w:val="nil"/>
              <w:bottom w:val="single" w:sz="4" w:space="0" w:color="auto"/>
              <w:right w:val="single" w:sz="4" w:space="0" w:color="auto"/>
            </w:tcBorders>
            <w:hideMark/>
          </w:tcPr>
          <w:p w14:paraId="41CB0C47"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No evidence of independent effects on COM-B from BCTs for infant feeding, especially in an mHealth context. As such, it is difficult to know how successful each of these were in influencing target behaviors. The programme effects on COM were not detected in the outcome measures, yet alternative determinants of behaviors such as social norms could have had an influence on outcomes.</w:t>
            </w:r>
          </w:p>
        </w:tc>
      </w:tr>
      <w:tr w:rsidR="00B548E1" w14:paraId="127EF9F1" w14:textId="77777777" w:rsidTr="00057600">
        <w:trPr>
          <w:trHeight w:val="467"/>
        </w:trPr>
        <w:tc>
          <w:tcPr>
            <w:tcW w:w="418" w:type="dxa"/>
            <w:tcBorders>
              <w:top w:val="nil"/>
              <w:left w:val="single" w:sz="4" w:space="0" w:color="auto"/>
              <w:bottom w:val="single" w:sz="4" w:space="0" w:color="auto"/>
              <w:right w:val="single" w:sz="4" w:space="0" w:color="auto"/>
            </w:tcBorders>
            <w:noWrap/>
            <w:hideMark/>
          </w:tcPr>
          <w:p w14:paraId="7355EF97"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6</w:t>
            </w:r>
          </w:p>
        </w:tc>
        <w:tc>
          <w:tcPr>
            <w:tcW w:w="1139" w:type="dxa"/>
            <w:tcBorders>
              <w:top w:val="nil"/>
              <w:left w:val="nil"/>
              <w:bottom w:val="single" w:sz="4" w:space="0" w:color="auto"/>
              <w:right w:val="single" w:sz="4" w:space="0" w:color="auto"/>
            </w:tcBorders>
            <w:hideMark/>
          </w:tcPr>
          <w:p w14:paraId="42D568D2"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Chai et al., 2019</w:t>
            </w:r>
          </w:p>
        </w:tc>
        <w:tc>
          <w:tcPr>
            <w:tcW w:w="1207" w:type="dxa"/>
            <w:vMerge/>
            <w:tcBorders>
              <w:top w:val="nil"/>
              <w:left w:val="single" w:sz="4" w:space="0" w:color="auto"/>
              <w:bottom w:val="single" w:sz="4" w:space="0" w:color="auto"/>
              <w:right w:val="single" w:sz="4" w:space="0" w:color="auto"/>
            </w:tcBorders>
            <w:vAlign w:val="center"/>
            <w:hideMark/>
          </w:tcPr>
          <w:p w14:paraId="10230899"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2B0D93ED"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42F0A35E"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24B836CD"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Home- of family-based nutrition interventions: Improvement in child eating behaviors with text messaging developed through parenting partnerships</w:t>
            </w:r>
          </w:p>
        </w:tc>
        <w:tc>
          <w:tcPr>
            <w:tcW w:w="1457" w:type="dxa"/>
            <w:tcBorders>
              <w:top w:val="nil"/>
              <w:left w:val="nil"/>
              <w:bottom w:val="single" w:sz="4" w:space="0" w:color="auto"/>
              <w:right w:val="single" w:sz="4" w:space="0" w:color="auto"/>
            </w:tcBorders>
            <w:hideMark/>
          </w:tcPr>
          <w:p w14:paraId="4A1B0E4B"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Phased-in development of text messages (acceptable to experts and parents) underpinned with BCW and COM-B model and TDF.</w:t>
            </w:r>
          </w:p>
        </w:tc>
        <w:tc>
          <w:tcPr>
            <w:tcW w:w="1678" w:type="dxa"/>
            <w:tcBorders>
              <w:top w:val="nil"/>
              <w:left w:val="nil"/>
              <w:bottom w:val="single" w:sz="4" w:space="0" w:color="auto"/>
              <w:right w:val="single" w:sz="4" w:space="0" w:color="auto"/>
            </w:tcBorders>
            <w:noWrap/>
            <w:hideMark/>
          </w:tcPr>
          <w:p w14:paraId="0B003974"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67" w:type="dxa"/>
            <w:tcBorders>
              <w:top w:val="nil"/>
              <w:left w:val="nil"/>
              <w:bottom w:val="single" w:sz="4" w:space="0" w:color="auto"/>
              <w:right w:val="single" w:sz="4" w:space="0" w:color="auto"/>
            </w:tcBorders>
            <w:noWrap/>
            <w:hideMark/>
          </w:tcPr>
          <w:p w14:paraId="22A8C154"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89" w:type="dxa"/>
            <w:tcBorders>
              <w:top w:val="nil"/>
              <w:left w:val="nil"/>
              <w:bottom w:val="single" w:sz="4" w:space="0" w:color="auto"/>
              <w:right w:val="single" w:sz="4" w:space="0" w:color="auto"/>
            </w:tcBorders>
            <w:hideMark/>
          </w:tcPr>
          <w:p w14:paraId="3F0D711B"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Used in similar contexts, the COM-B model (which depicts behaviors as the result of interactions among COM-B components), coupled with the Theoretical Domain Framework (TDF) were used to develop a bank of text messages targeting healthy eating within families.</w:t>
            </w:r>
          </w:p>
        </w:tc>
        <w:tc>
          <w:tcPr>
            <w:tcW w:w="1346" w:type="dxa"/>
            <w:tcBorders>
              <w:top w:val="nil"/>
              <w:left w:val="nil"/>
              <w:bottom w:val="single" w:sz="4" w:space="0" w:color="auto"/>
              <w:right w:val="single" w:sz="4" w:space="0" w:color="auto"/>
            </w:tcBorders>
            <w:hideMark/>
          </w:tcPr>
          <w:p w14:paraId="01B8FE7E"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xml:space="preserve">Applied the TDF and COM-B models for the development of text messages underpinned by relevant theory and informed by the evidence on efficacious child weight management. The text messages developed were grounded in theory and evidence concerning the </w:t>
            </w:r>
            <w:r w:rsidRPr="003169AF">
              <w:rPr>
                <w:rFonts w:ascii="Arial" w:eastAsia="Times New Roman" w:hAnsi="Arial" w:cs="Arial"/>
                <w:kern w:val="0"/>
                <w:sz w:val="14"/>
                <w:szCs w:val="14"/>
                <w:lang w:eastAsia="en-GB"/>
                <w14:ligatures w14:val="none"/>
              </w:rPr>
              <w:lastRenderedPageBreak/>
              <w:t>importance of parenting partnership.</w:t>
            </w:r>
          </w:p>
        </w:tc>
        <w:tc>
          <w:tcPr>
            <w:tcW w:w="1440" w:type="dxa"/>
            <w:tcBorders>
              <w:top w:val="nil"/>
              <w:left w:val="nil"/>
              <w:bottom w:val="single" w:sz="4" w:space="0" w:color="auto"/>
              <w:right w:val="single" w:sz="4" w:space="0" w:color="auto"/>
            </w:tcBorders>
            <w:hideMark/>
          </w:tcPr>
          <w:p w14:paraId="3107C78B"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lastRenderedPageBreak/>
              <w:t>It is unclear whether the text messages were developed in an ad hoc way, informed by behavior change theoretical frameworks, reviewed by health experts, or codeveloped with feedback from the intended recipients.</w:t>
            </w:r>
          </w:p>
        </w:tc>
      </w:tr>
      <w:tr w:rsidR="00B548E1" w14:paraId="7DED8178" w14:textId="77777777" w:rsidTr="00057600">
        <w:trPr>
          <w:trHeight w:val="1680"/>
        </w:trPr>
        <w:tc>
          <w:tcPr>
            <w:tcW w:w="418" w:type="dxa"/>
            <w:tcBorders>
              <w:top w:val="nil"/>
              <w:left w:val="single" w:sz="4" w:space="0" w:color="auto"/>
              <w:bottom w:val="single" w:sz="4" w:space="0" w:color="auto"/>
              <w:right w:val="single" w:sz="4" w:space="0" w:color="auto"/>
            </w:tcBorders>
            <w:noWrap/>
            <w:hideMark/>
          </w:tcPr>
          <w:p w14:paraId="2C473FE2"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7</w:t>
            </w:r>
          </w:p>
        </w:tc>
        <w:tc>
          <w:tcPr>
            <w:tcW w:w="1139" w:type="dxa"/>
            <w:tcBorders>
              <w:top w:val="nil"/>
              <w:left w:val="nil"/>
              <w:bottom w:val="single" w:sz="4" w:space="0" w:color="auto"/>
              <w:right w:val="single" w:sz="4" w:space="0" w:color="auto"/>
            </w:tcBorders>
            <w:hideMark/>
          </w:tcPr>
          <w:p w14:paraId="446A96D2"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Grant et al., 2019</w:t>
            </w:r>
          </w:p>
        </w:tc>
        <w:tc>
          <w:tcPr>
            <w:tcW w:w="1207" w:type="dxa"/>
            <w:vMerge/>
            <w:tcBorders>
              <w:top w:val="nil"/>
              <w:left w:val="single" w:sz="4" w:space="0" w:color="auto"/>
              <w:bottom w:val="single" w:sz="4" w:space="0" w:color="auto"/>
              <w:right w:val="single" w:sz="4" w:space="0" w:color="auto"/>
            </w:tcBorders>
            <w:vAlign w:val="center"/>
            <w:hideMark/>
          </w:tcPr>
          <w:p w14:paraId="4828C856"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5F9A611C"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408C4F28"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61C57F28"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Pregnancy, neonatal, and breastfeeding nutrition interventions: health behavior in pregnancy and infant feeding</w:t>
            </w:r>
          </w:p>
        </w:tc>
        <w:tc>
          <w:tcPr>
            <w:tcW w:w="1457" w:type="dxa"/>
            <w:tcBorders>
              <w:top w:val="nil"/>
              <w:left w:val="nil"/>
              <w:bottom w:val="single" w:sz="4" w:space="0" w:color="auto"/>
              <w:right w:val="single" w:sz="4" w:space="0" w:color="auto"/>
            </w:tcBorders>
            <w:hideMark/>
          </w:tcPr>
          <w:p w14:paraId="70AC0243"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Alcohol, smoking and infant feeding were mapped to the COM-B model, with psychological capability, social opportunity and environmental opportunity reported to impact on reflective motivation, and eventually women’s behavior.</w:t>
            </w:r>
          </w:p>
        </w:tc>
        <w:tc>
          <w:tcPr>
            <w:tcW w:w="1678" w:type="dxa"/>
            <w:tcBorders>
              <w:top w:val="nil"/>
              <w:left w:val="nil"/>
              <w:bottom w:val="single" w:sz="4" w:space="0" w:color="auto"/>
              <w:right w:val="single" w:sz="4" w:space="0" w:color="auto"/>
            </w:tcBorders>
            <w:hideMark/>
          </w:tcPr>
          <w:p w14:paraId="11DFB14A"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67" w:type="dxa"/>
            <w:tcBorders>
              <w:top w:val="nil"/>
              <w:left w:val="nil"/>
              <w:bottom w:val="single" w:sz="4" w:space="0" w:color="auto"/>
              <w:right w:val="single" w:sz="4" w:space="0" w:color="auto"/>
            </w:tcBorders>
            <w:hideMark/>
          </w:tcPr>
          <w:p w14:paraId="4DA11B8E"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89" w:type="dxa"/>
            <w:tcBorders>
              <w:top w:val="nil"/>
              <w:left w:val="nil"/>
              <w:bottom w:val="single" w:sz="4" w:space="0" w:color="auto"/>
              <w:right w:val="single" w:sz="4" w:space="0" w:color="auto"/>
            </w:tcBorders>
            <w:hideMark/>
          </w:tcPr>
          <w:p w14:paraId="38AAEEDA"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In addition to mapping behaviors to COM-B model, it is argued that COM factors interact to produce behavior, positing that BCW framework offered many options to achieve the desired behavior.</w:t>
            </w:r>
          </w:p>
        </w:tc>
        <w:tc>
          <w:tcPr>
            <w:tcW w:w="1346" w:type="dxa"/>
            <w:tcBorders>
              <w:top w:val="nil"/>
              <w:left w:val="nil"/>
              <w:bottom w:val="single" w:sz="4" w:space="0" w:color="auto"/>
              <w:right w:val="single" w:sz="4" w:space="0" w:color="auto"/>
            </w:tcBorders>
            <w:hideMark/>
          </w:tcPr>
          <w:p w14:paraId="1099F9FD"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Implying the role of policy categories and intervention functions requiring multiple factors and actors, mothers and health professionals were consulted as key players to garner and confirm key themes and generate additional insights.</w:t>
            </w:r>
          </w:p>
        </w:tc>
        <w:tc>
          <w:tcPr>
            <w:tcW w:w="1440" w:type="dxa"/>
            <w:tcBorders>
              <w:top w:val="nil"/>
              <w:left w:val="nil"/>
              <w:bottom w:val="single" w:sz="4" w:space="0" w:color="auto"/>
              <w:right w:val="single" w:sz="4" w:space="0" w:color="auto"/>
            </w:tcBorders>
            <w:hideMark/>
          </w:tcPr>
          <w:p w14:paraId="7E181BC0"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lack of validation of findings by participants may decontextualize insights.</w:t>
            </w:r>
          </w:p>
        </w:tc>
      </w:tr>
      <w:tr w:rsidR="00B548E1" w14:paraId="45E71C2E" w14:textId="77777777" w:rsidTr="00057600">
        <w:trPr>
          <w:trHeight w:val="2730"/>
        </w:trPr>
        <w:tc>
          <w:tcPr>
            <w:tcW w:w="418" w:type="dxa"/>
            <w:tcBorders>
              <w:top w:val="nil"/>
              <w:left w:val="single" w:sz="4" w:space="0" w:color="auto"/>
              <w:bottom w:val="single" w:sz="4" w:space="0" w:color="auto"/>
              <w:right w:val="single" w:sz="4" w:space="0" w:color="auto"/>
            </w:tcBorders>
            <w:noWrap/>
            <w:hideMark/>
          </w:tcPr>
          <w:p w14:paraId="1B8CC804"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8</w:t>
            </w:r>
          </w:p>
        </w:tc>
        <w:tc>
          <w:tcPr>
            <w:tcW w:w="1139" w:type="dxa"/>
            <w:tcBorders>
              <w:top w:val="nil"/>
              <w:left w:val="nil"/>
              <w:bottom w:val="single" w:sz="4" w:space="0" w:color="auto"/>
              <w:right w:val="single" w:sz="4" w:space="0" w:color="auto"/>
            </w:tcBorders>
            <w:hideMark/>
          </w:tcPr>
          <w:p w14:paraId="02E1F8D4"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Thomson and Crossland, 2019</w:t>
            </w:r>
          </w:p>
        </w:tc>
        <w:tc>
          <w:tcPr>
            <w:tcW w:w="1207" w:type="dxa"/>
            <w:vMerge/>
            <w:tcBorders>
              <w:top w:val="nil"/>
              <w:left w:val="single" w:sz="4" w:space="0" w:color="auto"/>
              <w:bottom w:val="single" w:sz="4" w:space="0" w:color="auto"/>
              <w:right w:val="single" w:sz="4" w:space="0" w:color="auto"/>
            </w:tcBorders>
            <w:vAlign w:val="center"/>
            <w:hideMark/>
          </w:tcPr>
          <w:p w14:paraId="32139969"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34F1140F"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1F9B55CC"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25373E7D"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Pregnancy, neonatal, and breastfeeding nutrition interventions: infant feeding peer support</w:t>
            </w:r>
          </w:p>
        </w:tc>
        <w:tc>
          <w:tcPr>
            <w:tcW w:w="1457" w:type="dxa"/>
            <w:tcBorders>
              <w:top w:val="nil"/>
              <w:left w:val="nil"/>
              <w:bottom w:val="single" w:sz="4" w:space="0" w:color="auto"/>
              <w:right w:val="single" w:sz="4" w:space="0" w:color="auto"/>
            </w:tcBorders>
            <w:hideMark/>
          </w:tcPr>
          <w:p w14:paraId="536510E9"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BCW was not used to inform the design of the peer support service, but the service development evolved over time to explore whether and how infant feeding support should be provided.</w:t>
            </w:r>
          </w:p>
        </w:tc>
        <w:tc>
          <w:tcPr>
            <w:tcW w:w="1678" w:type="dxa"/>
            <w:tcBorders>
              <w:top w:val="nil"/>
              <w:left w:val="nil"/>
              <w:bottom w:val="single" w:sz="4" w:space="0" w:color="auto"/>
              <w:right w:val="single" w:sz="4" w:space="0" w:color="auto"/>
            </w:tcBorders>
            <w:hideMark/>
          </w:tcPr>
          <w:p w14:paraId="674689C4"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BCW framework added valuable insights into how peer support is gradually operationalized to identify positive delivery features.</w:t>
            </w:r>
          </w:p>
        </w:tc>
        <w:tc>
          <w:tcPr>
            <w:tcW w:w="1367" w:type="dxa"/>
            <w:tcBorders>
              <w:top w:val="nil"/>
              <w:left w:val="nil"/>
              <w:bottom w:val="single" w:sz="4" w:space="0" w:color="auto"/>
              <w:right w:val="single" w:sz="4" w:space="0" w:color="auto"/>
            </w:tcBorders>
            <w:hideMark/>
          </w:tcPr>
          <w:p w14:paraId="18201D37"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No full process evaluation, but the BCW's three layers were used to structure the analysis to describe the policy categories and intervention functions that influenced women’s COM to breastfeed.</w:t>
            </w:r>
          </w:p>
        </w:tc>
        <w:tc>
          <w:tcPr>
            <w:tcW w:w="1389" w:type="dxa"/>
            <w:tcBorders>
              <w:top w:val="nil"/>
              <w:left w:val="nil"/>
              <w:bottom w:val="single" w:sz="4" w:space="0" w:color="auto"/>
              <w:right w:val="single" w:sz="4" w:space="0" w:color="auto"/>
            </w:tcBorders>
            <w:hideMark/>
          </w:tcPr>
          <w:p w14:paraId="230D87DF"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BCW three layers were used to analyze evaluation data. The inner layers guided the development of COM for behavior change in infant feeding. By reanalyzing raw data through the BCW, the study emphasized the ecological perspective of behavior change, highlighting the need for psychological and physical capabilities, social and physical opportunities, and motivation to drive individual behavior change.</w:t>
            </w:r>
          </w:p>
        </w:tc>
        <w:tc>
          <w:tcPr>
            <w:tcW w:w="1346" w:type="dxa"/>
            <w:tcBorders>
              <w:top w:val="nil"/>
              <w:left w:val="nil"/>
              <w:bottom w:val="single" w:sz="4" w:space="0" w:color="auto"/>
              <w:right w:val="single" w:sz="4" w:space="0" w:color="auto"/>
            </w:tcBorders>
            <w:hideMark/>
          </w:tcPr>
          <w:p w14:paraId="59223506"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BCW's policies layer helped examine broader contexts, resources, and practices for peer support. Findings align with literature which emphasizes the need for multiple support opportunities for infant feeding. Encouraging women to experience a "first feed" emerged as a key strategy, as it could dispel myths, reduce anxieties, leading to breastfeeding continuation.</w:t>
            </w:r>
          </w:p>
        </w:tc>
        <w:tc>
          <w:tcPr>
            <w:tcW w:w="1440" w:type="dxa"/>
            <w:tcBorders>
              <w:top w:val="nil"/>
              <w:left w:val="nil"/>
              <w:bottom w:val="single" w:sz="4" w:space="0" w:color="auto"/>
              <w:right w:val="single" w:sz="4" w:space="0" w:color="auto"/>
            </w:tcBorders>
            <w:hideMark/>
          </w:tcPr>
          <w:p w14:paraId="10591E2B"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Not using the BCW to inform the design the intervention could have contributed to overzealous breastfeeding which instilled guilt and blame, rather than motivation. Unlike the comprehensive nature of BCW requiring multiple stakeholders, the targeted community support provided by one individual was also considered inappropriate and unsustainable.</w:t>
            </w:r>
          </w:p>
        </w:tc>
      </w:tr>
      <w:tr w:rsidR="00B548E1" w14:paraId="45D8F0C5" w14:textId="77777777" w:rsidTr="00057600">
        <w:trPr>
          <w:trHeight w:val="2310"/>
        </w:trPr>
        <w:tc>
          <w:tcPr>
            <w:tcW w:w="418" w:type="dxa"/>
            <w:tcBorders>
              <w:top w:val="nil"/>
              <w:left w:val="single" w:sz="4" w:space="0" w:color="auto"/>
              <w:bottom w:val="single" w:sz="4" w:space="0" w:color="auto"/>
              <w:right w:val="single" w:sz="4" w:space="0" w:color="auto"/>
            </w:tcBorders>
            <w:noWrap/>
            <w:hideMark/>
          </w:tcPr>
          <w:p w14:paraId="4E30F244"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lastRenderedPageBreak/>
              <w:t>9</w:t>
            </w:r>
          </w:p>
        </w:tc>
        <w:tc>
          <w:tcPr>
            <w:tcW w:w="1139" w:type="dxa"/>
            <w:tcBorders>
              <w:top w:val="nil"/>
              <w:left w:val="nil"/>
              <w:bottom w:val="single" w:sz="4" w:space="0" w:color="auto"/>
              <w:right w:val="single" w:sz="4" w:space="0" w:color="auto"/>
            </w:tcBorders>
            <w:hideMark/>
          </w:tcPr>
          <w:p w14:paraId="46CB0793"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Fernández-Álvarez et al., 2020</w:t>
            </w:r>
          </w:p>
        </w:tc>
        <w:tc>
          <w:tcPr>
            <w:tcW w:w="1207" w:type="dxa"/>
            <w:vMerge/>
            <w:tcBorders>
              <w:top w:val="nil"/>
              <w:left w:val="single" w:sz="4" w:space="0" w:color="auto"/>
              <w:bottom w:val="single" w:sz="4" w:space="0" w:color="auto"/>
              <w:right w:val="single" w:sz="4" w:space="0" w:color="auto"/>
            </w:tcBorders>
            <w:vAlign w:val="center"/>
            <w:hideMark/>
          </w:tcPr>
          <w:p w14:paraId="75EE6951"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564B3D3D"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1F792DE5"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06E270C7"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Nutrition interventions in social (or clinical) settings: nutrition education among adolescent players</w:t>
            </w:r>
          </w:p>
        </w:tc>
        <w:tc>
          <w:tcPr>
            <w:tcW w:w="1457" w:type="dxa"/>
            <w:tcBorders>
              <w:top w:val="nil"/>
              <w:left w:val="nil"/>
              <w:bottom w:val="single" w:sz="4" w:space="0" w:color="auto"/>
              <w:right w:val="single" w:sz="4" w:space="0" w:color="auto"/>
            </w:tcBorders>
            <w:hideMark/>
          </w:tcPr>
          <w:p w14:paraId="380D39D1"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Based on the BCW model for adherence to healthy eating habits, the study assessed the feasibility of an educational intervention adapted to the characteristics and preferences of the adolescent soccer players.</w:t>
            </w:r>
          </w:p>
        </w:tc>
        <w:tc>
          <w:tcPr>
            <w:tcW w:w="1678" w:type="dxa"/>
            <w:tcBorders>
              <w:top w:val="nil"/>
              <w:left w:val="nil"/>
              <w:bottom w:val="single" w:sz="4" w:space="0" w:color="auto"/>
              <w:right w:val="single" w:sz="4" w:space="0" w:color="auto"/>
            </w:tcBorders>
            <w:hideMark/>
          </w:tcPr>
          <w:p w14:paraId="6E6FD141"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67" w:type="dxa"/>
            <w:tcBorders>
              <w:top w:val="nil"/>
              <w:left w:val="nil"/>
              <w:bottom w:val="single" w:sz="4" w:space="0" w:color="auto"/>
              <w:right w:val="single" w:sz="4" w:space="0" w:color="auto"/>
            </w:tcBorders>
            <w:hideMark/>
          </w:tcPr>
          <w:p w14:paraId="52BB8BA5"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89" w:type="dxa"/>
            <w:tcBorders>
              <w:top w:val="nil"/>
              <w:left w:val="nil"/>
              <w:bottom w:val="single" w:sz="4" w:space="0" w:color="auto"/>
              <w:right w:val="single" w:sz="4" w:space="0" w:color="auto"/>
            </w:tcBorders>
            <w:hideMark/>
          </w:tcPr>
          <w:p w14:paraId="7FE91B78"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Used the BCW and its COM-B model as the backbone to facilitate the development of web-based, personalized interventions adapted to the needs of the target population. Noting the limitations of knowledge effect on behavioral determinants, persuasion, reportedly a success factor, was used as a strategy to create a social environment conducive to change.</w:t>
            </w:r>
          </w:p>
        </w:tc>
        <w:tc>
          <w:tcPr>
            <w:tcW w:w="1346" w:type="dxa"/>
            <w:tcBorders>
              <w:top w:val="nil"/>
              <w:left w:val="nil"/>
              <w:bottom w:val="single" w:sz="4" w:space="0" w:color="auto"/>
              <w:right w:val="single" w:sz="4" w:space="0" w:color="auto"/>
            </w:tcBorders>
            <w:hideMark/>
          </w:tcPr>
          <w:p w14:paraId="2CCFC554"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Focus on motivational factors to maintain healthy behaviors, as these can deteriorate over time, achievable through supportive resources or environmental restructuring.</w:t>
            </w:r>
          </w:p>
        </w:tc>
        <w:tc>
          <w:tcPr>
            <w:tcW w:w="1440" w:type="dxa"/>
            <w:tcBorders>
              <w:top w:val="nil"/>
              <w:left w:val="nil"/>
              <w:bottom w:val="single" w:sz="4" w:space="0" w:color="auto"/>
              <w:right w:val="single" w:sz="4" w:space="0" w:color="auto"/>
            </w:tcBorders>
            <w:noWrap/>
            <w:hideMark/>
          </w:tcPr>
          <w:p w14:paraId="39D1EF5F"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 </w:t>
            </w:r>
          </w:p>
        </w:tc>
      </w:tr>
      <w:tr w:rsidR="00B548E1" w14:paraId="51CEE402" w14:textId="77777777" w:rsidTr="00057600">
        <w:trPr>
          <w:trHeight w:val="1277"/>
        </w:trPr>
        <w:tc>
          <w:tcPr>
            <w:tcW w:w="418" w:type="dxa"/>
            <w:tcBorders>
              <w:top w:val="nil"/>
              <w:left w:val="single" w:sz="4" w:space="0" w:color="auto"/>
              <w:bottom w:val="single" w:sz="4" w:space="0" w:color="auto"/>
              <w:right w:val="single" w:sz="4" w:space="0" w:color="auto"/>
            </w:tcBorders>
            <w:noWrap/>
            <w:hideMark/>
          </w:tcPr>
          <w:p w14:paraId="2E998691"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10</w:t>
            </w:r>
          </w:p>
        </w:tc>
        <w:tc>
          <w:tcPr>
            <w:tcW w:w="1139" w:type="dxa"/>
            <w:tcBorders>
              <w:top w:val="nil"/>
              <w:left w:val="nil"/>
              <w:bottom w:val="single" w:sz="4" w:space="0" w:color="auto"/>
              <w:right w:val="single" w:sz="4" w:space="0" w:color="auto"/>
            </w:tcBorders>
            <w:hideMark/>
          </w:tcPr>
          <w:p w14:paraId="52CC29B6"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Musgrave et al., 2021</w:t>
            </w:r>
          </w:p>
        </w:tc>
        <w:tc>
          <w:tcPr>
            <w:tcW w:w="1207" w:type="dxa"/>
            <w:vMerge/>
            <w:tcBorders>
              <w:top w:val="nil"/>
              <w:left w:val="single" w:sz="4" w:space="0" w:color="auto"/>
              <w:bottom w:val="single" w:sz="4" w:space="0" w:color="auto"/>
              <w:right w:val="single" w:sz="4" w:space="0" w:color="auto"/>
            </w:tcBorders>
            <w:vAlign w:val="center"/>
            <w:hideMark/>
          </w:tcPr>
          <w:p w14:paraId="7D691E6E"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44C150B4"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4741F536"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48690111"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Pregnancy, neonatal, and breastfeeding nutrition interventions: digital apps for increased breastfeeding</w:t>
            </w:r>
          </w:p>
        </w:tc>
        <w:tc>
          <w:tcPr>
            <w:tcW w:w="1457" w:type="dxa"/>
            <w:tcBorders>
              <w:top w:val="nil"/>
              <w:left w:val="nil"/>
              <w:bottom w:val="single" w:sz="4" w:space="0" w:color="auto"/>
              <w:right w:val="single" w:sz="4" w:space="0" w:color="auto"/>
            </w:tcBorders>
            <w:hideMark/>
          </w:tcPr>
          <w:p w14:paraId="7F5ACAF4"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A three-stage process was followed in this retrospective study to shed light on the BCW-informed Baby buddy app design: (i) Understanding breastfeeding as a target behavior; (ii) Identifying how intervention and policy functions were used; and (iii) Identifying content and implementation choices.</w:t>
            </w:r>
          </w:p>
        </w:tc>
        <w:tc>
          <w:tcPr>
            <w:tcW w:w="1678" w:type="dxa"/>
            <w:tcBorders>
              <w:top w:val="nil"/>
              <w:left w:val="nil"/>
              <w:bottom w:val="single" w:sz="4" w:space="0" w:color="auto"/>
              <w:right w:val="single" w:sz="4" w:space="0" w:color="auto"/>
            </w:tcBorders>
            <w:hideMark/>
          </w:tcPr>
          <w:p w14:paraId="5928F46A"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Using affordability, practicability, effectiveness, affordability, safety, and equity (APEASE) defined in the BCW, these steps provided insights into how the content was implemented and to understand the choices made throughout the implementation.</w:t>
            </w:r>
          </w:p>
        </w:tc>
        <w:tc>
          <w:tcPr>
            <w:tcW w:w="1367" w:type="dxa"/>
            <w:tcBorders>
              <w:top w:val="nil"/>
              <w:left w:val="nil"/>
              <w:bottom w:val="single" w:sz="4" w:space="0" w:color="auto"/>
              <w:right w:val="single" w:sz="4" w:space="0" w:color="auto"/>
            </w:tcBorders>
            <w:hideMark/>
          </w:tcPr>
          <w:p w14:paraId="1335776E"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xml:space="preserve">Retrospective application of the BCW in a three-stage process evaluation of the change mechanisms and behaviors was needed to improve breastfeeding by mapping breastfeeding barriers and enablers onto the COM-B model and by identifying successful intervention functions and policy categories in the </w:t>
            </w:r>
            <w:r w:rsidRPr="003169AF">
              <w:rPr>
                <w:rFonts w:ascii="Arial" w:eastAsia="Times New Roman" w:hAnsi="Arial" w:cs="Arial"/>
                <w:kern w:val="0"/>
                <w:sz w:val="14"/>
                <w:szCs w:val="14"/>
                <w:lang w:eastAsia="en-GB"/>
                <w14:ligatures w14:val="none"/>
              </w:rPr>
              <w:lastRenderedPageBreak/>
              <w:t>breastfeeding app content.</w:t>
            </w:r>
          </w:p>
        </w:tc>
        <w:tc>
          <w:tcPr>
            <w:tcW w:w="1389" w:type="dxa"/>
            <w:tcBorders>
              <w:top w:val="nil"/>
              <w:left w:val="nil"/>
              <w:bottom w:val="single" w:sz="4" w:space="0" w:color="auto"/>
              <w:right w:val="single" w:sz="4" w:space="0" w:color="auto"/>
            </w:tcBorders>
            <w:hideMark/>
          </w:tcPr>
          <w:p w14:paraId="0533602D"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lastRenderedPageBreak/>
              <w:t>Physical and psychological capability were identified as needing to be addressed by the intervention functions identified in the video content mapped onto BCW and COM-B model. Of the 39 videos in the app, 19 (49%) addressed physical capabilities related to breastfeeding and demonstrated positive breastfeeding behaviors.</w:t>
            </w:r>
          </w:p>
        </w:tc>
        <w:tc>
          <w:tcPr>
            <w:tcW w:w="1346" w:type="dxa"/>
            <w:tcBorders>
              <w:top w:val="nil"/>
              <w:left w:val="nil"/>
              <w:bottom w:val="single" w:sz="4" w:space="0" w:color="auto"/>
              <w:right w:val="single" w:sz="4" w:space="0" w:color="auto"/>
            </w:tcBorders>
            <w:hideMark/>
          </w:tcPr>
          <w:p w14:paraId="1EFD4E14"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xml:space="preserve">Multiple stakeholders cocreated and participated in all stages of app development, implementation, evaluation, and promotion. Baby Buddy app was mapped to the BCW as a guide, genuinely codesigned with several BCTs used in the app to identify potential future opportunities, peer-to-peer content for breastfeeding. The constructs </w:t>
            </w:r>
            <w:r w:rsidRPr="003169AF">
              <w:rPr>
                <w:rFonts w:ascii="Arial" w:eastAsia="Times New Roman" w:hAnsi="Arial" w:cs="Arial"/>
                <w:kern w:val="0"/>
                <w:sz w:val="14"/>
                <w:szCs w:val="14"/>
                <w:lang w:eastAsia="en-GB"/>
                <w14:ligatures w14:val="none"/>
              </w:rPr>
              <w:lastRenderedPageBreak/>
              <w:t>(social norms, peer influence, social support, etc.) of COM in sustaining breastfeeding were backed by evidence.</w:t>
            </w:r>
          </w:p>
        </w:tc>
        <w:tc>
          <w:tcPr>
            <w:tcW w:w="1440" w:type="dxa"/>
            <w:tcBorders>
              <w:top w:val="nil"/>
              <w:left w:val="nil"/>
              <w:bottom w:val="single" w:sz="4" w:space="0" w:color="auto"/>
              <w:right w:val="single" w:sz="4" w:space="0" w:color="auto"/>
            </w:tcBorders>
            <w:hideMark/>
          </w:tcPr>
          <w:p w14:paraId="76A923CA"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lastRenderedPageBreak/>
              <w:t>The retrospective, subjective, documentary review and application of the BCW was a theoretical limitation. Prospective analysis of the app development using the BCW would potentially result in an effective behavior change intervention tool, although the app was not primarily designed to change behavior but a resource to inform and empower pregnant women.</w:t>
            </w:r>
          </w:p>
        </w:tc>
      </w:tr>
      <w:tr w:rsidR="00B548E1" w14:paraId="5A995D79" w14:textId="77777777" w:rsidTr="00057600">
        <w:trPr>
          <w:trHeight w:val="1470"/>
        </w:trPr>
        <w:tc>
          <w:tcPr>
            <w:tcW w:w="418" w:type="dxa"/>
            <w:tcBorders>
              <w:top w:val="nil"/>
              <w:left w:val="single" w:sz="4" w:space="0" w:color="auto"/>
              <w:bottom w:val="single" w:sz="4" w:space="0" w:color="auto"/>
              <w:right w:val="single" w:sz="4" w:space="0" w:color="auto"/>
            </w:tcBorders>
            <w:noWrap/>
            <w:hideMark/>
          </w:tcPr>
          <w:p w14:paraId="090E02A9"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11</w:t>
            </w:r>
          </w:p>
        </w:tc>
        <w:tc>
          <w:tcPr>
            <w:tcW w:w="1139" w:type="dxa"/>
            <w:tcBorders>
              <w:top w:val="nil"/>
              <w:left w:val="nil"/>
              <w:bottom w:val="single" w:sz="4" w:space="0" w:color="auto"/>
              <w:right w:val="single" w:sz="4" w:space="0" w:color="auto"/>
            </w:tcBorders>
            <w:hideMark/>
          </w:tcPr>
          <w:p w14:paraId="7988D061"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Livingstone et al., 2023</w:t>
            </w:r>
          </w:p>
        </w:tc>
        <w:tc>
          <w:tcPr>
            <w:tcW w:w="1207" w:type="dxa"/>
            <w:vMerge/>
            <w:tcBorders>
              <w:top w:val="nil"/>
              <w:left w:val="single" w:sz="4" w:space="0" w:color="auto"/>
              <w:bottom w:val="single" w:sz="4" w:space="0" w:color="auto"/>
              <w:right w:val="single" w:sz="4" w:space="0" w:color="auto"/>
            </w:tcBorders>
            <w:vAlign w:val="center"/>
            <w:hideMark/>
          </w:tcPr>
          <w:p w14:paraId="10AF01EB"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24E93E68"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230BF1CD"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1C480D08"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Home- or family-based nutrition interventions: Association between COM of adolescents, socioeconomic status and diet quality</w:t>
            </w:r>
          </w:p>
        </w:tc>
        <w:tc>
          <w:tcPr>
            <w:tcW w:w="1457" w:type="dxa"/>
            <w:tcBorders>
              <w:top w:val="nil"/>
              <w:left w:val="nil"/>
              <w:bottom w:val="single" w:sz="4" w:space="0" w:color="auto"/>
              <w:right w:val="single" w:sz="4" w:space="0" w:color="auto"/>
            </w:tcBorders>
            <w:hideMark/>
          </w:tcPr>
          <w:p w14:paraId="1328B14B"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678" w:type="dxa"/>
            <w:tcBorders>
              <w:top w:val="nil"/>
              <w:left w:val="nil"/>
              <w:bottom w:val="single" w:sz="4" w:space="0" w:color="auto"/>
              <w:right w:val="single" w:sz="4" w:space="0" w:color="auto"/>
            </w:tcBorders>
            <w:noWrap/>
            <w:hideMark/>
          </w:tcPr>
          <w:p w14:paraId="1B26455E"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67" w:type="dxa"/>
            <w:tcBorders>
              <w:top w:val="nil"/>
              <w:left w:val="nil"/>
              <w:bottom w:val="single" w:sz="4" w:space="0" w:color="auto"/>
              <w:right w:val="single" w:sz="4" w:space="0" w:color="auto"/>
            </w:tcBorders>
            <w:noWrap/>
            <w:hideMark/>
          </w:tcPr>
          <w:p w14:paraId="263FE6B1"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89" w:type="dxa"/>
            <w:tcBorders>
              <w:top w:val="nil"/>
              <w:left w:val="nil"/>
              <w:bottom w:val="single" w:sz="4" w:space="0" w:color="auto"/>
              <w:right w:val="single" w:sz="4" w:space="0" w:color="auto"/>
            </w:tcBorders>
            <w:hideMark/>
          </w:tcPr>
          <w:p w14:paraId="7C81C8F9"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COM-B model was used as a framework to inform the analysis performed alongside the COM determinants. Home availability of fruits and vegetables (COM's Opportunity) was found to be a positive driving factor.</w:t>
            </w:r>
          </w:p>
        </w:tc>
        <w:tc>
          <w:tcPr>
            <w:tcW w:w="1346" w:type="dxa"/>
            <w:tcBorders>
              <w:top w:val="nil"/>
              <w:left w:val="nil"/>
              <w:bottom w:val="single" w:sz="4" w:space="0" w:color="auto"/>
              <w:right w:val="single" w:sz="4" w:space="0" w:color="auto"/>
            </w:tcBorders>
            <w:hideMark/>
          </w:tcPr>
          <w:p w14:paraId="1A07ECE6"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440" w:type="dxa"/>
            <w:tcBorders>
              <w:top w:val="nil"/>
              <w:left w:val="nil"/>
              <w:bottom w:val="single" w:sz="4" w:space="0" w:color="auto"/>
              <w:right w:val="single" w:sz="4" w:space="0" w:color="auto"/>
            </w:tcBorders>
            <w:hideMark/>
          </w:tcPr>
          <w:p w14:paraId="3D17F185"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r>
      <w:tr w:rsidR="00B548E1" w14:paraId="3E59E3AE" w14:textId="77777777" w:rsidTr="00057600">
        <w:trPr>
          <w:trHeight w:val="1680"/>
        </w:trPr>
        <w:tc>
          <w:tcPr>
            <w:tcW w:w="418" w:type="dxa"/>
            <w:tcBorders>
              <w:top w:val="nil"/>
              <w:left w:val="single" w:sz="4" w:space="0" w:color="auto"/>
              <w:bottom w:val="single" w:sz="4" w:space="0" w:color="auto"/>
              <w:right w:val="single" w:sz="4" w:space="0" w:color="auto"/>
            </w:tcBorders>
            <w:noWrap/>
            <w:hideMark/>
          </w:tcPr>
          <w:p w14:paraId="48A3C2D9"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12</w:t>
            </w:r>
          </w:p>
        </w:tc>
        <w:tc>
          <w:tcPr>
            <w:tcW w:w="1139" w:type="dxa"/>
            <w:tcBorders>
              <w:top w:val="nil"/>
              <w:left w:val="nil"/>
              <w:bottom w:val="single" w:sz="4" w:space="0" w:color="auto"/>
              <w:right w:val="single" w:sz="4" w:space="0" w:color="auto"/>
            </w:tcBorders>
            <w:hideMark/>
          </w:tcPr>
          <w:p w14:paraId="4D76DB25"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Bestle et al., 2024</w:t>
            </w:r>
          </w:p>
        </w:tc>
        <w:tc>
          <w:tcPr>
            <w:tcW w:w="1207" w:type="dxa"/>
            <w:vMerge/>
            <w:tcBorders>
              <w:top w:val="nil"/>
              <w:left w:val="single" w:sz="4" w:space="0" w:color="auto"/>
              <w:bottom w:val="single" w:sz="4" w:space="0" w:color="auto"/>
              <w:right w:val="single" w:sz="4" w:space="0" w:color="auto"/>
            </w:tcBorders>
            <w:vAlign w:val="center"/>
            <w:hideMark/>
          </w:tcPr>
          <w:p w14:paraId="63C1EBE3"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21834E51"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45602DA7"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15C42A4D"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School-based nutrition interventions: reduction in intake of discretionary foods and drinks among schoolchildren</w:t>
            </w:r>
          </w:p>
        </w:tc>
        <w:tc>
          <w:tcPr>
            <w:tcW w:w="1457" w:type="dxa"/>
            <w:tcBorders>
              <w:top w:val="nil"/>
              <w:left w:val="nil"/>
              <w:bottom w:val="single" w:sz="4" w:space="0" w:color="auto"/>
              <w:right w:val="single" w:sz="4" w:space="0" w:color="auto"/>
            </w:tcBorders>
            <w:hideMark/>
          </w:tcPr>
          <w:p w14:paraId="21977C27"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Designed using a multicomponent theory-based approach involving school health nurses and families to identify intervention components to limit the intake of discretionary foods and drinks among schoolchildren</w:t>
            </w:r>
          </w:p>
        </w:tc>
        <w:tc>
          <w:tcPr>
            <w:tcW w:w="1678" w:type="dxa"/>
            <w:tcBorders>
              <w:top w:val="nil"/>
              <w:left w:val="nil"/>
              <w:bottom w:val="single" w:sz="4" w:space="0" w:color="auto"/>
              <w:right w:val="single" w:sz="4" w:space="0" w:color="auto"/>
            </w:tcBorders>
            <w:hideMark/>
          </w:tcPr>
          <w:p w14:paraId="4B82B624"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67" w:type="dxa"/>
            <w:tcBorders>
              <w:top w:val="nil"/>
              <w:left w:val="nil"/>
              <w:bottom w:val="single" w:sz="4" w:space="0" w:color="auto"/>
              <w:right w:val="single" w:sz="4" w:space="0" w:color="auto"/>
            </w:tcBorders>
            <w:hideMark/>
          </w:tcPr>
          <w:p w14:paraId="709251FA"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COM-B's elements of capabilities (i.e., awareness or knowledge) for the recommended discretionary drinks were successful factors, but no change of the social and structural settings.</w:t>
            </w:r>
          </w:p>
        </w:tc>
        <w:tc>
          <w:tcPr>
            <w:tcW w:w="1389" w:type="dxa"/>
            <w:tcBorders>
              <w:top w:val="nil"/>
              <w:left w:val="nil"/>
              <w:bottom w:val="single" w:sz="4" w:space="0" w:color="auto"/>
              <w:right w:val="single" w:sz="4" w:space="0" w:color="auto"/>
            </w:tcBorders>
            <w:hideMark/>
          </w:tcPr>
          <w:p w14:paraId="385FC7ED"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Social Cognitive Theory was selected as a guide for developing the intervention using several components, as it aims to describe cognitive determinants (including COM's capability) for behavioral changes.</w:t>
            </w:r>
          </w:p>
        </w:tc>
        <w:tc>
          <w:tcPr>
            <w:tcW w:w="1346" w:type="dxa"/>
            <w:tcBorders>
              <w:top w:val="nil"/>
              <w:left w:val="nil"/>
              <w:bottom w:val="single" w:sz="4" w:space="0" w:color="auto"/>
              <w:right w:val="single" w:sz="4" w:space="0" w:color="auto"/>
            </w:tcBorders>
            <w:hideMark/>
          </w:tcPr>
          <w:p w14:paraId="4D859C59"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Providing new guidelines through local school health nurses and knowledge- and capability-building materials for the reduction of intake of discretionary foods and drinks</w:t>
            </w:r>
          </w:p>
        </w:tc>
        <w:tc>
          <w:tcPr>
            <w:tcW w:w="1440" w:type="dxa"/>
            <w:tcBorders>
              <w:top w:val="nil"/>
              <w:left w:val="nil"/>
              <w:bottom w:val="single" w:sz="4" w:space="0" w:color="auto"/>
              <w:right w:val="single" w:sz="4" w:space="0" w:color="auto"/>
            </w:tcBorders>
            <w:hideMark/>
          </w:tcPr>
          <w:p w14:paraId="19CBE697"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intake of discretionary foods and drinks during weekend days is outside the school context, an indication that parents, homes and social settings (i.e., COM's Opportunity) were unaccounted for, yet relevant in interventions focusing on discretionary foods and drinks.</w:t>
            </w:r>
          </w:p>
        </w:tc>
      </w:tr>
      <w:tr w:rsidR="00B548E1" w14:paraId="478AED4F" w14:textId="77777777" w:rsidTr="00057600">
        <w:trPr>
          <w:trHeight w:val="2100"/>
        </w:trPr>
        <w:tc>
          <w:tcPr>
            <w:tcW w:w="418" w:type="dxa"/>
            <w:tcBorders>
              <w:top w:val="nil"/>
              <w:left w:val="single" w:sz="4" w:space="0" w:color="auto"/>
              <w:bottom w:val="single" w:sz="4" w:space="0" w:color="auto"/>
              <w:right w:val="single" w:sz="4" w:space="0" w:color="auto"/>
            </w:tcBorders>
            <w:noWrap/>
            <w:hideMark/>
          </w:tcPr>
          <w:p w14:paraId="1980663A"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lastRenderedPageBreak/>
              <w:t>13</w:t>
            </w:r>
          </w:p>
        </w:tc>
        <w:tc>
          <w:tcPr>
            <w:tcW w:w="1139" w:type="dxa"/>
            <w:tcBorders>
              <w:top w:val="nil"/>
              <w:left w:val="nil"/>
              <w:bottom w:val="single" w:sz="4" w:space="0" w:color="auto"/>
              <w:right w:val="single" w:sz="4" w:space="0" w:color="auto"/>
            </w:tcBorders>
            <w:hideMark/>
          </w:tcPr>
          <w:p w14:paraId="6DDE74A4"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Nuampa et al., 2024</w:t>
            </w:r>
          </w:p>
        </w:tc>
        <w:tc>
          <w:tcPr>
            <w:tcW w:w="1207" w:type="dxa"/>
            <w:vMerge/>
            <w:tcBorders>
              <w:top w:val="nil"/>
              <w:left w:val="single" w:sz="4" w:space="0" w:color="auto"/>
              <w:bottom w:val="single" w:sz="4" w:space="0" w:color="auto"/>
              <w:right w:val="single" w:sz="4" w:space="0" w:color="auto"/>
            </w:tcBorders>
            <w:vAlign w:val="center"/>
            <w:hideMark/>
          </w:tcPr>
          <w:p w14:paraId="0A2DB2EA"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16356DE3"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1AC55DC2"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20AA891C"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Pregnancy, neonatal, and breastfeeding nutrition interventions: digital apps for breastfeeding support</w:t>
            </w:r>
          </w:p>
        </w:tc>
        <w:tc>
          <w:tcPr>
            <w:tcW w:w="1457" w:type="dxa"/>
            <w:tcBorders>
              <w:top w:val="nil"/>
              <w:left w:val="nil"/>
              <w:bottom w:val="single" w:sz="4" w:space="0" w:color="auto"/>
              <w:right w:val="single" w:sz="4" w:space="0" w:color="auto"/>
            </w:tcBorders>
            <w:hideMark/>
          </w:tcPr>
          <w:p w14:paraId="495AC266"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design of a smartphone app through interviews to map potential inhibiting and driving factors and needs to the COM-B model.</w:t>
            </w:r>
          </w:p>
        </w:tc>
        <w:tc>
          <w:tcPr>
            <w:tcW w:w="1678" w:type="dxa"/>
            <w:tcBorders>
              <w:top w:val="nil"/>
              <w:left w:val="nil"/>
              <w:bottom w:val="single" w:sz="4" w:space="0" w:color="auto"/>
              <w:right w:val="single" w:sz="4" w:space="0" w:color="auto"/>
            </w:tcBorders>
            <w:noWrap/>
            <w:hideMark/>
          </w:tcPr>
          <w:p w14:paraId="39E0AAFB"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67" w:type="dxa"/>
            <w:tcBorders>
              <w:top w:val="nil"/>
              <w:left w:val="nil"/>
              <w:bottom w:val="single" w:sz="4" w:space="0" w:color="auto"/>
              <w:right w:val="single" w:sz="4" w:space="0" w:color="auto"/>
            </w:tcBorders>
            <w:noWrap/>
            <w:hideMark/>
          </w:tcPr>
          <w:p w14:paraId="7B0C368C"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89" w:type="dxa"/>
            <w:tcBorders>
              <w:top w:val="nil"/>
              <w:left w:val="nil"/>
              <w:bottom w:val="single" w:sz="4" w:space="0" w:color="auto"/>
              <w:right w:val="single" w:sz="4" w:space="0" w:color="auto"/>
            </w:tcBorders>
            <w:hideMark/>
          </w:tcPr>
          <w:p w14:paraId="1E95911F"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Built on COM-B positing that individuals' COM pave the way for breastfeeding through interaction among the tripartite prerequisite conditions. The COM-B model helped uncover relevant factors for breastfeeding: motivation as a core part of the target behavior, which is influenced by capabilities and opportunities offered by the app.</w:t>
            </w:r>
          </w:p>
        </w:tc>
        <w:tc>
          <w:tcPr>
            <w:tcW w:w="1346" w:type="dxa"/>
            <w:tcBorders>
              <w:top w:val="nil"/>
              <w:left w:val="nil"/>
              <w:bottom w:val="single" w:sz="4" w:space="0" w:color="auto"/>
              <w:right w:val="single" w:sz="4" w:space="0" w:color="auto"/>
            </w:tcBorders>
            <w:hideMark/>
          </w:tcPr>
          <w:p w14:paraId="6AED1A44"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key strengths include the mapping of key factors, perceptions, and needs affecting smartphone apps support to the COM-B to guide the design and plan for implementing optimal breastfeeding among adolescent mothers.</w:t>
            </w:r>
          </w:p>
        </w:tc>
        <w:tc>
          <w:tcPr>
            <w:tcW w:w="1440" w:type="dxa"/>
            <w:tcBorders>
              <w:top w:val="nil"/>
              <w:left w:val="nil"/>
              <w:bottom w:val="single" w:sz="4" w:space="0" w:color="auto"/>
              <w:right w:val="single" w:sz="4" w:space="0" w:color="auto"/>
            </w:tcBorders>
            <w:hideMark/>
          </w:tcPr>
          <w:p w14:paraId="251591E6"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With external validity threats due to a positive attitude about healthcare technology during the COVID-19 pandemic, the theoretical gaps might not have been identified.</w:t>
            </w:r>
          </w:p>
        </w:tc>
      </w:tr>
      <w:tr w:rsidR="00B548E1" w14:paraId="693B5B04" w14:textId="77777777" w:rsidTr="00057600">
        <w:trPr>
          <w:trHeight w:val="2520"/>
        </w:trPr>
        <w:tc>
          <w:tcPr>
            <w:tcW w:w="418" w:type="dxa"/>
            <w:tcBorders>
              <w:top w:val="nil"/>
              <w:left w:val="single" w:sz="4" w:space="0" w:color="auto"/>
              <w:bottom w:val="single" w:sz="4" w:space="0" w:color="auto"/>
              <w:right w:val="single" w:sz="4" w:space="0" w:color="auto"/>
            </w:tcBorders>
            <w:noWrap/>
            <w:hideMark/>
          </w:tcPr>
          <w:p w14:paraId="37BED7DA"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14</w:t>
            </w:r>
          </w:p>
        </w:tc>
        <w:tc>
          <w:tcPr>
            <w:tcW w:w="1139" w:type="dxa"/>
            <w:tcBorders>
              <w:top w:val="nil"/>
              <w:left w:val="nil"/>
              <w:bottom w:val="single" w:sz="4" w:space="0" w:color="auto"/>
              <w:right w:val="single" w:sz="4" w:space="0" w:color="auto"/>
            </w:tcBorders>
            <w:hideMark/>
          </w:tcPr>
          <w:p w14:paraId="2F6B8C1B"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Sutherland et al., 2021</w:t>
            </w:r>
          </w:p>
        </w:tc>
        <w:tc>
          <w:tcPr>
            <w:tcW w:w="1207" w:type="dxa"/>
            <w:vMerge/>
            <w:tcBorders>
              <w:top w:val="nil"/>
              <w:left w:val="single" w:sz="4" w:space="0" w:color="auto"/>
              <w:bottom w:val="single" w:sz="4" w:space="0" w:color="auto"/>
              <w:right w:val="single" w:sz="4" w:space="0" w:color="auto"/>
            </w:tcBorders>
            <w:vAlign w:val="center"/>
            <w:hideMark/>
          </w:tcPr>
          <w:p w14:paraId="4BEAAD57"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0508D207"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3E6E0DD7"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1F15CCE5"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School-based nutrition interventions: reduction of the consumption of discretionary foods in school lunchboxes</w:t>
            </w:r>
          </w:p>
        </w:tc>
        <w:tc>
          <w:tcPr>
            <w:tcW w:w="1457" w:type="dxa"/>
            <w:tcBorders>
              <w:top w:val="nil"/>
              <w:left w:val="nil"/>
              <w:bottom w:val="single" w:sz="4" w:space="0" w:color="auto"/>
              <w:right w:val="single" w:sz="4" w:space="0" w:color="auto"/>
            </w:tcBorders>
            <w:hideMark/>
          </w:tcPr>
          <w:p w14:paraId="2262343A"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BCW was used to codesign the multicomponent SWAP IT intervention</w:t>
            </w:r>
          </w:p>
        </w:tc>
        <w:tc>
          <w:tcPr>
            <w:tcW w:w="1678" w:type="dxa"/>
            <w:tcBorders>
              <w:top w:val="nil"/>
              <w:left w:val="nil"/>
              <w:bottom w:val="single" w:sz="4" w:space="0" w:color="auto"/>
              <w:right w:val="single" w:sz="4" w:space="0" w:color="auto"/>
            </w:tcBorders>
            <w:hideMark/>
          </w:tcPr>
          <w:p w14:paraId="2C7A500A"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67" w:type="dxa"/>
            <w:tcBorders>
              <w:top w:val="nil"/>
              <w:left w:val="nil"/>
              <w:bottom w:val="single" w:sz="4" w:space="0" w:color="auto"/>
              <w:right w:val="single" w:sz="4" w:space="0" w:color="auto"/>
            </w:tcBorders>
            <w:hideMark/>
          </w:tcPr>
          <w:p w14:paraId="6B5D6799"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89" w:type="dxa"/>
            <w:tcBorders>
              <w:top w:val="nil"/>
              <w:left w:val="nil"/>
              <w:bottom w:val="single" w:sz="4" w:space="0" w:color="auto"/>
              <w:right w:val="single" w:sz="4" w:space="0" w:color="auto"/>
            </w:tcBorders>
            <w:hideMark/>
          </w:tcPr>
          <w:p w14:paraId="795C3BDC"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BCW was used to assess barriers, acceptability of intervention strategies, and content and delivery mode. A literature review of existing lunchbox interventions was undertaken to select BCTs and strategies to support parents to pack healthy school lunchboxes.</w:t>
            </w:r>
          </w:p>
        </w:tc>
        <w:tc>
          <w:tcPr>
            <w:tcW w:w="1346" w:type="dxa"/>
            <w:tcBorders>
              <w:top w:val="nil"/>
              <w:left w:val="nil"/>
              <w:bottom w:val="single" w:sz="4" w:space="0" w:color="auto"/>
              <w:right w:val="single" w:sz="4" w:space="0" w:color="auto"/>
            </w:tcBorders>
            <w:hideMark/>
          </w:tcPr>
          <w:p w14:paraId="62715AAF"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intervention was integrated into an existing school communication app that had already been adopted by schools and downloaded by parents. Embedding digital interventions within existing systems already supported by additional behavior change strategies may be superior to developing and implementing new, standalone digital health interventions alone.</w:t>
            </w:r>
          </w:p>
        </w:tc>
        <w:tc>
          <w:tcPr>
            <w:tcW w:w="1440" w:type="dxa"/>
            <w:tcBorders>
              <w:top w:val="nil"/>
              <w:left w:val="nil"/>
              <w:bottom w:val="single" w:sz="4" w:space="0" w:color="auto"/>
              <w:right w:val="single" w:sz="4" w:space="0" w:color="auto"/>
            </w:tcBorders>
            <w:hideMark/>
          </w:tcPr>
          <w:p w14:paraId="31B0DDD7"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r>
      <w:tr w:rsidR="00B548E1" w14:paraId="753595CA" w14:textId="77777777" w:rsidTr="00057600">
        <w:trPr>
          <w:trHeight w:val="420"/>
        </w:trPr>
        <w:tc>
          <w:tcPr>
            <w:tcW w:w="418" w:type="dxa"/>
            <w:tcBorders>
              <w:top w:val="nil"/>
              <w:left w:val="single" w:sz="4" w:space="0" w:color="auto"/>
              <w:bottom w:val="single" w:sz="4" w:space="0" w:color="auto"/>
              <w:right w:val="single" w:sz="4" w:space="0" w:color="auto"/>
            </w:tcBorders>
            <w:noWrap/>
            <w:hideMark/>
          </w:tcPr>
          <w:p w14:paraId="251FA775"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lastRenderedPageBreak/>
              <w:t> </w:t>
            </w:r>
          </w:p>
        </w:tc>
        <w:tc>
          <w:tcPr>
            <w:tcW w:w="1139" w:type="dxa"/>
            <w:tcBorders>
              <w:top w:val="nil"/>
              <w:left w:val="nil"/>
              <w:bottom w:val="single" w:sz="4" w:space="0" w:color="auto"/>
              <w:right w:val="single" w:sz="4" w:space="0" w:color="auto"/>
            </w:tcBorders>
            <w:hideMark/>
          </w:tcPr>
          <w:p w14:paraId="4A6808C6"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Bestle et al., 2024</w:t>
            </w:r>
          </w:p>
        </w:tc>
        <w:tc>
          <w:tcPr>
            <w:tcW w:w="1207" w:type="dxa"/>
            <w:vMerge w:val="restart"/>
            <w:tcBorders>
              <w:top w:val="nil"/>
              <w:left w:val="single" w:sz="4" w:space="0" w:color="auto"/>
              <w:bottom w:val="single" w:sz="4" w:space="0" w:color="auto"/>
              <w:right w:val="single" w:sz="4" w:space="0" w:color="auto"/>
            </w:tcBorders>
            <w:hideMark/>
          </w:tcPr>
          <w:p w14:paraId="14256288"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Child nutrition interventions addressing overweight or obesity</w:t>
            </w:r>
          </w:p>
        </w:tc>
        <w:tc>
          <w:tcPr>
            <w:tcW w:w="1176" w:type="dxa"/>
            <w:vMerge w:val="restart"/>
            <w:tcBorders>
              <w:top w:val="nil"/>
              <w:left w:val="single" w:sz="4" w:space="0" w:color="auto"/>
              <w:bottom w:val="single" w:sz="4" w:space="0" w:color="auto"/>
              <w:right w:val="single" w:sz="4" w:space="0" w:color="auto"/>
            </w:tcBorders>
            <w:hideMark/>
          </w:tcPr>
          <w:p w14:paraId="7941C3A2" w14:textId="77777777" w:rsidR="00B548E1" w:rsidRPr="003169AF" w:rsidRDefault="00B548E1" w:rsidP="00057600">
            <w:pPr>
              <w:spacing w:after="0" w:line="240" w:lineRule="auto"/>
              <w:jc w:val="center"/>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13</w:t>
            </w:r>
          </w:p>
        </w:tc>
        <w:tc>
          <w:tcPr>
            <w:tcW w:w="1176" w:type="dxa"/>
            <w:vMerge w:val="restart"/>
            <w:tcBorders>
              <w:top w:val="nil"/>
              <w:left w:val="single" w:sz="4" w:space="0" w:color="auto"/>
              <w:bottom w:val="single" w:sz="4" w:space="0" w:color="auto"/>
              <w:right w:val="single" w:sz="4" w:space="0" w:color="auto"/>
            </w:tcBorders>
            <w:noWrap/>
            <w:hideMark/>
          </w:tcPr>
          <w:p w14:paraId="6AFB21F3" w14:textId="77777777" w:rsidR="00B548E1" w:rsidRPr="003169AF" w:rsidRDefault="00B548E1" w:rsidP="00057600">
            <w:pPr>
              <w:spacing w:after="0" w:line="240" w:lineRule="auto"/>
              <w:jc w:val="center"/>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59%</w:t>
            </w:r>
          </w:p>
        </w:tc>
        <w:tc>
          <w:tcPr>
            <w:tcW w:w="1322" w:type="dxa"/>
            <w:tcBorders>
              <w:top w:val="nil"/>
              <w:left w:val="nil"/>
              <w:bottom w:val="single" w:sz="4" w:space="0" w:color="auto"/>
              <w:right w:val="single" w:sz="4" w:space="0" w:color="auto"/>
            </w:tcBorders>
            <w:hideMark/>
          </w:tcPr>
          <w:p w14:paraId="3F524A1C"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Same as row number 12</w:t>
            </w:r>
          </w:p>
        </w:tc>
        <w:tc>
          <w:tcPr>
            <w:tcW w:w="1457" w:type="dxa"/>
            <w:tcBorders>
              <w:top w:val="nil"/>
              <w:left w:val="nil"/>
              <w:bottom w:val="single" w:sz="4" w:space="0" w:color="auto"/>
              <w:right w:val="single" w:sz="4" w:space="0" w:color="auto"/>
            </w:tcBorders>
            <w:hideMark/>
          </w:tcPr>
          <w:p w14:paraId="52F1DE20"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12</w:t>
            </w:r>
          </w:p>
        </w:tc>
        <w:tc>
          <w:tcPr>
            <w:tcW w:w="1678" w:type="dxa"/>
            <w:tcBorders>
              <w:top w:val="nil"/>
              <w:left w:val="nil"/>
              <w:bottom w:val="single" w:sz="4" w:space="0" w:color="auto"/>
              <w:right w:val="single" w:sz="4" w:space="0" w:color="auto"/>
            </w:tcBorders>
            <w:hideMark/>
          </w:tcPr>
          <w:p w14:paraId="23E3562E"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12</w:t>
            </w:r>
          </w:p>
        </w:tc>
        <w:tc>
          <w:tcPr>
            <w:tcW w:w="1367" w:type="dxa"/>
            <w:tcBorders>
              <w:top w:val="nil"/>
              <w:left w:val="nil"/>
              <w:bottom w:val="single" w:sz="4" w:space="0" w:color="auto"/>
              <w:right w:val="single" w:sz="4" w:space="0" w:color="auto"/>
            </w:tcBorders>
            <w:hideMark/>
          </w:tcPr>
          <w:p w14:paraId="636DF368"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12</w:t>
            </w:r>
          </w:p>
        </w:tc>
        <w:tc>
          <w:tcPr>
            <w:tcW w:w="1389" w:type="dxa"/>
            <w:tcBorders>
              <w:top w:val="nil"/>
              <w:left w:val="nil"/>
              <w:bottom w:val="single" w:sz="4" w:space="0" w:color="auto"/>
              <w:right w:val="single" w:sz="4" w:space="0" w:color="auto"/>
            </w:tcBorders>
            <w:hideMark/>
          </w:tcPr>
          <w:p w14:paraId="0C1FCEAD"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12</w:t>
            </w:r>
          </w:p>
        </w:tc>
        <w:tc>
          <w:tcPr>
            <w:tcW w:w="1346" w:type="dxa"/>
            <w:tcBorders>
              <w:top w:val="nil"/>
              <w:left w:val="nil"/>
              <w:bottom w:val="single" w:sz="4" w:space="0" w:color="auto"/>
              <w:right w:val="single" w:sz="4" w:space="0" w:color="auto"/>
            </w:tcBorders>
            <w:hideMark/>
          </w:tcPr>
          <w:p w14:paraId="3B4879EC"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12</w:t>
            </w:r>
          </w:p>
        </w:tc>
        <w:tc>
          <w:tcPr>
            <w:tcW w:w="1440" w:type="dxa"/>
            <w:tcBorders>
              <w:top w:val="nil"/>
              <w:left w:val="nil"/>
              <w:bottom w:val="single" w:sz="4" w:space="0" w:color="auto"/>
              <w:right w:val="single" w:sz="4" w:space="0" w:color="auto"/>
            </w:tcBorders>
            <w:hideMark/>
          </w:tcPr>
          <w:p w14:paraId="667A199D"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12</w:t>
            </w:r>
          </w:p>
        </w:tc>
      </w:tr>
      <w:tr w:rsidR="00B548E1" w14:paraId="06122CEF" w14:textId="77777777" w:rsidTr="00057600">
        <w:trPr>
          <w:trHeight w:val="420"/>
        </w:trPr>
        <w:tc>
          <w:tcPr>
            <w:tcW w:w="418" w:type="dxa"/>
            <w:tcBorders>
              <w:top w:val="nil"/>
              <w:left w:val="single" w:sz="4" w:space="0" w:color="auto"/>
              <w:bottom w:val="single" w:sz="4" w:space="0" w:color="auto"/>
              <w:right w:val="single" w:sz="4" w:space="0" w:color="auto"/>
            </w:tcBorders>
            <w:noWrap/>
            <w:hideMark/>
          </w:tcPr>
          <w:p w14:paraId="23C06CF5"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 </w:t>
            </w:r>
          </w:p>
        </w:tc>
        <w:tc>
          <w:tcPr>
            <w:tcW w:w="1139" w:type="dxa"/>
            <w:tcBorders>
              <w:top w:val="nil"/>
              <w:left w:val="nil"/>
              <w:bottom w:val="single" w:sz="4" w:space="0" w:color="auto"/>
              <w:right w:val="single" w:sz="4" w:space="0" w:color="auto"/>
            </w:tcBorders>
            <w:hideMark/>
          </w:tcPr>
          <w:p w14:paraId="2820AF2C"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Chai et al., 2019</w:t>
            </w:r>
          </w:p>
        </w:tc>
        <w:tc>
          <w:tcPr>
            <w:tcW w:w="1207" w:type="dxa"/>
            <w:vMerge/>
            <w:tcBorders>
              <w:top w:val="nil"/>
              <w:left w:val="single" w:sz="4" w:space="0" w:color="auto"/>
              <w:bottom w:val="single" w:sz="4" w:space="0" w:color="auto"/>
              <w:right w:val="single" w:sz="4" w:space="0" w:color="auto"/>
            </w:tcBorders>
            <w:vAlign w:val="center"/>
            <w:hideMark/>
          </w:tcPr>
          <w:p w14:paraId="08ECFF5B"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070D0DC5"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1AD5EB87"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1BB94CEC"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Same as row number 6</w:t>
            </w:r>
          </w:p>
        </w:tc>
        <w:tc>
          <w:tcPr>
            <w:tcW w:w="1457" w:type="dxa"/>
            <w:tcBorders>
              <w:top w:val="nil"/>
              <w:left w:val="nil"/>
              <w:bottom w:val="single" w:sz="4" w:space="0" w:color="auto"/>
              <w:right w:val="single" w:sz="4" w:space="0" w:color="auto"/>
            </w:tcBorders>
            <w:hideMark/>
          </w:tcPr>
          <w:p w14:paraId="2EC8BA06"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6</w:t>
            </w:r>
          </w:p>
        </w:tc>
        <w:tc>
          <w:tcPr>
            <w:tcW w:w="1678" w:type="dxa"/>
            <w:tcBorders>
              <w:top w:val="nil"/>
              <w:left w:val="nil"/>
              <w:bottom w:val="single" w:sz="4" w:space="0" w:color="auto"/>
              <w:right w:val="single" w:sz="4" w:space="0" w:color="auto"/>
            </w:tcBorders>
            <w:hideMark/>
          </w:tcPr>
          <w:p w14:paraId="65954C2C"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6</w:t>
            </w:r>
          </w:p>
        </w:tc>
        <w:tc>
          <w:tcPr>
            <w:tcW w:w="1367" w:type="dxa"/>
            <w:tcBorders>
              <w:top w:val="nil"/>
              <w:left w:val="nil"/>
              <w:bottom w:val="single" w:sz="4" w:space="0" w:color="auto"/>
              <w:right w:val="single" w:sz="4" w:space="0" w:color="auto"/>
            </w:tcBorders>
            <w:hideMark/>
          </w:tcPr>
          <w:p w14:paraId="2B982594"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6</w:t>
            </w:r>
          </w:p>
        </w:tc>
        <w:tc>
          <w:tcPr>
            <w:tcW w:w="1389" w:type="dxa"/>
            <w:tcBorders>
              <w:top w:val="nil"/>
              <w:left w:val="nil"/>
              <w:bottom w:val="single" w:sz="4" w:space="0" w:color="auto"/>
              <w:right w:val="single" w:sz="4" w:space="0" w:color="auto"/>
            </w:tcBorders>
            <w:hideMark/>
          </w:tcPr>
          <w:p w14:paraId="06E66055"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6</w:t>
            </w:r>
          </w:p>
        </w:tc>
        <w:tc>
          <w:tcPr>
            <w:tcW w:w="1346" w:type="dxa"/>
            <w:tcBorders>
              <w:top w:val="nil"/>
              <w:left w:val="nil"/>
              <w:bottom w:val="single" w:sz="4" w:space="0" w:color="auto"/>
              <w:right w:val="single" w:sz="4" w:space="0" w:color="auto"/>
            </w:tcBorders>
            <w:hideMark/>
          </w:tcPr>
          <w:p w14:paraId="4F0A4DE2"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6</w:t>
            </w:r>
          </w:p>
        </w:tc>
        <w:tc>
          <w:tcPr>
            <w:tcW w:w="1440" w:type="dxa"/>
            <w:tcBorders>
              <w:top w:val="nil"/>
              <w:left w:val="nil"/>
              <w:bottom w:val="single" w:sz="4" w:space="0" w:color="auto"/>
              <w:right w:val="single" w:sz="4" w:space="0" w:color="auto"/>
            </w:tcBorders>
            <w:hideMark/>
          </w:tcPr>
          <w:p w14:paraId="595AA8FF"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6</w:t>
            </w:r>
          </w:p>
        </w:tc>
      </w:tr>
      <w:tr w:rsidR="00B548E1" w14:paraId="550F205D" w14:textId="77777777" w:rsidTr="00057600">
        <w:trPr>
          <w:trHeight w:val="420"/>
        </w:trPr>
        <w:tc>
          <w:tcPr>
            <w:tcW w:w="418" w:type="dxa"/>
            <w:tcBorders>
              <w:top w:val="nil"/>
              <w:left w:val="single" w:sz="4" w:space="0" w:color="auto"/>
              <w:bottom w:val="single" w:sz="4" w:space="0" w:color="auto"/>
              <w:right w:val="single" w:sz="4" w:space="0" w:color="auto"/>
            </w:tcBorders>
            <w:noWrap/>
            <w:hideMark/>
          </w:tcPr>
          <w:p w14:paraId="02528EB1"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 </w:t>
            </w:r>
          </w:p>
        </w:tc>
        <w:tc>
          <w:tcPr>
            <w:tcW w:w="1139" w:type="dxa"/>
            <w:tcBorders>
              <w:top w:val="nil"/>
              <w:left w:val="nil"/>
              <w:bottom w:val="single" w:sz="4" w:space="0" w:color="auto"/>
              <w:right w:val="single" w:sz="4" w:space="0" w:color="auto"/>
            </w:tcBorders>
            <w:hideMark/>
          </w:tcPr>
          <w:p w14:paraId="3438C2D1"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Costello et al., 2017</w:t>
            </w:r>
          </w:p>
        </w:tc>
        <w:tc>
          <w:tcPr>
            <w:tcW w:w="1207" w:type="dxa"/>
            <w:vMerge/>
            <w:tcBorders>
              <w:top w:val="nil"/>
              <w:left w:val="single" w:sz="4" w:space="0" w:color="auto"/>
              <w:bottom w:val="single" w:sz="4" w:space="0" w:color="auto"/>
              <w:right w:val="single" w:sz="4" w:space="0" w:color="auto"/>
            </w:tcBorders>
            <w:vAlign w:val="center"/>
            <w:hideMark/>
          </w:tcPr>
          <w:p w14:paraId="00968D58"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2AB9230A"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1B8207B5"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666E7E42"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Same as row number 1</w:t>
            </w:r>
          </w:p>
        </w:tc>
        <w:tc>
          <w:tcPr>
            <w:tcW w:w="1457" w:type="dxa"/>
            <w:tcBorders>
              <w:top w:val="nil"/>
              <w:left w:val="nil"/>
              <w:bottom w:val="single" w:sz="4" w:space="0" w:color="auto"/>
              <w:right w:val="single" w:sz="4" w:space="0" w:color="auto"/>
            </w:tcBorders>
            <w:hideMark/>
          </w:tcPr>
          <w:p w14:paraId="37EEA7D2"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1</w:t>
            </w:r>
          </w:p>
        </w:tc>
        <w:tc>
          <w:tcPr>
            <w:tcW w:w="1678" w:type="dxa"/>
            <w:tcBorders>
              <w:top w:val="nil"/>
              <w:left w:val="nil"/>
              <w:bottom w:val="single" w:sz="4" w:space="0" w:color="auto"/>
              <w:right w:val="single" w:sz="4" w:space="0" w:color="auto"/>
            </w:tcBorders>
            <w:hideMark/>
          </w:tcPr>
          <w:p w14:paraId="59A8EC6B"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1</w:t>
            </w:r>
          </w:p>
        </w:tc>
        <w:tc>
          <w:tcPr>
            <w:tcW w:w="1367" w:type="dxa"/>
            <w:tcBorders>
              <w:top w:val="nil"/>
              <w:left w:val="nil"/>
              <w:bottom w:val="single" w:sz="4" w:space="0" w:color="auto"/>
              <w:right w:val="single" w:sz="4" w:space="0" w:color="auto"/>
            </w:tcBorders>
            <w:hideMark/>
          </w:tcPr>
          <w:p w14:paraId="4082A980"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1</w:t>
            </w:r>
          </w:p>
        </w:tc>
        <w:tc>
          <w:tcPr>
            <w:tcW w:w="1389" w:type="dxa"/>
            <w:tcBorders>
              <w:top w:val="nil"/>
              <w:left w:val="nil"/>
              <w:bottom w:val="single" w:sz="4" w:space="0" w:color="auto"/>
              <w:right w:val="single" w:sz="4" w:space="0" w:color="auto"/>
            </w:tcBorders>
            <w:hideMark/>
          </w:tcPr>
          <w:p w14:paraId="6FAD6B2A"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1</w:t>
            </w:r>
          </w:p>
        </w:tc>
        <w:tc>
          <w:tcPr>
            <w:tcW w:w="1346" w:type="dxa"/>
            <w:tcBorders>
              <w:top w:val="nil"/>
              <w:left w:val="nil"/>
              <w:bottom w:val="single" w:sz="4" w:space="0" w:color="auto"/>
              <w:right w:val="single" w:sz="4" w:space="0" w:color="auto"/>
            </w:tcBorders>
            <w:hideMark/>
          </w:tcPr>
          <w:p w14:paraId="6AF51807"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1</w:t>
            </w:r>
          </w:p>
        </w:tc>
        <w:tc>
          <w:tcPr>
            <w:tcW w:w="1440" w:type="dxa"/>
            <w:tcBorders>
              <w:top w:val="nil"/>
              <w:left w:val="nil"/>
              <w:bottom w:val="single" w:sz="4" w:space="0" w:color="auto"/>
              <w:right w:val="single" w:sz="4" w:space="0" w:color="auto"/>
            </w:tcBorders>
            <w:hideMark/>
          </w:tcPr>
          <w:p w14:paraId="57A7A26D"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1</w:t>
            </w:r>
          </w:p>
        </w:tc>
      </w:tr>
      <w:tr w:rsidR="00B548E1" w14:paraId="345FE4E3" w14:textId="77777777" w:rsidTr="00057600">
        <w:trPr>
          <w:trHeight w:val="2940"/>
        </w:trPr>
        <w:tc>
          <w:tcPr>
            <w:tcW w:w="418" w:type="dxa"/>
            <w:tcBorders>
              <w:top w:val="nil"/>
              <w:left w:val="single" w:sz="4" w:space="0" w:color="auto"/>
              <w:bottom w:val="single" w:sz="4" w:space="0" w:color="auto"/>
              <w:right w:val="single" w:sz="4" w:space="0" w:color="auto"/>
            </w:tcBorders>
            <w:noWrap/>
            <w:hideMark/>
          </w:tcPr>
          <w:p w14:paraId="405977C9"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15</w:t>
            </w:r>
          </w:p>
        </w:tc>
        <w:tc>
          <w:tcPr>
            <w:tcW w:w="1139" w:type="dxa"/>
            <w:tcBorders>
              <w:top w:val="nil"/>
              <w:left w:val="nil"/>
              <w:bottom w:val="single" w:sz="4" w:space="0" w:color="auto"/>
              <w:right w:val="single" w:sz="4" w:space="0" w:color="auto"/>
            </w:tcBorders>
            <w:hideMark/>
          </w:tcPr>
          <w:p w14:paraId="4355385B"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Cox et al. 2023</w:t>
            </w:r>
          </w:p>
        </w:tc>
        <w:tc>
          <w:tcPr>
            <w:tcW w:w="1207" w:type="dxa"/>
            <w:vMerge/>
            <w:tcBorders>
              <w:top w:val="nil"/>
              <w:left w:val="single" w:sz="4" w:space="0" w:color="auto"/>
              <w:bottom w:val="single" w:sz="4" w:space="0" w:color="auto"/>
              <w:right w:val="single" w:sz="4" w:space="0" w:color="auto"/>
            </w:tcBorders>
            <w:vAlign w:val="center"/>
            <w:hideMark/>
          </w:tcPr>
          <w:p w14:paraId="375FC8D6"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70A8820C"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0B91EB11"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77F3A372"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Nutrition interventions in social (or clinical) settings: Weight-management therapy-based intervention for children and young people</w:t>
            </w:r>
          </w:p>
        </w:tc>
        <w:tc>
          <w:tcPr>
            <w:tcW w:w="1457" w:type="dxa"/>
            <w:tcBorders>
              <w:top w:val="nil"/>
              <w:left w:val="nil"/>
              <w:bottom w:val="single" w:sz="4" w:space="0" w:color="auto"/>
              <w:right w:val="single" w:sz="4" w:space="0" w:color="auto"/>
            </w:tcBorders>
            <w:hideMark/>
          </w:tcPr>
          <w:p w14:paraId="58D23610"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Brought together the COM-B theory and evidence-based approach for intervention design, analyzed and reanalyzed behaviors to understand and determine iteratively what needs to change and how.</w:t>
            </w:r>
          </w:p>
        </w:tc>
        <w:tc>
          <w:tcPr>
            <w:tcW w:w="1678" w:type="dxa"/>
            <w:tcBorders>
              <w:top w:val="nil"/>
              <w:left w:val="nil"/>
              <w:bottom w:val="single" w:sz="4" w:space="0" w:color="auto"/>
              <w:right w:val="single" w:sz="4" w:space="0" w:color="auto"/>
            </w:tcBorders>
            <w:hideMark/>
          </w:tcPr>
          <w:p w14:paraId="1370E226"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COM-B model guided intervention implementation options to bring about the expected change, including reanalyses.</w:t>
            </w:r>
          </w:p>
        </w:tc>
        <w:tc>
          <w:tcPr>
            <w:tcW w:w="1367" w:type="dxa"/>
            <w:tcBorders>
              <w:top w:val="nil"/>
              <w:left w:val="nil"/>
              <w:bottom w:val="single" w:sz="4" w:space="0" w:color="auto"/>
              <w:right w:val="single" w:sz="4" w:space="0" w:color="auto"/>
            </w:tcBorders>
            <w:hideMark/>
          </w:tcPr>
          <w:p w14:paraId="6CA09994"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89" w:type="dxa"/>
            <w:tcBorders>
              <w:top w:val="nil"/>
              <w:left w:val="nil"/>
              <w:bottom w:val="single" w:sz="4" w:space="0" w:color="auto"/>
              <w:right w:val="single" w:sz="4" w:space="0" w:color="auto"/>
            </w:tcBorders>
            <w:hideMark/>
          </w:tcPr>
          <w:p w14:paraId="6830B16F"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Acknowledged COM as a prerequisite to perform the target Behavior, the COM-B is credited to offer a framework upon which to develop the content, design interventions, and specify the effective behavior change techniques and delivery mode to bring about change.</w:t>
            </w:r>
          </w:p>
        </w:tc>
        <w:tc>
          <w:tcPr>
            <w:tcW w:w="1346" w:type="dxa"/>
            <w:tcBorders>
              <w:top w:val="nil"/>
              <w:left w:val="nil"/>
              <w:bottom w:val="single" w:sz="4" w:space="0" w:color="auto"/>
              <w:right w:val="single" w:sz="4" w:space="0" w:color="auto"/>
            </w:tcBorders>
            <w:hideMark/>
          </w:tcPr>
          <w:p w14:paraId="2F13D41B"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COM-B, the person-based approach, and the contribution of a Patient-Public-Involvement (PPI) representative integrate lived-experience in intervention design, thus aligning with requirements of taking into account the views of children, young people and their families. To translate theory into practice in this intervention, contributions from patients and their families led to targeting self-determination and intrinsic motivation.</w:t>
            </w:r>
          </w:p>
        </w:tc>
        <w:tc>
          <w:tcPr>
            <w:tcW w:w="1440" w:type="dxa"/>
            <w:tcBorders>
              <w:top w:val="nil"/>
              <w:left w:val="nil"/>
              <w:bottom w:val="single" w:sz="4" w:space="0" w:color="auto"/>
              <w:right w:val="single" w:sz="4" w:space="0" w:color="auto"/>
            </w:tcBorders>
            <w:hideMark/>
          </w:tcPr>
          <w:p w14:paraId="26BCCF0D"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COM-B was applied with a limited number of PPI advisors with similar age and weight-status of the intervention in avoidance of overburdening young people involved in another research trial. Replacement sample of young people, although with relevant lived experience to contribute to this early PPI work, does not necessarily make the samples similar to correctly apply the theory across the sample.</w:t>
            </w:r>
          </w:p>
        </w:tc>
      </w:tr>
      <w:tr w:rsidR="00B548E1" w14:paraId="44A225AA" w14:textId="77777777" w:rsidTr="00057600">
        <w:trPr>
          <w:trHeight w:val="4200"/>
        </w:trPr>
        <w:tc>
          <w:tcPr>
            <w:tcW w:w="418" w:type="dxa"/>
            <w:tcBorders>
              <w:top w:val="nil"/>
              <w:left w:val="single" w:sz="4" w:space="0" w:color="auto"/>
              <w:bottom w:val="single" w:sz="4" w:space="0" w:color="auto"/>
              <w:right w:val="single" w:sz="4" w:space="0" w:color="auto"/>
            </w:tcBorders>
            <w:noWrap/>
            <w:hideMark/>
          </w:tcPr>
          <w:p w14:paraId="5DDCB706"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lastRenderedPageBreak/>
              <w:t>16</w:t>
            </w:r>
          </w:p>
        </w:tc>
        <w:tc>
          <w:tcPr>
            <w:tcW w:w="1139" w:type="dxa"/>
            <w:tcBorders>
              <w:top w:val="nil"/>
              <w:left w:val="nil"/>
              <w:bottom w:val="single" w:sz="4" w:space="0" w:color="auto"/>
              <w:right w:val="single" w:sz="4" w:space="0" w:color="auto"/>
            </w:tcBorders>
            <w:hideMark/>
          </w:tcPr>
          <w:p w14:paraId="776643DB"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Curtis, Atkins, and Brown, 2017</w:t>
            </w:r>
          </w:p>
        </w:tc>
        <w:tc>
          <w:tcPr>
            <w:tcW w:w="1207" w:type="dxa"/>
            <w:vMerge/>
            <w:tcBorders>
              <w:top w:val="nil"/>
              <w:left w:val="single" w:sz="4" w:space="0" w:color="auto"/>
              <w:bottom w:val="single" w:sz="4" w:space="0" w:color="auto"/>
              <w:right w:val="single" w:sz="4" w:space="0" w:color="auto"/>
            </w:tcBorders>
            <w:vAlign w:val="center"/>
            <w:hideMark/>
          </w:tcPr>
          <w:p w14:paraId="2946313B"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04DB63E7"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6F94429F"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25CCC653"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Home- or family-based nutrition interventions: interinfluence among parents' COM to produce the desired behaviors</w:t>
            </w:r>
          </w:p>
        </w:tc>
        <w:tc>
          <w:tcPr>
            <w:tcW w:w="1457" w:type="dxa"/>
            <w:tcBorders>
              <w:top w:val="nil"/>
              <w:left w:val="nil"/>
              <w:bottom w:val="single" w:sz="4" w:space="0" w:color="auto"/>
              <w:right w:val="single" w:sz="4" w:space="0" w:color="auto"/>
            </w:tcBorders>
            <w:hideMark/>
          </w:tcPr>
          <w:p w14:paraId="3BE11BAB"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Acknowledged how intervention developers started with a COM-B analysis of the problem and linked it to the BCW intervention functions to overcome limitations observed in other theories.</w:t>
            </w:r>
          </w:p>
        </w:tc>
        <w:tc>
          <w:tcPr>
            <w:tcW w:w="1678" w:type="dxa"/>
            <w:tcBorders>
              <w:top w:val="nil"/>
              <w:left w:val="nil"/>
              <w:bottom w:val="single" w:sz="4" w:space="0" w:color="auto"/>
              <w:right w:val="single" w:sz="4" w:space="0" w:color="auto"/>
            </w:tcBorders>
            <w:hideMark/>
          </w:tcPr>
          <w:p w14:paraId="45EF4DD5"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67" w:type="dxa"/>
            <w:tcBorders>
              <w:top w:val="nil"/>
              <w:left w:val="nil"/>
              <w:bottom w:val="single" w:sz="4" w:space="0" w:color="auto"/>
              <w:right w:val="single" w:sz="4" w:space="0" w:color="auto"/>
            </w:tcBorders>
            <w:hideMark/>
          </w:tcPr>
          <w:p w14:paraId="0889AEA3"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89" w:type="dxa"/>
            <w:tcBorders>
              <w:top w:val="nil"/>
              <w:left w:val="nil"/>
              <w:bottom w:val="single" w:sz="4" w:space="0" w:color="auto"/>
              <w:right w:val="single" w:sz="4" w:space="0" w:color="auto"/>
            </w:tcBorders>
            <w:hideMark/>
          </w:tcPr>
          <w:p w14:paraId="24FD56EB"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BCW steps led to the selection of the target behavior: food portion size regulation. Additionally,  in alignment with other research evidence, the application of the BCW framework is justified to identify interactive COM-B components that need to change to influence portion size behaviors.</w:t>
            </w:r>
          </w:p>
        </w:tc>
        <w:tc>
          <w:tcPr>
            <w:tcW w:w="1346" w:type="dxa"/>
            <w:tcBorders>
              <w:top w:val="nil"/>
              <w:left w:val="nil"/>
              <w:bottom w:val="single" w:sz="4" w:space="0" w:color="auto"/>
              <w:right w:val="single" w:sz="4" w:space="0" w:color="auto"/>
            </w:tcBorders>
            <w:hideMark/>
          </w:tcPr>
          <w:p w14:paraId="25FC3596"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A theoretical analysis suggested potential contributory factors: parents’ own overweight status (which parents may not wish to address); shifting the locus of control elsewhere including grandparents. The BCW holistic approach was used to overcome limitations of previous theories of behavior change which do not account for environmental influences on behavior. The TDF/COM-B approaches guided the research and analysis of the target behavior and allowed the identification of further determinants and strategies, thus enabling more extensive ways of targeting this behavior for change.</w:t>
            </w:r>
          </w:p>
        </w:tc>
        <w:tc>
          <w:tcPr>
            <w:tcW w:w="1440" w:type="dxa"/>
            <w:tcBorders>
              <w:top w:val="nil"/>
              <w:left w:val="nil"/>
              <w:bottom w:val="single" w:sz="4" w:space="0" w:color="auto"/>
              <w:right w:val="single" w:sz="4" w:space="0" w:color="auto"/>
            </w:tcBorders>
            <w:hideMark/>
          </w:tcPr>
          <w:p w14:paraId="57A08884"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r>
      <w:tr w:rsidR="00B548E1" w14:paraId="6EF944E3" w14:textId="77777777" w:rsidTr="00057600">
        <w:trPr>
          <w:trHeight w:val="3360"/>
        </w:trPr>
        <w:tc>
          <w:tcPr>
            <w:tcW w:w="418" w:type="dxa"/>
            <w:tcBorders>
              <w:top w:val="nil"/>
              <w:left w:val="single" w:sz="4" w:space="0" w:color="auto"/>
              <w:bottom w:val="single" w:sz="4" w:space="0" w:color="auto"/>
              <w:right w:val="single" w:sz="4" w:space="0" w:color="auto"/>
            </w:tcBorders>
            <w:noWrap/>
            <w:hideMark/>
          </w:tcPr>
          <w:p w14:paraId="1B8BD250"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17</w:t>
            </w:r>
          </w:p>
        </w:tc>
        <w:tc>
          <w:tcPr>
            <w:tcW w:w="1139" w:type="dxa"/>
            <w:tcBorders>
              <w:top w:val="nil"/>
              <w:left w:val="nil"/>
              <w:bottom w:val="single" w:sz="4" w:space="0" w:color="auto"/>
              <w:right w:val="single" w:sz="4" w:space="0" w:color="auto"/>
            </w:tcBorders>
            <w:hideMark/>
          </w:tcPr>
          <w:p w14:paraId="5E0FFB96"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Erzse et al. 2023</w:t>
            </w:r>
          </w:p>
        </w:tc>
        <w:tc>
          <w:tcPr>
            <w:tcW w:w="1207" w:type="dxa"/>
            <w:vMerge/>
            <w:tcBorders>
              <w:top w:val="nil"/>
              <w:left w:val="single" w:sz="4" w:space="0" w:color="auto"/>
              <w:bottom w:val="single" w:sz="4" w:space="0" w:color="auto"/>
              <w:right w:val="single" w:sz="4" w:space="0" w:color="auto"/>
            </w:tcBorders>
            <w:vAlign w:val="center"/>
            <w:hideMark/>
          </w:tcPr>
          <w:p w14:paraId="26338FFF"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2327EFB2"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4E235322"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3C392687"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School-based nutrition interventions: improving school food environments</w:t>
            </w:r>
          </w:p>
        </w:tc>
        <w:tc>
          <w:tcPr>
            <w:tcW w:w="1457" w:type="dxa"/>
            <w:tcBorders>
              <w:top w:val="nil"/>
              <w:left w:val="nil"/>
              <w:bottom w:val="single" w:sz="4" w:space="0" w:color="auto"/>
              <w:right w:val="single" w:sz="4" w:space="0" w:color="auto"/>
            </w:tcBorders>
            <w:hideMark/>
          </w:tcPr>
          <w:p w14:paraId="7787E773"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Invited stakeholders to comment on interventions iteratively developed through a three-phased process, mapped against the BCW and the behavioral drivers to consensually reach priority interventions.</w:t>
            </w:r>
          </w:p>
        </w:tc>
        <w:tc>
          <w:tcPr>
            <w:tcW w:w="1678" w:type="dxa"/>
            <w:tcBorders>
              <w:top w:val="nil"/>
              <w:left w:val="nil"/>
              <w:bottom w:val="single" w:sz="4" w:space="0" w:color="auto"/>
              <w:right w:val="single" w:sz="4" w:space="0" w:color="auto"/>
            </w:tcBorders>
            <w:hideMark/>
          </w:tcPr>
          <w:p w14:paraId="33C721E3"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67" w:type="dxa"/>
            <w:tcBorders>
              <w:top w:val="nil"/>
              <w:left w:val="nil"/>
              <w:bottom w:val="single" w:sz="4" w:space="0" w:color="auto"/>
              <w:right w:val="single" w:sz="4" w:space="0" w:color="auto"/>
            </w:tcBorders>
            <w:hideMark/>
          </w:tcPr>
          <w:p w14:paraId="796BC5B9"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89" w:type="dxa"/>
            <w:tcBorders>
              <w:top w:val="nil"/>
              <w:left w:val="nil"/>
              <w:bottom w:val="single" w:sz="4" w:space="0" w:color="auto"/>
              <w:right w:val="single" w:sz="4" w:space="0" w:color="auto"/>
            </w:tcBorders>
            <w:hideMark/>
          </w:tcPr>
          <w:p w14:paraId="368D3641"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A theory-based model used to analyze behavior change, with TDF's fourteen domains mapped onto the COM-B components. Assigning TDFs to identified barriers and facilitators allowed a more granular understanding of factors influencing behavior. The framework analysis using the COM-B and TDF revealed 31 unique contextual drivers that school staff either perceived to limit or facilitate a healthy school food environment. Interventions cut across all seven policy categories and all nine intervention functions of the BCW.</w:t>
            </w:r>
          </w:p>
        </w:tc>
        <w:tc>
          <w:tcPr>
            <w:tcW w:w="1346" w:type="dxa"/>
            <w:tcBorders>
              <w:top w:val="nil"/>
              <w:left w:val="nil"/>
              <w:bottom w:val="single" w:sz="4" w:space="0" w:color="auto"/>
              <w:right w:val="single" w:sz="4" w:space="0" w:color="auto"/>
            </w:tcBorders>
            <w:hideMark/>
          </w:tcPr>
          <w:p w14:paraId="626732C1"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Emphasis was placed on inclusion and securing the buy-in of diverse stakeholders from schools, government, academia, and civil society in identifying what needs to change and informing the prioritization of interventions, thus underscoring the comprehensive nature of the theoretical approach.</w:t>
            </w:r>
          </w:p>
        </w:tc>
        <w:tc>
          <w:tcPr>
            <w:tcW w:w="1440" w:type="dxa"/>
            <w:tcBorders>
              <w:top w:val="nil"/>
              <w:left w:val="nil"/>
              <w:bottom w:val="single" w:sz="4" w:space="0" w:color="auto"/>
              <w:right w:val="single" w:sz="4" w:space="0" w:color="auto"/>
            </w:tcBorders>
            <w:hideMark/>
          </w:tcPr>
          <w:p w14:paraId="2C12F978"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Some factors (i.e., age, years of experience, views of students and caregivers) that could have theoretically influenced their selection of priority interventions were not captured nor accounted for.</w:t>
            </w:r>
          </w:p>
        </w:tc>
      </w:tr>
      <w:tr w:rsidR="00B548E1" w14:paraId="7DF93447" w14:textId="77777777" w:rsidTr="00057600">
        <w:trPr>
          <w:trHeight w:val="2520"/>
        </w:trPr>
        <w:tc>
          <w:tcPr>
            <w:tcW w:w="418" w:type="dxa"/>
            <w:tcBorders>
              <w:top w:val="nil"/>
              <w:left w:val="single" w:sz="4" w:space="0" w:color="auto"/>
              <w:bottom w:val="single" w:sz="4" w:space="0" w:color="auto"/>
              <w:right w:val="single" w:sz="4" w:space="0" w:color="auto"/>
            </w:tcBorders>
            <w:noWrap/>
            <w:hideMark/>
          </w:tcPr>
          <w:p w14:paraId="6BD49F90"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lastRenderedPageBreak/>
              <w:t>18</w:t>
            </w:r>
          </w:p>
        </w:tc>
        <w:tc>
          <w:tcPr>
            <w:tcW w:w="1139" w:type="dxa"/>
            <w:tcBorders>
              <w:top w:val="nil"/>
              <w:left w:val="nil"/>
              <w:bottom w:val="single" w:sz="4" w:space="0" w:color="auto"/>
              <w:right w:val="single" w:sz="4" w:space="0" w:color="auto"/>
            </w:tcBorders>
            <w:hideMark/>
          </w:tcPr>
          <w:p w14:paraId="56FA551E"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Hart and Page, 2020</w:t>
            </w:r>
          </w:p>
        </w:tc>
        <w:tc>
          <w:tcPr>
            <w:tcW w:w="1207" w:type="dxa"/>
            <w:vMerge/>
            <w:tcBorders>
              <w:top w:val="nil"/>
              <w:left w:val="single" w:sz="4" w:space="0" w:color="auto"/>
              <w:bottom w:val="single" w:sz="4" w:space="0" w:color="auto"/>
              <w:right w:val="single" w:sz="4" w:space="0" w:color="auto"/>
            </w:tcBorders>
            <w:vAlign w:val="center"/>
            <w:hideMark/>
          </w:tcPr>
          <w:p w14:paraId="5CA038D6"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09B15AE3"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73F87494"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1D9D41DC"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School-based nutrition interventions: school food education and culture</w:t>
            </w:r>
          </w:p>
        </w:tc>
        <w:tc>
          <w:tcPr>
            <w:tcW w:w="1457" w:type="dxa"/>
            <w:tcBorders>
              <w:top w:val="nil"/>
              <w:left w:val="nil"/>
              <w:bottom w:val="single" w:sz="4" w:space="0" w:color="auto"/>
              <w:right w:val="single" w:sz="4" w:space="0" w:color="auto"/>
            </w:tcBorders>
            <w:hideMark/>
          </w:tcPr>
          <w:p w14:paraId="34F46492"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678" w:type="dxa"/>
            <w:tcBorders>
              <w:top w:val="nil"/>
              <w:left w:val="nil"/>
              <w:bottom w:val="single" w:sz="4" w:space="0" w:color="auto"/>
              <w:right w:val="single" w:sz="4" w:space="0" w:color="auto"/>
            </w:tcBorders>
            <w:hideMark/>
          </w:tcPr>
          <w:p w14:paraId="1EC3121A"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Monitoring of school food provision and development of wider health supporting school food practices</w:t>
            </w:r>
          </w:p>
        </w:tc>
        <w:tc>
          <w:tcPr>
            <w:tcW w:w="1367" w:type="dxa"/>
            <w:tcBorders>
              <w:top w:val="nil"/>
              <w:left w:val="nil"/>
              <w:bottom w:val="single" w:sz="4" w:space="0" w:color="auto"/>
              <w:right w:val="single" w:sz="4" w:space="0" w:color="auto"/>
            </w:tcBorders>
            <w:hideMark/>
          </w:tcPr>
          <w:p w14:paraId="3C9A39DA"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Evaluation of school food provision and development of wider health supporting school food practices</w:t>
            </w:r>
          </w:p>
        </w:tc>
        <w:tc>
          <w:tcPr>
            <w:tcW w:w="1389" w:type="dxa"/>
            <w:tcBorders>
              <w:top w:val="nil"/>
              <w:left w:val="nil"/>
              <w:bottom w:val="single" w:sz="4" w:space="0" w:color="auto"/>
              <w:right w:val="single" w:sz="4" w:space="0" w:color="auto"/>
            </w:tcBorders>
            <w:hideMark/>
          </w:tcPr>
          <w:p w14:paraId="03AA21D6"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School food culture is a product of a school’s physical and social food environment in and outside the classrooms or school premises. With evidence from other research, the focus was laid on individual and collective capabilities, social and environmental opportunities. It is argued that a combination of individual's COM lead to behavior change but also external conditions have to be in place.</w:t>
            </w:r>
          </w:p>
        </w:tc>
        <w:tc>
          <w:tcPr>
            <w:tcW w:w="1346" w:type="dxa"/>
            <w:tcBorders>
              <w:top w:val="nil"/>
              <w:left w:val="nil"/>
              <w:bottom w:val="single" w:sz="4" w:space="0" w:color="auto"/>
              <w:right w:val="single" w:sz="4" w:space="0" w:color="auto"/>
            </w:tcBorders>
            <w:hideMark/>
          </w:tcPr>
          <w:p w14:paraId="30E0C6B7"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440" w:type="dxa"/>
            <w:tcBorders>
              <w:top w:val="nil"/>
              <w:left w:val="nil"/>
              <w:bottom w:val="single" w:sz="4" w:space="0" w:color="auto"/>
              <w:right w:val="single" w:sz="4" w:space="0" w:color="auto"/>
            </w:tcBorders>
            <w:hideMark/>
          </w:tcPr>
          <w:p w14:paraId="3A342842"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r>
      <w:tr w:rsidR="00B548E1" w14:paraId="4A9533D7" w14:textId="77777777" w:rsidTr="00057600">
        <w:trPr>
          <w:trHeight w:val="1470"/>
        </w:trPr>
        <w:tc>
          <w:tcPr>
            <w:tcW w:w="418" w:type="dxa"/>
            <w:tcBorders>
              <w:top w:val="nil"/>
              <w:left w:val="single" w:sz="4" w:space="0" w:color="auto"/>
              <w:bottom w:val="single" w:sz="4" w:space="0" w:color="auto"/>
              <w:right w:val="single" w:sz="4" w:space="0" w:color="auto"/>
            </w:tcBorders>
            <w:noWrap/>
            <w:hideMark/>
          </w:tcPr>
          <w:p w14:paraId="5C5792DC"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lastRenderedPageBreak/>
              <w:t>19</w:t>
            </w:r>
          </w:p>
        </w:tc>
        <w:tc>
          <w:tcPr>
            <w:tcW w:w="1139" w:type="dxa"/>
            <w:tcBorders>
              <w:top w:val="nil"/>
              <w:left w:val="nil"/>
              <w:bottom w:val="single" w:sz="4" w:space="0" w:color="auto"/>
              <w:right w:val="single" w:sz="4" w:space="0" w:color="auto"/>
            </w:tcBorders>
            <w:hideMark/>
          </w:tcPr>
          <w:p w14:paraId="26A9E08F"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Lee et al. 2020</w:t>
            </w:r>
          </w:p>
        </w:tc>
        <w:tc>
          <w:tcPr>
            <w:tcW w:w="1207" w:type="dxa"/>
            <w:vMerge/>
            <w:tcBorders>
              <w:top w:val="nil"/>
              <w:left w:val="single" w:sz="4" w:space="0" w:color="auto"/>
              <w:bottom w:val="single" w:sz="4" w:space="0" w:color="auto"/>
              <w:right w:val="single" w:sz="4" w:space="0" w:color="auto"/>
            </w:tcBorders>
            <w:vAlign w:val="center"/>
            <w:hideMark/>
          </w:tcPr>
          <w:p w14:paraId="5E18913C"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6F8888FB"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63FBEB62"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52820583"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Nutrition interventions in social (or clinical) settings: nutrition care and education to address children and adolescent obesity</w:t>
            </w:r>
          </w:p>
        </w:tc>
        <w:tc>
          <w:tcPr>
            <w:tcW w:w="1457" w:type="dxa"/>
            <w:tcBorders>
              <w:top w:val="nil"/>
              <w:left w:val="nil"/>
              <w:bottom w:val="single" w:sz="4" w:space="0" w:color="auto"/>
              <w:right w:val="single" w:sz="4" w:space="0" w:color="auto"/>
            </w:tcBorders>
            <w:hideMark/>
          </w:tcPr>
          <w:p w14:paraId="611A568B"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Evaluated the intervention baseline of self-efficacy and stage of change using the Transtheoretical Model which includes some COM-B components of motivation and capability (i.e., self-efficacy).</w:t>
            </w:r>
          </w:p>
        </w:tc>
        <w:tc>
          <w:tcPr>
            <w:tcW w:w="1678" w:type="dxa"/>
            <w:tcBorders>
              <w:top w:val="nil"/>
              <w:left w:val="nil"/>
              <w:bottom w:val="single" w:sz="4" w:space="0" w:color="auto"/>
              <w:right w:val="single" w:sz="4" w:space="0" w:color="auto"/>
            </w:tcBorders>
            <w:hideMark/>
          </w:tcPr>
          <w:p w14:paraId="4A76F82C"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67" w:type="dxa"/>
            <w:tcBorders>
              <w:top w:val="nil"/>
              <w:left w:val="nil"/>
              <w:bottom w:val="single" w:sz="4" w:space="0" w:color="auto"/>
              <w:right w:val="single" w:sz="4" w:space="0" w:color="auto"/>
            </w:tcBorders>
            <w:hideMark/>
          </w:tcPr>
          <w:p w14:paraId="511B9C7B"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89" w:type="dxa"/>
            <w:tcBorders>
              <w:top w:val="nil"/>
              <w:left w:val="nil"/>
              <w:bottom w:val="single" w:sz="4" w:space="0" w:color="auto"/>
              <w:right w:val="single" w:sz="4" w:space="0" w:color="auto"/>
            </w:tcBorders>
            <w:hideMark/>
          </w:tcPr>
          <w:p w14:paraId="2B4EF520"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participant motivation was identified as an important factor to solve dietary problems through increased self-efficacy. Increased motivation, coupled with goal-setting, was key to producing positive impacts on dietary problems.</w:t>
            </w:r>
          </w:p>
        </w:tc>
        <w:tc>
          <w:tcPr>
            <w:tcW w:w="1346" w:type="dxa"/>
            <w:tcBorders>
              <w:top w:val="nil"/>
              <w:left w:val="nil"/>
              <w:bottom w:val="single" w:sz="4" w:space="0" w:color="auto"/>
              <w:right w:val="single" w:sz="4" w:space="0" w:color="auto"/>
            </w:tcBorders>
            <w:noWrap/>
            <w:hideMark/>
          </w:tcPr>
          <w:p w14:paraId="0F1E8952"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440" w:type="dxa"/>
            <w:tcBorders>
              <w:top w:val="nil"/>
              <w:left w:val="nil"/>
              <w:bottom w:val="single" w:sz="4" w:space="0" w:color="auto"/>
              <w:right w:val="single" w:sz="4" w:space="0" w:color="auto"/>
            </w:tcBorders>
            <w:hideMark/>
          </w:tcPr>
          <w:p w14:paraId="2186C736"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Confined to the motivation of the Transtheoretical Model, not of the COM-B model, other BCW and COM-B model components were not covered.</w:t>
            </w:r>
          </w:p>
        </w:tc>
      </w:tr>
      <w:tr w:rsidR="00B548E1" w14:paraId="357DDF88" w14:textId="77777777" w:rsidTr="00057600">
        <w:trPr>
          <w:trHeight w:val="2730"/>
        </w:trPr>
        <w:tc>
          <w:tcPr>
            <w:tcW w:w="418" w:type="dxa"/>
            <w:tcBorders>
              <w:top w:val="nil"/>
              <w:left w:val="single" w:sz="4" w:space="0" w:color="auto"/>
              <w:bottom w:val="single" w:sz="4" w:space="0" w:color="auto"/>
              <w:right w:val="single" w:sz="4" w:space="0" w:color="auto"/>
            </w:tcBorders>
            <w:noWrap/>
            <w:hideMark/>
          </w:tcPr>
          <w:p w14:paraId="58F2950C"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lastRenderedPageBreak/>
              <w:t>20</w:t>
            </w:r>
          </w:p>
        </w:tc>
        <w:tc>
          <w:tcPr>
            <w:tcW w:w="1139" w:type="dxa"/>
            <w:tcBorders>
              <w:top w:val="nil"/>
              <w:left w:val="nil"/>
              <w:bottom w:val="single" w:sz="4" w:space="0" w:color="auto"/>
              <w:right w:val="single" w:sz="4" w:space="0" w:color="auto"/>
            </w:tcBorders>
            <w:hideMark/>
          </w:tcPr>
          <w:p w14:paraId="6D4CD44F"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Pallan et al. 2019</w:t>
            </w:r>
          </w:p>
        </w:tc>
        <w:tc>
          <w:tcPr>
            <w:tcW w:w="1207" w:type="dxa"/>
            <w:vMerge/>
            <w:tcBorders>
              <w:top w:val="nil"/>
              <w:left w:val="single" w:sz="4" w:space="0" w:color="auto"/>
              <w:bottom w:val="single" w:sz="4" w:space="0" w:color="auto"/>
              <w:right w:val="single" w:sz="4" w:space="0" w:color="auto"/>
            </w:tcBorders>
            <w:vAlign w:val="center"/>
            <w:hideMark/>
          </w:tcPr>
          <w:p w14:paraId="3779CA91"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565CFDDB"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4883AAF3"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7E4217CC"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Nutrition interventions in social (or clinical) settings: child weight management in communities</w:t>
            </w:r>
          </w:p>
        </w:tc>
        <w:tc>
          <w:tcPr>
            <w:tcW w:w="1457" w:type="dxa"/>
            <w:tcBorders>
              <w:top w:val="nil"/>
              <w:left w:val="nil"/>
              <w:bottom w:val="single" w:sz="4" w:space="0" w:color="auto"/>
              <w:right w:val="single" w:sz="4" w:space="0" w:color="auto"/>
            </w:tcBorders>
            <w:hideMark/>
          </w:tcPr>
          <w:p w14:paraId="4897E00D"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Through iterative planning, mapped data onto the BCW framework and Typology of Cultural Adaptation to develop an intervention programme outline</w:t>
            </w:r>
          </w:p>
        </w:tc>
        <w:tc>
          <w:tcPr>
            <w:tcW w:w="1678" w:type="dxa"/>
            <w:tcBorders>
              <w:top w:val="nil"/>
              <w:left w:val="nil"/>
              <w:bottom w:val="single" w:sz="4" w:space="0" w:color="auto"/>
              <w:right w:val="single" w:sz="4" w:space="0" w:color="auto"/>
            </w:tcBorders>
            <w:hideMark/>
          </w:tcPr>
          <w:p w14:paraId="057B1EC7"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Used evidence to identify the barriers and facilitators to implementing weight management programmes for children.</w:t>
            </w:r>
          </w:p>
        </w:tc>
        <w:tc>
          <w:tcPr>
            <w:tcW w:w="1367" w:type="dxa"/>
            <w:tcBorders>
              <w:top w:val="nil"/>
              <w:left w:val="nil"/>
              <w:bottom w:val="single" w:sz="4" w:space="0" w:color="auto"/>
              <w:right w:val="single" w:sz="4" w:space="0" w:color="auto"/>
            </w:tcBorders>
            <w:hideMark/>
          </w:tcPr>
          <w:p w14:paraId="5F5879C7"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89" w:type="dxa"/>
            <w:tcBorders>
              <w:top w:val="nil"/>
              <w:left w:val="nil"/>
              <w:bottom w:val="single" w:sz="4" w:space="0" w:color="auto"/>
              <w:right w:val="single" w:sz="4" w:space="0" w:color="auto"/>
            </w:tcBorders>
            <w:hideMark/>
          </w:tcPr>
          <w:p w14:paraId="6044BE0D"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data were mapped to the BCW framework, and the adaptation process was guided by BCW and the Typology of Cultural Adaptation and Programme Theory of health promotion interventions. The COM-B model provided a theoretical understanding of the factors undermining the desired behaviors. This was achieved through the mapping of qualitative data from parents onto the different elements of the COM-B model.</w:t>
            </w:r>
          </w:p>
        </w:tc>
        <w:tc>
          <w:tcPr>
            <w:tcW w:w="1346" w:type="dxa"/>
            <w:tcBorders>
              <w:top w:val="nil"/>
              <w:left w:val="nil"/>
              <w:bottom w:val="single" w:sz="4" w:space="0" w:color="auto"/>
              <w:right w:val="single" w:sz="4" w:space="0" w:color="auto"/>
            </w:tcBorders>
            <w:hideMark/>
          </w:tcPr>
          <w:p w14:paraId="483BF51A"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adaptation made in the study occurred at surface (i.e., visible characteristics of a minority ethnic group) and deep (i.e., less visible aspects such as core values and beliefs) structure levels.</w:t>
            </w:r>
          </w:p>
        </w:tc>
        <w:tc>
          <w:tcPr>
            <w:tcW w:w="1440" w:type="dxa"/>
            <w:tcBorders>
              <w:top w:val="nil"/>
              <w:left w:val="nil"/>
              <w:bottom w:val="single" w:sz="4" w:space="0" w:color="auto"/>
              <w:right w:val="single" w:sz="4" w:space="0" w:color="auto"/>
            </w:tcBorders>
            <w:hideMark/>
          </w:tcPr>
          <w:p w14:paraId="3F36D45E"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r>
      <w:tr w:rsidR="00B548E1" w14:paraId="0B5DB7B5" w14:textId="77777777" w:rsidTr="00057600">
        <w:trPr>
          <w:trHeight w:val="3990"/>
        </w:trPr>
        <w:tc>
          <w:tcPr>
            <w:tcW w:w="418" w:type="dxa"/>
            <w:tcBorders>
              <w:top w:val="nil"/>
              <w:left w:val="single" w:sz="4" w:space="0" w:color="auto"/>
              <w:bottom w:val="single" w:sz="4" w:space="0" w:color="auto"/>
              <w:right w:val="single" w:sz="4" w:space="0" w:color="auto"/>
            </w:tcBorders>
            <w:noWrap/>
            <w:hideMark/>
          </w:tcPr>
          <w:p w14:paraId="38F545E4"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21</w:t>
            </w:r>
          </w:p>
        </w:tc>
        <w:tc>
          <w:tcPr>
            <w:tcW w:w="1139" w:type="dxa"/>
            <w:tcBorders>
              <w:top w:val="nil"/>
              <w:left w:val="nil"/>
              <w:bottom w:val="single" w:sz="4" w:space="0" w:color="auto"/>
              <w:right w:val="single" w:sz="4" w:space="0" w:color="auto"/>
            </w:tcBorders>
            <w:hideMark/>
          </w:tcPr>
          <w:p w14:paraId="3486FB5E"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Ray et al. 2022</w:t>
            </w:r>
          </w:p>
        </w:tc>
        <w:tc>
          <w:tcPr>
            <w:tcW w:w="1207" w:type="dxa"/>
            <w:vMerge/>
            <w:tcBorders>
              <w:top w:val="nil"/>
              <w:left w:val="single" w:sz="4" w:space="0" w:color="auto"/>
              <w:bottom w:val="single" w:sz="4" w:space="0" w:color="auto"/>
              <w:right w:val="single" w:sz="4" w:space="0" w:color="auto"/>
            </w:tcBorders>
            <w:vAlign w:val="center"/>
            <w:hideMark/>
          </w:tcPr>
          <w:p w14:paraId="39662030"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1DED9F84"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400D48C5"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58AD81C9"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Nutrition interventions in social (or clinical) settings: prevention of child overweight</w:t>
            </w:r>
          </w:p>
        </w:tc>
        <w:tc>
          <w:tcPr>
            <w:tcW w:w="1457" w:type="dxa"/>
            <w:tcBorders>
              <w:top w:val="nil"/>
              <w:left w:val="nil"/>
              <w:bottom w:val="single" w:sz="4" w:space="0" w:color="auto"/>
              <w:right w:val="single" w:sz="4" w:space="0" w:color="auto"/>
            </w:tcBorders>
            <w:hideMark/>
          </w:tcPr>
          <w:p w14:paraId="1358DC28"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A systematic development of an intervention in which stakeholder engagement was combined with the steps of the BCW framework and an evidence-based approach. Guided by the BCW, the design process was collaborative and iterative.</w:t>
            </w:r>
          </w:p>
        </w:tc>
        <w:tc>
          <w:tcPr>
            <w:tcW w:w="1678" w:type="dxa"/>
            <w:tcBorders>
              <w:top w:val="nil"/>
              <w:left w:val="nil"/>
              <w:bottom w:val="single" w:sz="4" w:space="0" w:color="auto"/>
              <w:right w:val="single" w:sz="4" w:space="0" w:color="auto"/>
            </w:tcBorders>
            <w:hideMark/>
          </w:tcPr>
          <w:p w14:paraId="53029FBB"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67" w:type="dxa"/>
            <w:tcBorders>
              <w:top w:val="nil"/>
              <w:left w:val="nil"/>
              <w:bottom w:val="single" w:sz="4" w:space="0" w:color="auto"/>
              <w:right w:val="single" w:sz="4" w:space="0" w:color="auto"/>
            </w:tcBorders>
            <w:hideMark/>
          </w:tcPr>
          <w:p w14:paraId="26B6A16D"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89" w:type="dxa"/>
            <w:tcBorders>
              <w:top w:val="nil"/>
              <w:left w:val="nil"/>
              <w:bottom w:val="single" w:sz="4" w:space="0" w:color="auto"/>
              <w:right w:val="single" w:sz="4" w:space="0" w:color="auto"/>
            </w:tcBorders>
            <w:hideMark/>
          </w:tcPr>
          <w:p w14:paraId="475B99EE"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health visitors (HV) level barriers, including HVs’ beliefs and assumptions about parent-level factors, were mapped to the COM-B model components. The BCW informed the selection of intervention functions to address the factors identified in the COM-B behavioral analysis. An important consideration was that the behaviors of interest for this intervention are multiple behaviors, hence the inclusion of reflective, automatic, and motivational processes.</w:t>
            </w:r>
          </w:p>
        </w:tc>
        <w:tc>
          <w:tcPr>
            <w:tcW w:w="1346" w:type="dxa"/>
            <w:tcBorders>
              <w:top w:val="nil"/>
              <w:left w:val="nil"/>
              <w:bottom w:val="single" w:sz="4" w:space="0" w:color="auto"/>
              <w:right w:val="single" w:sz="4" w:space="0" w:color="auto"/>
            </w:tcBorders>
            <w:hideMark/>
          </w:tcPr>
          <w:p w14:paraId="202D164E"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COM-B analysis of the barriers and facilitators enabled the identification of key behavioral processes to target with an intervention. The proposed links between the COM-B and the TDF facilitated the identification of the specific theoretical domains of behavior representing relevant change processes. Guided by the BCW, the design process was collaborative and iterative. A logic model of the intervention was developed to graphically represent the BCTs included in the proposed intervention and the different hypothesized processes through which they influence behavior.</w:t>
            </w:r>
          </w:p>
        </w:tc>
        <w:tc>
          <w:tcPr>
            <w:tcW w:w="1440" w:type="dxa"/>
            <w:tcBorders>
              <w:top w:val="nil"/>
              <w:left w:val="nil"/>
              <w:bottom w:val="single" w:sz="4" w:space="0" w:color="auto"/>
              <w:right w:val="single" w:sz="4" w:space="0" w:color="auto"/>
            </w:tcBorders>
            <w:hideMark/>
          </w:tcPr>
          <w:p w14:paraId="7CBD75D0"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This research focused on behavior change at the level of the individual, and therefore, leaving policy aside with limited understanding of which BCTs or groups of BCTs likely to be most useful to target a particular theoretical determinant of behavior. The BCT taxonomy provides examples of how each BCT can be operationalized, but there is no consensus or guidance in the literature on determining how best to operationalize and deliver selected BCTs within an intervention.</w:t>
            </w:r>
          </w:p>
        </w:tc>
      </w:tr>
      <w:tr w:rsidR="00B548E1" w14:paraId="7659AFED" w14:textId="77777777" w:rsidTr="00057600">
        <w:trPr>
          <w:trHeight w:val="420"/>
        </w:trPr>
        <w:tc>
          <w:tcPr>
            <w:tcW w:w="418" w:type="dxa"/>
            <w:tcBorders>
              <w:top w:val="nil"/>
              <w:left w:val="single" w:sz="4" w:space="0" w:color="auto"/>
              <w:bottom w:val="single" w:sz="4" w:space="0" w:color="auto"/>
              <w:right w:val="single" w:sz="4" w:space="0" w:color="auto"/>
            </w:tcBorders>
            <w:noWrap/>
            <w:hideMark/>
          </w:tcPr>
          <w:p w14:paraId="255D5A12"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lastRenderedPageBreak/>
              <w:t> </w:t>
            </w:r>
          </w:p>
        </w:tc>
        <w:tc>
          <w:tcPr>
            <w:tcW w:w="1139" w:type="dxa"/>
            <w:tcBorders>
              <w:top w:val="nil"/>
              <w:left w:val="nil"/>
              <w:bottom w:val="single" w:sz="4" w:space="0" w:color="auto"/>
              <w:right w:val="single" w:sz="4" w:space="0" w:color="auto"/>
            </w:tcBorders>
            <w:hideMark/>
          </w:tcPr>
          <w:p w14:paraId="09552AAD"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Russell et al., 2018</w:t>
            </w:r>
          </w:p>
        </w:tc>
        <w:tc>
          <w:tcPr>
            <w:tcW w:w="1207" w:type="dxa"/>
            <w:vMerge/>
            <w:tcBorders>
              <w:top w:val="nil"/>
              <w:left w:val="single" w:sz="4" w:space="0" w:color="auto"/>
              <w:bottom w:val="single" w:sz="4" w:space="0" w:color="auto"/>
              <w:right w:val="single" w:sz="4" w:space="0" w:color="auto"/>
            </w:tcBorders>
            <w:vAlign w:val="center"/>
            <w:hideMark/>
          </w:tcPr>
          <w:p w14:paraId="2352E2ED"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3DD85ACA"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301FD62B"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506800D8"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Same as row number 5</w:t>
            </w:r>
          </w:p>
        </w:tc>
        <w:tc>
          <w:tcPr>
            <w:tcW w:w="1457" w:type="dxa"/>
            <w:tcBorders>
              <w:top w:val="nil"/>
              <w:left w:val="nil"/>
              <w:bottom w:val="single" w:sz="4" w:space="0" w:color="auto"/>
              <w:right w:val="single" w:sz="4" w:space="0" w:color="auto"/>
            </w:tcBorders>
            <w:hideMark/>
          </w:tcPr>
          <w:p w14:paraId="40F53469"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Same as row number 5</w:t>
            </w:r>
          </w:p>
        </w:tc>
        <w:tc>
          <w:tcPr>
            <w:tcW w:w="1678" w:type="dxa"/>
            <w:tcBorders>
              <w:top w:val="nil"/>
              <w:left w:val="nil"/>
              <w:bottom w:val="single" w:sz="4" w:space="0" w:color="auto"/>
              <w:right w:val="single" w:sz="4" w:space="0" w:color="auto"/>
            </w:tcBorders>
            <w:hideMark/>
          </w:tcPr>
          <w:p w14:paraId="19E88719"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Same as row number 5</w:t>
            </w:r>
          </w:p>
        </w:tc>
        <w:tc>
          <w:tcPr>
            <w:tcW w:w="1367" w:type="dxa"/>
            <w:tcBorders>
              <w:top w:val="nil"/>
              <w:left w:val="nil"/>
              <w:bottom w:val="single" w:sz="4" w:space="0" w:color="auto"/>
              <w:right w:val="single" w:sz="4" w:space="0" w:color="auto"/>
            </w:tcBorders>
            <w:hideMark/>
          </w:tcPr>
          <w:p w14:paraId="08939397"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Same as row number 5</w:t>
            </w:r>
          </w:p>
        </w:tc>
        <w:tc>
          <w:tcPr>
            <w:tcW w:w="1389" w:type="dxa"/>
            <w:tcBorders>
              <w:top w:val="nil"/>
              <w:left w:val="nil"/>
              <w:bottom w:val="single" w:sz="4" w:space="0" w:color="auto"/>
              <w:right w:val="single" w:sz="4" w:space="0" w:color="auto"/>
            </w:tcBorders>
            <w:hideMark/>
          </w:tcPr>
          <w:p w14:paraId="2091C29A"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Same as row number 5</w:t>
            </w:r>
          </w:p>
        </w:tc>
        <w:tc>
          <w:tcPr>
            <w:tcW w:w="1346" w:type="dxa"/>
            <w:tcBorders>
              <w:top w:val="nil"/>
              <w:left w:val="nil"/>
              <w:bottom w:val="single" w:sz="4" w:space="0" w:color="auto"/>
              <w:right w:val="single" w:sz="4" w:space="0" w:color="auto"/>
            </w:tcBorders>
            <w:hideMark/>
          </w:tcPr>
          <w:p w14:paraId="12E35102"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Same as row number 5</w:t>
            </w:r>
          </w:p>
        </w:tc>
        <w:tc>
          <w:tcPr>
            <w:tcW w:w="1440" w:type="dxa"/>
            <w:tcBorders>
              <w:top w:val="nil"/>
              <w:left w:val="nil"/>
              <w:bottom w:val="single" w:sz="4" w:space="0" w:color="auto"/>
              <w:right w:val="single" w:sz="4" w:space="0" w:color="auto"/>
            </w:tcBorders>
            <w:hideMark/>
          </w:tcPr>
          <w:p w14:paraId="35A78302"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Same as row number 5</w:t>
            </w:r>
          </w:p>
        </w:tc>
      </w:tr>
      <w:tr w:rsidR="00B548E1" w14:paraId="471F198C" w14:textId="77777777" w:rsidTr="00057600">
        <w:trPr>
          <w:trHeight w:val="470"/>
        </w:trPr>
        <w:tc>
          <w:tcPr>
            <w:tcW w:w="418" w:type="dxa"/>
            <w:tcBorders>
              <w:top w:val="nil"/>
              <w:left w:val="single" w:sz="4" w:space="0" w:color="auto"/>
              <w:bottom w:val="single" w:sz="4" w:space="0" w:color="auto"/>
              <w:right w:val="single" w:sz="4" w:space="0" w:color="auto"/>
            </w:tcBorders>
            <w:noWrap/>
            <w:hideMark/>
          </w:tcPr>
          <w:p w14:paraId="69BF0CE2"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 </w:t>
            </w:r>
          </w:p>
        </w:tc>
        <w:tc>
          <w:tcPr>
            <w:tcW w:w="1139" w:type="dxa"/>
            <w:tcBorders>
              <w:top w:val="nil"/>
              <w:left w:val="nil"/>
              <w:bottom w:val="single" w:sz="4" w:space="0" w:color="auto"/>
              <w:right w:val="single" w:sz="4" w:space="0" w:color="auto"/>
            </w:tcBorders>
            <w:hideMark/>
          </w:tcPr>
          <w:p w14:paraId="615E289E"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Sutherland et al., 2021</w:t>
            </w:r>
          </w:p>
        </w:tc>
        <w:tc>
          <w:tcPr>
            <w:tcW w:w="1207" w:type="dxa"/>
            <w:vMerge/>
            <w:tcBorders>
              <w:top w:val="nil"/>
              <w:left w:val="single" w:sz="4" w:space="0" w:color="auto"/>
              <w:bottom w:val="single" w:sz="4" w:space="0" w:color="auto"/>
              <w:right w:val="single" w:sz="4" w:space="0" w:color="auto"/>
            </w:tcBorders>
            <w:vAlign w:val="center"/>
            <w:hideMark/>
          </w:tcPr>
          <w:p w14:paraId="74493287"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37244BEC"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06815F59"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2C339F2B"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Same as row number 14</w:t>
            </w:r>
          </w:p>
        </w:tc>
        <w:tc>
          <w:tcPr>
            <w:tcW w:w="1457" w:type="dxa"/>
            <w:tcBorders>
              <w:top w:val="nil"/>
              <w:left w:val="nil"/>
              <w:bottom w:val="single" w:sz="4" w:space="0" w:color="auto"/>
              <w:right w:val="single" w:sz="4" w:space="0" w:color="auto"/>
            </w:tcBorders>
            <w:hideMark/>
          </w:tcPr>
          <w:p w14:paraId="536DF32F"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14</w:t>
            </w:r>
          </w:p>
        </w:tc>
        <w:tc>
          <w:tcPr>
            <w:tcW w:w="1678" w:type="dxa"/>
            <w:tcBorders>
              <w:top w:val="nil"/>
              <w:left w:val="nil"/>
              <w:bottom w:val="single" w:sz="4" w:space="0" w:color="auto"/>
              <w:right w:val="single" w:sz="4" w:space="0" w:color="auto"/>
            </w:tcBorders>
            <w:hideMark/>
          </w:tcPr>
          <w:p w14:paraId="3C17459D"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14</w:t>
            </w:r>
          </w:p>
        </w:tc>
        <w:tc>
          <w:tcPr>
            <w:tcW w:w="1367" w:type="dxa"/>
            <w:tcBorders>
              <w:top w:val="nil"/>
              <w:left w:val="nil"/>
              <w:bottom w:val="single" w:sz="4" w:space="0" w:color="auto"/>
              <w:right w:val="single" w:sz="4" w:space="0" w:color="auto"/>
            </w:tcBorders>
            <w:hideMark/>
          </w:tcPr>
          <w:p w14:paraId="63D67552"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14</w:t>
            </w:r>
          </w:p>
        </w:tc>
        <w:tc>
          <w:tcPr>
            <w:tcW w:w="1389" w:type="dxa"/>
            <w:tcBorders>
              <w:top w:val="nil"/>
              <w:left w:val="nil"/>
              <w:bottom w:val="single" w:sz="4" w:space="0" w:color="auto"/>
              <w:right w:val="single" w:sz="4" w:space="0" w:color="auto"/>
            </w:tcBorders>
            <w:hideMark/>
          </w:tcPr>
          <w:p w14:paraId="355FAA19"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14</w:t>
            </w:r>
          </w:p>
        </w:tc>
        <w:tc>
          <w:tcPr>
            <w:tcW w:w="1346" w:type="dxa"/>
            <w:tcBorders>
              <w:top w:val="nil"/>
              <w:left w:val="nil"/>
              <w:bottom w:val="single" w:sz="4" w:space="0" w:color="auto"/>
              <w:right w:val="single" w:sz="4" w:space="0" w:color="auto"/>
            </w:tcBorders>
            <w:hideMark/>
          </w:tcPr>
          <w:p w14:paraId="320D5CB8"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14</w:t>
            </w:r>
          </w:p>
        </w:tc>
        <w:tc>
          <w:tcPr>
            <w:tcW w:w="1440" w:type="dxa"/>
            <w:tcBorders>
              <w:top w:val="nil"/>
              <w:left w:val="nil"/>
              <w:bottom w:val="single" w:sz="4" w:space="0" w:color="auto"/>
              <w:right w:val="single" w:sz="4" w:space="0" w:color="auto"/>
            </w:tcBorders>
            <w:hideMark/>
          </w:tcPr>
          <w:p w14:paraId="45AADE4D"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14</w:t>
            </w:r>
          </w:p>
        </w:tc>
      </w:tr>
      <w:tr w:rsidR="00B548E1" w14:paraId="3549EB0C" w14:textId="77777777" w:rsidTr="00057600">
        <w:trPr>
          <w:trHeight w:val="2520"/>
        </w:trPr>
        <w:tc>
          <w:tcPr>
            <w:tcW w:w="418" w:type="dxa"/>
            <w:tcBorders>
              <w:top w:val="nil"/>
              <w:left w:val="single" w:sz="4" w:space="0" w:color="auto"/>
              <w:bottom w:val="single" w:sz="4" w:space="0" w:color="auto"/>
              <w:right w:val="single" w:sz="4" w:space="0" w:color="auto"/>
            </w:tcBorders>
            <w:noWrap/>
            <w:hideMark/>
          </w:tcPr>
          <w:p w14:paraId="0F23E714"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lastRenderedPageBreak/>
              <w:t>22</w:t>
            </w:r>
          </w:p>
        </w:tc>
        <w:tc>
          <w:tcPr>
            <w:tcW w:w="1139" w:type="dxa"/>
            <w:tcBorders>
              <w:top w:val="nil"/>
              <w:left w:val="nil"/>
              <w:bottom w:val="single" w:sz="4" w:space="0" w:color="auto"/>
              <w:right w:val="single" w:sz="4" w:space="0" w:color="auto"/>
            </w:tcBorders>
            <w:hideMark/>
          </w:tcPr>
          <w:p w14:paraId="6F64AE39"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Toomey et al. 2020</w:t>
            </w:r>
          </w:p>
        </w:tc>
        <w:tc>
          <w:tcPr>
            <w:tcW w:w="1207" w:type="dxa"/>
            <w:vMerge/>
            <w:tcBorders>
              <w:top w:val="nil"/>
              <w:left w:val="single" w:sz="4" w:space="0" w:color="auto"/>
              <w:bottom w:val="single" w:sz="4" w:space="0" w:color="auto"/>
              <w:right w:val="single" w:sz="4" w:space="0" w:color="auto"/>
            </w:tcBorders>
            <w:vAlign w:val="center"/>
            <w:hideMark/>
          </w:tcPr>
          <w:p w14:paraId="047CB73F"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3F8EAD26"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76" w:type="dxa"/>
            <w:vMerge/>
            <w:tcBorders>
              <w:top w:val="nil"/>
              <w:left w:val="single" w:sz="4" w:space="0" w:color="auto"/>
              <w:bottom w:val="single" w:sz="4" w:space="0" w:color="auto"/>
              <w:right w:val="single" w:sz="4" w:space="0" w:color="auto"/>
            </w:tcBorders>
            <w:vAlign w:val="center"/>
            <w:hideMark/>
          </w:tcPr>
          <w:p w14:paraId="5F956CA9"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22" w:type="dxa"/>
            <w:tcBorders>
              <w:top w:val="nil"/>
              <w:left w:val="nil"/>
              <w:bottom w:val="single" w:sz="4" w:space="0" w:color="auto"/>
              <w:right w:val="single" w:sz="4" w:space="0" w:color="auto"/>
            </w:tcBorders>
            <w:hideMark/>
          </w:tcPr>
          <w:p w14:paraId="027671C8"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Pregnancy, neonatal, and breastfeeding nutrition interventions: childhood obesity prevention through improved infant feeding behaviors</w:t>
            </w:r>
          </w:p>
        </w:tc>
        <w:tc>
          <w:tcPr>
            <w:tcW w:w="1457" w:type="dxa"/>
            <w:tcBorders>
              <w:top w:val="nil"/>
              <w:left w:val="nil"/>
              <w:bottom w:val="single" w:sz="4" w:space="0" w:color="auto"/>
              <w:right w:val="single" w:sz="4" w:space="0" w:color="auto"/>
            </w:tcBorders>
            <w:hideMark/>
          </w:tcPr>
          <w:p w14:paraId="14F7A5BB"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BCW was used to guide the development of both the parent-level intervention and the implementation strategy of an evidence-based intervention aimed at improving parental infant feeding behaviors.</w:t>
            </w:r>
          </w:p>
        </w:tc>
        <w:tc>
          <w:tcPr>
            <w:tcW w:w="1678" w:type="dxa"/>
            <w:tcBorders>
              <w:top w:val="nil"/>
              <w:left w:val="nil"/>
              <w:bottom w:val="single" w:sz="4" w:space="0" w:color="auto"/>
              <w:right w:val="single" w:sz="4" w:space="0" w:color="auto"/>
            </w:tcBorders>
            <w:hideMark/>
          </w:tcPr>
          <w:p w14:paraId="7B9DA085"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Identified and specified BCTs and their operationalization, the BCTs and their operationalization and modes of delivery were specified.</w:t>
            </w:r>
          </w:p>
        </w:tc>
        <w:tc>
          <w:tcPr>
            <w:tcW w:w="1367" w:type="dxa"/>
            <w:tcBorders>
              <w:top w:val="nil"/>
              <w:left w:val="nil"/>
              <w:bottom w:val="single" w:sz="4" w:space="0" w:color="auto"/>
              <w:right w:val="single" w:sz="4" w:space="0" w:color="auto"/>
            </w:tcBorders>
            <w:noWrap/>
            <w:hideMark/>
          </w:tcPr>
          <w:p w14:paraId="6923F7E3"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 </w:t>
            </w:r>
          </w:p>
        </w:tc>
        <w:tc>
          <w:tcPr>
            <w:tcW w:w="1389" w:type="dxa"/>
            <w:tcBorders>
              <w:top w:val="nil"/>
              <w:left w:val="nil"/>
              <w:bottom w:val="single" w:sz="4" w:space="0" w:color="auto"/>
              <w:right w:val="single" w:sz="4" w:space="0" w:color="auto"/>
            </w:tcBorders>
            <w:hideMark/>
          </w:tcPr>
          <w:p w14:paraId="23E9BD1F"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The BCW/COM-B model was used to systematically develop the parent-level intervention and implementation strategy by integrating insights from practice, policy, and parents. By acknowledging COM constructs as prerequisite to behavior change, parent-level barriers and enablers were identified and coded based on the COM-B constructs, ensuring a thorough and transparent approach to behavior change.</w:t>
            </w:r>
          </w:p>
        </w:tc>
        <w:tc>
          <w:tcPr>
            <w:tcW w:w="1346" w:type="dxa"/>
            <w:tcBorders>
              <w:top w:val="nil"/>
              <w:left w:val="nil"/>
              <w:bottom w:val="single" w:sz="4" w:space="0" w:color="auto"/>
              <w:right w:val="single" w:sz="4" w:space="0" w:color="auto"/>
            </w:tcBorders>
            <w:hideMark/>
          </w:tcPr>
          <w:p w14:paraId="59091930"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By using the BCW, the program theory was clarified by developing a logic model that links intervention components to outcomes through intended change pathways. The BCW, designed to enhance evidence-based practice, has proven effective in creating implementation strategies for patient-level interventions.</w:t>
            </w:r>
          </w:p>
        </w:tc>
        <w:tc>
          <w:tcPr>
            <w:tcW w:w="1440" w:type="dxa"/>
            <w:tcBorders>
              <w:top w:val="nil"/>
              <w:left w:val="nil"/>
              <w:bottom w:val="single" w:sz="4" w:space="0" w:color="auto"/>
              <w:right w:val="single" w:sz="4" w:space="0" w:color="auto"/>
            </w:tcBorders>
            <w:hideMark/>
          </w:tcPr>
          <w:p w14:paraId="4D1838DA"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By using a comprehensive approach, integrating findings, and tracing the contributions of each source was challenging, especially as many were conducted simultaneously due to time constraints, with findings iteratively combined during intervention development.</w:t>
            </w:r>
          </w:p>
        </w:tc>
      </w:tr>
      <w:tr w:rsidR="00B548E1" w14:paraId="25381615" w14:textId="77777777" w:rsidTr="00057600">
        <w:trPr>
          <w:trHeight w:val="210"/>
        </w:trPr>
        <w:tc>
          <w:tcPr>
            <w:tcW w:w="418" w:type="dxa"/>
            <w:vMerge w:val="restart"/>
            <w:tcBorders>
              <w:top w:val="nil"/>
              <w:left w:val="single" w:sz="4" w:space="0" w:color="auto"/>
              <w:bottom w:val="single" w:sz="4" w:space="0" w:color="auto"/>
              <w:right w:val="single" w:sz="4" w:space="0" w:color="auto"/>
            </w:tcBorders>
            <w:noWrap/>
            <w:hideMark/>
          </w:tcPr>
          <w:p w14:paraId="6FCAFBC1" w14:textId="77777777" w:rsidR="00B548E1" w:rsidRPr="003169AF" w:rsidRDefault="00B548E1" w:rsidP="00057600">
            <w:pPr>
              <w:spacing w:after="0" w:line="240" w:lineRule="auto"/>
              <w:jc w:val="right"/>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 </w:t>
            </w:r>
          </w:p>
        </w:tc>
        <w:tc>
          <w:tcPr>
            <w:tcW w:w="1139" w:type="dxa"/>
            <w:vMerge w:val="restart"/>
            <w:tcBorders>
              <w:top w:val="nil"/>
              <w:left w:val="single" w:sz="4" w:space="0" w:color="auto"/>
              <w:bottom w:val="single" w:sz="4" w:space="0" w:color="auto"/>
              <w:right w:val="single" w:sz="4" w:space="0" w:color="auto"/>
            </w:tcBorders>
            <w:hideMark/>
          </w:tcPr>
          <w:p w14:paraId="5929177E"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Costello et al., 2017</w:t>
            </w:r>
          </w:p>
        </w:tc>
        <w:tc>
          <w:tcPr>
            <w:tcW w:w="1207" w:type="dxa"/>
            <w:tcBorders>
              <w:top w:val="nil"/>
              <w:left w:val="nil"/>
              <w:bottom w:val="single" w:sz="4" w:space="0" w:color="auto"/>
              <w:right w:val="single" w:sz="4" w:space="0" w:color="auto"/>
            </w:tcBorders>
            <w:hideMark/>
          </w:tcPr>
          <w:p w14:paraId="18772AB2"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Stunting</w:t>
            </w:r>
          </w:p>
        </w:tc>
        <w:tc>
          <w:tcPr>
            <w:tcW w:w="1176" w:type="dxa"/>
            <w:tcBorders>
              <w:top w:val="nil"/>
              <w:left w:val="nil"/>
              <w:bottom w:val="single" w:sz="4" w:space="0" w:color="auto"/>
              <w:right w:val="single" w:sz="4" w:space="0" w:color="auto"/>
            </w:tcBorders>
            <w:hideMark/>
          </w:tcPr>
          <w:p w14:paraId="2EADB40D" w14:textId="77777777" w:rsidR="00B548E1" w:rsidRPr="003169AF" w:rsidRDefault="00B548E1" w:rsidP="00057600">
            <w:pPr>
              <w:spacing w:after="0" w:line="240" w:lineRule="auto"/>
              <w:jc w:val="center"/>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1</w:t>
            </w:r>
          </w:p>
        </w:tc>
        <w:tc>
          <w:tcPr>
            <w:tcW w:w="1176" w:type="dxa"/>
            <w:tcBorders>
              <w:top w:val="nil"/>
              <w:left w:val="nil"/>
              <w:bottom w:val="single" w:sz="4" w:space="0" w:color="auto"/>
              <w:right w:val="single" w:sz="4" w:space="0" w:color="auto"/>
            </w:tcBorders>
            <w:noWrap/>
            <w:hideMark/>
          </w:tcPr>
          <w:p w14:paraId="58E111D7" w14:textId="77777777" w:rsidR="00B548E1" w:rsidRPr="003169AF" w:rsidRDefault="00B548E1" w:rsidP="00057600">
            <w:pPr>
              <w:spacing w:after="0" w:line="240" w:lineRule="auto"/>
              <w:jc w:val="center"/>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5%</w:t>
            </w:r>
          </w:p>
        </w:tc>
        <w:tc>
          <w:tcPr>
            <w:tcW w:w="1322" w:type="dxa"/>
            <w:vMerge w:val="restart"/>
            <w:tcBorders>
              <w:top w:val="nil"/>
              <w:left w:val="single" w:sz="4" w:space="0" w:color="auto"/>
              <w:bottom w:val="single" w:sz="4" w:space="0" w:color="auto"/>
              <w:right w:val="single" w:sz="4" w:space="0" w:color="auto"/>
            </w:tcBorders>
            <w:hideMark/>
          </w:tcPr>
          <w:p w14:paraId="4D764B02"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r w:rsidRPr="003169AF">
              <w:rPr>
                <w:rFonts w:ascii="Arial" w:eastAsia="Times New Roman" w:hAnsi="Arial" w:cs="Arial"/>
                <w:kern w:val="0"/>
                <w:sz w:val="14"/>
                <w:szCs w:val="14"/>
                <w:lang w:eastAsia="en-GB"/>
                <w14:ligatures w14:val="none"/>
              </w:rPr>
              <w:t>Same as row number 1</w:t>
            </w:r>
          </w:p>
        </w:tc>
        <w:tc>
          <w:tcPr>
            <w:tcW w:w="1457" w:type="dxa"/>
            <w:vMerge w:val="restart"/>
            <w:tcBorders>
              <w:top w:val="nil"/>
              <w:left w:val="single" w:sz="4" w:space="0" w:color="auto"/>
              <w:bottom w:val="single" w:sz="4" w:space="0" w:color="auto"/>
              <w:right w:val="single" w:sz="4" w:space="0" w:color="auto"/>
            </w:tcBorders>
            <w:hideMark/>
          </w:tcPr>
          <w:p w14:paraId="4E2866C4"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1</w:t>
            </w:r>
          </w:p>
        </w:tc>
        <w:tc>
          <w:tcPr>
            <w:tcW w:w="1678" w:type="dxa"/>
            <w:vMerge w:val="restart"/>
            <w:tcBorders>
              <w:top w:val="nil"/>
              <w:left w:val="single" w:sz="4" w:space="0" w:color="auto"/>
              <w:bottom w:val="single" w:sz="4" w:space="0" w:color="auto"/>
              <w:right w:val="single" w:sz="4" w:space="0" w:color="auto"/>
            </w:tcBorders>
            <w:hideMark/>
          </w:tcPr>
          <w:p w14:paraId="7EFB3B46"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1</w:t>
            </w:r>
          </w:p>
        </w:tc>
        <w:tc>
          <w:tcPr>
            <w:tcW w:w="1367" w:type="dxa"/>
            <w:vMerge w:val="restart"/>
            <w:tcBorders>
              <w:top w:val="nil"/>
              <w:left w:val="single" w:sz="4" w:space="0" w:color="auto"/>
              <w:bottom w:val="single" w:sz="4" w:space="0" w:color="auto"/>
              <w:right w:val="single" w:sz="4" w:space="0" w:color="auto"/>
            </w:tcBorders>
            <w:hideMark/>
          </w:tcPr>
          <w:p w14:paraId="071DF6FA"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1</w:t>
            </w:r>
          </w:p>
        </w:tc>
        <w:tc>
          <w:tcPr>
            <w:tcW w:w="1389" w:type="dxa"/>
            <w:vMerge w:val="restart"/>
            <w:tcBorders>
              <w:top w:val="nil"/>
              <w:left w:val="single" w:sz="4" w:space="0" w:color="auto"/>
              <w:bottom w:val="single" w:sz="4" w:space="0" w:color="auto"/>
              <w:right w:val="single" w:sz="4" w:space="0" w:color="auto"/>
            </w:tcBorders>
            <w:hideMark/>
          </w:tcPr>
          <w:p w14:paraId="239882C1"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1</w:t>
            </w:r>
          </w:p>
        </w:tc>
        <w:tc>
          <w:tcPr>
            <w:tcW w:w="1346" w:type="dxa"/>
            <w:vMerge w:val="restart"/>
            <w:tcBorders>
              <w:top w:val="nil"/>
              <w:left w:val="single" w:sz="4" w:space="0" w:color="auto"/>
              <w:bottom w:val="single" w:sz="4" w:space="0" w:color="auto"/>
              <w:right w:val="single" w:sz="4" w:space="0" w:color="auto"/>
            </w:tcBorders>
            <w:hideMark/>
          </w:tcPr>
          <w:p w14:paraId="2CDCE6DA"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1</w:t>
            </w:r>
          </w:p>
        </w:tc>
        <w:tc>
          <w:tcPr>
            <w:tcW w:w="1440" w:type="dxa"/>
            <w:vMerge w:val="restart"/>
            <w:tcBorders>
              <w:top w:val="nil"/>
              <w:left w:val="single" w:sz="4" w:space="0" w:color="auto"/>
              <w:bottom w:val="single" w:sz="4" w:space="0" w:color="auto"/>
              <w:right w:val="single" w:sz="4" w:space="0" w:color="auto"/>
            </w:tcBorders>
            <w:hideMark/>
          </w:tcPr>
          <w:p w14:paraId="319110A3"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Same as row number 1</w:t>
            </w:r>
          </w:p>
        </w:tc>
      </w:tr>
      <w:tr w:rsidR="00B548E1" w14:paraId="69B05D49" w14:textId="77777777" w:rsidTr="00057600">
        <w:trPr>
          <w:trHeight w:val="210"/>
        </w:trPr>
        <w:tc>
          <w:tcPr>
            <w:tcW w:w="418" w:type="dxa"/>
            <w:vMerge/>
            <w:tcBorders>
              <w:top w:val="nil"/>
              <w:left w:val="single" w:sz="4" w:space="0" w:color="auto"/>
              <w:bottom w:val="single" w:sz="4" w:space="0" w:color="auto"/>
              <w:right w:val="single" w:sz="4" w:space="0" w:color="auto"/>
            </w:tcBorders>
            <w:vAlign w:val="center"/>
            <w:hideMark/>
          </w:tcPr>
          <w:p w14:paraId="73B3E770"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39" w:type="dxa"/>
            <w:vMerge/>
            <w:tcBorders>
              <w:top w:val="nil"/>
              <w:left w:val="single" w:sz="4" w:space="0" w:color="auto"/>
              <w:bottom w:val="single" w:sz="4" w:space="0" w:color="auto"/>
              <w:right w:val="single" w:sz="4" w:space="0" w:color="auto"/>
            </w:tcBorders>
            <w:vAlign w:val="center"/>
            <w:hideMark/>
          </w:tcPr>
          <w:p w14:paraId="57C29C49"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207" w:type="dxa"/>
            <w:tcBorders>
              <w:top w:val="nil"/>
              <w:left w:val="nil"/>
              <w:bottom w:val="single" w:sz="4" w:space="0" w:color="auto"/>
              <w:right w:val="single" w:sz="4" w:space="0" w:color="auto"/>
            </w:tcBorders>
            <w:hideMark/>
          </w:tcPr>
          <w:p w14:paraId="5FF28C3C"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Wasting</w:t>
            </w:r>
          </w:p>
        </w:tc>
        <w:tc>
          <w:tcPr>
            <w:tcW w:w="1176" w:type="dxa"/>
            <w:tcBorders>
              <w:top w:val="nil"/>
              <w:left w:val="nil"/>
              <w:bottom w:val="single" w:sz="4" w:space="0" w:color="auto"/>
              <w:right w:val="single" w:sz="4" w:space="0" w:color="auto"/>
            </w:tcBorders>
            <w:hideMark/>
          </w:tcPr>
          <w:p w14:paraId="76FAD354" w14:textId="77777777" w:rsidR="00B548E1" w:rsidRPr="003169AF" w:rsidRDefault="00B548E1" w:rsidP="00057600">
            <w:pPr>
              <w:spacing w:after="0" w:line="240" w:lineRule="auto"/>
              <w:jc w:val="center"/>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1</w:t>
            </w:r>
          </w:p>
        </w:tc>
        <w:tc>
          <w:tcPr>
            <w:tcW w:w="1176" w:type="dxa"/>
            <w:tcBorders>
              <w:top w:val="nil"/>
              <w:left w:val="nil"/>
              <w:bottom w:val="single" w:sz="4" w:space="0" w:color="auto"/>
              <w:right w:val="single" w:sz="4" w:space="0" w:color="auto"/>
            </w:tcBorders>
            <w:noWrap/>
            <w:hideMark/>
          </w:tcPr>
          <w:p w14:paraId="0F8A2F2F" w14:textId="77777777" w:rsidR="00B548E1" w:rsidRPr="003169AF" w:rsidRDefault="00B548E1" w:rsidP="00057600">
            <w:pPr>
              <w:spacing w:after="0" w:line="240" w:lineRule="auto"/>
              <w:jc w:val="center"/>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5%</w:t>
            </w:r>
          </w:p>
        </w:tc>
        <w:tc>
          <w:tcPr>
            <w:tcW w:w="1322" w:type="dxa"/>
            <w:vMerge/>
            <w:tcBorders>
              <w:top w:val="nil"/>
              <w:left w:val="single" w:sz="4" w:space="0" w:color="auto"/>
              <w:bottom w:val="single" w:sz="4" w:space="0" w:color="auto"/>
              <w:right w:val="single" w:sz="4" w:space="0" w:color="auto"/>
            </w:tcBorders>
            <w:vAlign w:val="center"/>
            <w:hideMark/>
          </w:tcPr>
          <w:p w14:paraId="4340E6AE"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p>
        </w:tc>
        <w:tc>
          <w:tcPr>
            <w:tcW w:w="1457" w:type="dxa"/>
            <w:vMerge/>
            <w:tcBorders>
              <w:top w:val="nil"/>
              <w:left w:val="single" w:sz="4" w:space="0" w:color="auto"/>
              <w:bottom w:val="single" w:sz="4" w:space="0" w:color="auto"/>
              <w:right w:val="single" w:sz="4" w:space="0" w:color="auto"/>
            </w:tcBorders>
            <w:vAlign w:val="center"/>
            <w:hideMark/>
          </w:tcPr>
          <w:p w14:paraId="2BDE7B6D"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678" w:type="dxa"/>
            <w:vMerge/>
            <w:tcBorders>
              <w:top w:val="nil"/>
              <w:left w:val="single" w:sz="4" w:space="0" w:color="auto"/>
              <w:bottom w:val="single" w:sz="4" w:space="0" w:color="auto"/>
              <w:right w:val="single" w:sz="4" w:space="0" w:color="auto"/>
            </w:tcBorders>
            <w:vAlign w:val="center"/>
            <w:hideMark/>
          </w:tcPr>
          <w:p w14:paraId="1131D2C0"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67" w:type="dxa"/>
            <w:vMerge/>
            <w:tcBorders>
              <w:top w:val="nil"/>
              <w:left w:val="single" w:sz="4" w:space="0" w:color="auto"/>
              <w:bottom w:val="single" w:sz="4" w:space="0" w:color="auto"/>
              <w:right w:val="single" w:sz="4" w:space="0" w:color="auto"/>
            </w:tcBorders>
            <w:vAlign w:val="center"/>
            <w:hideMark/>
          </w:tcPr>
          <w:p w14:paraId="3F6ED489"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89" w:type="dxa"/>
            <w:vMerge/>
            <w:tcBorders>
              <w:top w:val="nil"/>
              <w:left w:val="single" w:sz="4" w:space="0" w:color="auto"/>
              <w:bottom w:val="single" w:sz="4" w:space="0" w:color="auto"/>
              <w:right w:val="single" w:sz="4" w:space="0" w:color="auto"/>
            </w:tcBorders>
            <w:vAlign w:val="center"/>
            <w:hideMark/>
          </w:tcPr>
          <w:p w14:paraId="19DC5BDF"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46" w:type="dxa"/>
            <w:vMerge/>
            <w:tcBorders>
              <w:top w:val="nil"/>
              <w:left w:val="single" w:sz="4" w:space="0" w:color="auto"/>
              <w:bottom w:val="single" w:sz="4" w:space="0" w:color="auto"/>
              <w:right w:val="single" w:sz="4" w:space="0" w:color="auto"/>
            </w:tcBorders>
            <w:vAlign w:val="center"/>
            <w:hideMark/>
          </w:tcPr>
          <w:p w14:paraId="35BD3428"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440" w:type="dxa"/>
            <w:vMerge/>
            <w:tcBorders>
              <w:top w:val="nil"/>
              <w:left w:val="single" w:sz="4" w:space="0" w:color="auto"/>
              <w:bottom w:val="single" w:sz="4" w:space="0" w:color="auto"/>
              <w:right w:val="single" w:sz="4" w:space="0" w:color="auto"/>
            </w:tcBorders>
            <w:vAlign w:val="center"/>
            <w:hideMark/>
          </w:tcPr>
          <w:p w14:paraId="3686BA93"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r>
      <w:tr w:rsidR="00B548E1" w14:paraId="370B3B88" w14:textId="77777777" w:rsidTr="00057600">
        <w:trPr>
          <w:trHeight w:val="210"/>
        </w:trPr>
        <w:tc>
          <w:tcPr>
            <w:tcW w:w="418" w:type="dxa"/>
            <w:vMerge/>
            <w:tcBorders>
              <w:top w:val="nil"/>
              <w:left w:val="single" w:sz="4" w:space="0" w:color="auto"/>
              <w:bottom w:val="single" w:sz="4" w:space="0" w:color="auto"/>
              <w:right w:val="single" w:sz="4" w:space="0" w:color="auto"/>
            </w:tcBorders>
            <w:vAlign w:val="center"/>
            <w:hideMark/>
          </w:tcPr>
          <w:p w14:paraId="2DF7A917"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139" w:type="dxa"/>
            <w:vMerge/>
            <w:tcBorders>
              <w:top w:val="nil"/>
              <w:left w:val="single" w:sz="4" w:space="0" w:color="auto"/>
              <w:bottom w:val="single" w:sz="4" w:space="0" w:color="auto"/>
              <w:right w:val="single" w:sz="4" w:space="0" w:color="auto"/>
            </w:tcBorders>
            <w:vAlign w:val="center"/>
            <w:hideMark/>
          </w:tcPr>
          <w:p w14:paraId="111E9C98"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207" w:type="dxa"/>
            <w:tcBorders>
              <w:top w:val="nil"/>
              <w:left w:val="nil"/>
              <w:bottom w:val="single" w:sz="4" w:space="0" w:color="auto"/>
              <w:right w:val="single" w:sz="4" w:space="0" w:color="auto"/>
            </w:tcBorders>
            <w:hideMark/>
          </w:tcPr>
          <w:p w14:paraId="5E6A2066"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Nutrition deficiencies</w:t>
            </w:r>
          </w:p>
        </w:tc>
        <w:tc>
          <w:tcPr>
            <w:tcW w:w="1176" w:type="dxa"/>
            <w:tcBorders>
              <w:top w:val="nil"/>
              <w:left w:val="nil"/>
              <w:bottom w:val="single" w:sz="4" w:space="0" w:color="auto"/>
              <w:right w:val="single" w:sz="4" w:space="0" w:color="auto"/>
            </w:tcBorders>
            <w:hideMark/>
          </w:tcPr>
          <w:p w14:paraId="2869D733" w14:textId="77777777" w:rsidR="00B548E1" w:rsidRPr="003169AF" w:rsidRDefault="00B548E1" w:rsidP="00057600">
            <w:pPr>
              <w:spacing w:after="0" w:line="240" w:lineRule="auto"/>
              <w:jc w:val="center"/>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1</w:t>
            </w:r>
          </w:p>
        </w:tc>
        <w:tc>
          <w:tcPr>
            <w:tcW w:w="1176" w:type="dxa"/>
            <w:tcBorders>
              <w:top w:val="nil"/>
              <w:left w:val="nil"/>
              <w:bottom w:val="single" w:sz="4" w:space="0" w:color="auto"/>
              <w:right w:val="single" w:sz="4" w:space="0" w:color="auto"/>
            </w:tcBorders>
            <w:noWrap/>
            <w:hideMark/>
          </w:tcPr>
          <w:p w14:paraId="7F7199D0" w14:textId="77777777" w:rsidR="00B548E1" w:rsidRPr="003169AF" w:rsidRDefault="00B548E1" w:rsidP="00057600">
            <w:pPr>
              <w:spacing w:after="0" w:line="240" w:lineRule="auto"/>
              <w:jc w:val="center"/>
              <w:rPr>
                <w:rFonts w:ascii="Arial" w:eastAsia="Times New Roman" w:hAnsi="Arial" w:cs="Arial"/>
                <w:color w:val="000000"/>
                <w:kern w:val="0"/>
                <w:sz w:val="14"/>
                <w:szCs w:val="14"/>
                <w:lang w:eastAsia="en-GB"/>
                <w14:ligatures w14:val="none"/>
              </w:rPr>
            </w:pPr>
            <w:r w:rsidRPr="003169AF">
              <w:rPr>
                <w:rFonts w:ascii="Arial" w:eastAsia="Times New Roman" w:hAnsi="Arial" w:cs="Arial"/>
                <w:color w:val="000000"/>
                <w:kern w:val="0"/>
                <w:sz w:val="14"/>
                <w:szCs w:val="14"/>
                <w:lang w:eastAsia="en-GB"/>
                <w14:ligatures w14:val="none"/>
              </w:rPr>
              <w:t>5%</w:t>
            </w:r>
          </w:p>
        </w:tc>
        <w:tc>
          <w:tcPr>
            <w:tcW w:w="1322" w:type="dxa"/>
            <w:vMerge/>
            <w:tcBorders>
              <w:top w:val="nil"/>
              <w:left w:val="single" w:sz="4" w:space="0" w:color="auto"/>
              <w:bottom w:val="single" w:sz="4" w:space="0" w:color="auto"/>
              <w:right w:val="single" w:sz="4" w:space="0" w:color="auto"/>
            </w:tcBorders>
            <w:vAlign w:val="center"/>
            <w:hideMark/>
          </w:tcPr>
          <w:p w14:paraId="4426BC0B" w14:textId="77777777" w:rsidR="00B548E1" w:rsidRPr="003169AF" w:rsidRDefault="00B548E1" w:rsidP="00057600">
            <w:pPr>
              <w:spacing w:after="0" w:line="240" w:lineRule="auto"/>
              <w:rPr>
                <w:rFonts w:ascii="Arial" w:eastAsia="Times New Roman" w:hAnsi="Arial" w:cs="Arial"/>
                <w:kern w:val="0"/>
                <w:sz w:val="14"/>
                <w:szCs w:val="14"/>
                <w:lang w:eastAsia="en-GB"/>
                <w14:ligatures w14:val="none"/>
              </w:rPr>
            </w:pPr>
          </w:p>
        </w:tc>
        <w:tc>
          <w:tcPr>
            <w:tcW w:w="1457" w:type="dxa"/>
            <w:vMerge/>
            <w:tcBorders>
              <w:top w:val="nil"/>
              <w:left w:val="single" w:sz="4" w:space="0" w:color="auto"/>
              <w:bottom w:val="single" w:sz="4" w:space="0" w:color="auto"/>
              <w:right w:val="single" w:sz="4" w:space="0" w:color="auto"/>
            </w:tcBorders>
            <w:vAlign w:val="center"/>
            <w:hideMark/>
          </w:tcPr>
          <w:p w14:paraId="1D08D906"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678" w:type="dxa"/>
            <w:vMerge/>
            <w:tcBorders>
              <w:top w:val="nil"/>
              <w:left w:val="single" w:sz="4" w:space="0" w:color="auto"/>
              <w:bottom w:val="single" w:sz="4" w:space="0" w:color="auto"/>
              <w:right w:val="single" w:sz="4" w:space="0" w:color="auto"/>
            </w:tcBorders>
            <w:vAlign w:val="center"/>
            <w:hideMark/>
          </w:tcPr>
          <w:p w14:paraId="777A8BA6"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67" w:type="dxa"/>
            <w:vMerge/>
            <w:tcBorders>
              <w:top w:val="nil"/>
              <w:left w:val="single" w:sz="4" w:space="0" w:color="auto"/>
              <w:bottom w:val="single" w:sz="4" w:space="0" w:color="auto"/>
              <w:right w:val="single" w:sz="4" w:space="0" w:color="auto"/>
            </w:tcBorders>
            <w:vAlign w:val="center"/>
            <w:hideMark/>
          </w:tcPr>
          <w:p w14:paraId="334C62A8"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89" w:type="dxa"/>
            <w:vMerge/>
            <w:tcBorders>
              <w:top w:val="nil"/>
              <w:left w:val="single" w:sz="4" w:space="0" w:color="auto"/>
              <w:bottom w:val="single" w:sz="4" w:space="0" w:color="auto"/>
              <w:right w:val="single" w:sz="4" w:space="0" w:color="auto"/>
            </w:tcBorders>
            <w:vAlign w:val="center"/>
            <w:hideMark/>
          </w:tcPr>
          <w:p w14:paraId="14718A8B"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346" w:type="dxa"/>
            <w:vMerge/>
            <w:tcBorders>
              <w:top w:val="nil"/>
              <w:left w:val="single" w:sz="4" w:space="0" w:color="auto"/>
              <w:bottom w:val="single" w:sz="4" w:space="0" w:color="auto"/>
              <w:right w:val="single" w:sz="4" w:space="0" w:color="auto"/>
            </w:tcBorders>
            <w:vAlign w:val="center"/>
            <w:hideMark/>
          </w:tcPr>
          <w:p w14:paraId="62DCC339"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c>
          <w:tcPr>
            <w:tcW w:w="1440" w:type="dxa"/>
            <w:vMerge/>
            <w:tcBorders>
              <w:top w:val="nil"/>
              <w:left w:val="single" w:sz="4" w:space="0" w:color="auto"/>
              <w:bottom w:val="single" w:sz="4" w:space="0" w:color="auto"/>
              <w:right w:val="single" w:sz="4" w:space="0" w:color="auto"/>
            </w:tcBorders>
            <w:vAlign w:val="center"/>
            <w:hideMark/>
          </w:tcPr>
          <w:p w14:paraId="4A3A3B8C" w14:textId="77777777" w:rsidR="00B548E1" w:rsidRPr="003169AF" w:rsidRDefault="00B548E1" w:rsidP="00057600">
            <w:pPr>
              <w:spacing w:after="0" w:line="240" w:lineRule="auto"/>
              <w:rPr>
                <w:rFonts w:ascii="Arial" w:eastAsia="Times New Roman" w:hAnsi="Arial" w:cs="Arial"/>
                <w:color w:val="000000"/>
                <w:kern w:val="0"/>
                <w:sz w:val="14"/>
                <w:szCs w:val="14"/>
                <w:lang w:eastAsia="en-GB"/>
                <w14:ligatures w14:val="none"/>
              </w:rPr>
            </w:pPr>
          </w:p>
        </w:tc>
      </w:tr>
    </w:tbl>
    <w:p w14:paraId="44F7A9CC" w14:textId="77777777" w:rsidR="00B548E1" w:rsidRPr="003169AF" w:rsidRDefault="00B548E1" w:rsidP="00B548E1">
      <w:pPr>
        <w:spacing w:line="240" w:lineRule="auto"/>
        <w:jc w:val="both"/>
        <w:rPr>
          <w:rFonts w:ascii="Arial" w:hAnsi="Arial" w:cs="Arial"/>
          <w:b/>
          <w:bCs/>
          <w:sz w:val="24"/>
          <w:szCs w:val="24"/>
        </w:rPr>
        <w:sectPr w:rsidR="00B548E1" w:rsidRPr="003169AF" w:rsidSect="00B548E1">
          <w:pgSz w:w="16838" w:h="11906" w:orient="landscape"/>
          <w:pgMar w:top="1440" w:right="1440" w:bottom="1440" w:left="1440" w:header="708" w:footer="708" w:gutter="0"/>
          <w:cols w:space="708"/>
          <w:docGrid w:linePitch="360"/>
        </w:sectPr>
      </w:pPr>
    </w:p>
    <w:p w14:paraId="6C39C555" w14:textId="77777777" w:rsidR="00B548E1" w:rsidRPr="003169AF" w:rsidRDefault="00B548E1" w:rsidP="00B548E1">
      <w:pPr>
        <w:pStyle w:val="Heading2"/>
        <w:spacing w:line="240" w:lineRule="auto"/>
        <w:rPr>
          <w:rFonts w:ascii="Arial" w:hAnsi="Arial" w:cs="Arial"/>
          <w:b/>
          <w:bCs/>
          <w:color w:val="auto"/>
          <w:sz w:val="24"/>
          <w:szCs w:val="24"/>
        </w:rPr>
      </w:pPr>
      <w:bookmarkStart w:id="7" w:name="_Toc185280928"/>
      <w:r w:rsidRPr="003169AF">
        <w:rPr>
          <w:rFonts w:ascii="Arial" w:hAnsi="Arial" w:cs="Arial"/>
          <w:b/>
          <w:bCs/>
          <w:color w:val="auto"/>
          <w:sz w:val="24"/>
          <w:szCs w:val="24"/>
        </w:rPr>
        <w:lastRenderedPageBreak/>
        <w:t>Annex 7. Mapping the presence of BCW intervention functions</w:t>
      </w:r>
      <w:bookmarkEnd w:id="7"/>
    </w:p>
    <w:p w14:paraId="7F543FFE" w14:textId="77777777" w:rsidR="00B548E1" w:rsidRPr="003169AF" w:rsidRDefault="00B548E1" w:rsidP="00B548E1">
      <w:pPr>
        <w:spacing w:after="0" w:line="240" w:lineRule="auto"/>
        <w:rPr>
          <w:rFonts w:ascii="Arial" w:hAnsi="Arial" w:cs="Arial"/>
          <w:b/>
          <w:bCs/>
          <w:sz w:val="24"/>
          <w:szCs w:val="24"/>
        </w:rPr>
      </w:pPr>
      <w:r w:rsidRPr="003169AF">
        <w:rPr>
          <w:rFonts w:ascii="Arial" w:hAnsi="Arial" w:cs="Arial"/>
          <w:noProof/>
          <w:sz w:val="24"/>
          <w:szCs w:val="24"/>
          <w:lang w:val="de-DE" w:eastAsia="de-DE"/>
        </w:rPr>
        <w:drawing>
          <wp:inline distT="0" distB="0" distL="0" distR="0" wp14:anchorId="06DA3459" wp14:editId="7C16E9D6">
            <wp:extent cx="6441906" cy="7153470"/>
            <wp:effectExtent l="0" t="0" r="0" b="0"/>
            <wp:docPr id="15200085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008591"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6451364" cy="7163972"/>
                    </a:xfrm>
                    <a:prstGeom prst="rect">
                      <a:avLst/>
                    </a:prstGeom>
                    <a:noFill/>
                    <a:ln>
                      <a:noFill/>
                    </a:ln>
                  </pic:spPr>
                </pic:pic>
              </a:graphicData>
            </a:graphic>
          </wp:inline>
        </w:drawing>
      </w:r>
    </w:p>
    <w:p w14:paraId="5E27E5B0" w14:textId="77777777" w:rsidR="00B548E1" w:rsidRPr="003169AF" w:rsidRDefault="00B548E1" w:rsidP="00B548E1">
      <w:pPr>
        <w:spacing w:after="0" w:line="240" w:lineRule="auto"/>
        <w:rPr>
          <w:rFonts w:ascii="Arial" w:hAnsi="Arial" w:cs="Arial"/>
          <w:sz w:val="20"/>
          <w:szCs w:val="20"/>
        </w:rPr>
        <w:sectPr w:rsidR="00B548E1" w:rsidRPr="003169AF" w:rsidSect="00B548E1">
          <w:pgSz w:w="11906" w:h="16838"/>
          <w:pgMar w:top="1440" w:right="1440" w:bottom="1440" w:left="1440" w:header="708" w:footer="708" w:gutter="0"/>
          <w:cols w:space="708"/>
          <w:docGrid w:linePitch="360"/>
        </w:sectPr>
      </w:pPr>
      <w:r w:rsidRPr="003169AF">
        <w:rPr>
          <w:rFonts w:ascii="Arial" w:hAnsi="Arial" w:cs="Arial"/>
          <w:sz w:val="20"/>
          <w:szCs w:val="20"/>
        </w:rPr>
        <w:t>Notes: 1=presence, 0=absence</w:t>
      </w:r>
    </w:p>
    <w:p w14:paraId="3BA378DD" w14:textId="77777777" w:rsidR="00B548E1" w:rsidRPr="003169AF" w:rsidRDefault="00B548E1" w:rsidP="00B548E1">
      <w:pPr>
        <w:pStyle w:val="Heading2"/>
        <w:spacing w:line="240" w:lineRule="auto"/>
        <w:rPr>
          <w:rFonts w:ascii="Arial" w:hAnsi="Arial" w:cs="Arial"/>
          <w:b/>
          <w:bCs/>
          <w:color w:val="auto"/>
          <w:sz w:val="24"/>
          <w:szCs w:val="24"/>
        </w:rPr>
      </w:pPr>
      <w:bookmarkStart w:id="8" w:name="_Toc185280929"/>
      <w:r w:rsidRPr="003169AF">
        <w:rPr>
          <w:rFonts w:ascii="Arial" w:hAnsi="Arial" w:cs="Arial"/>
          <w:b/>
          <w:bCs/>
          <w:color w:val="auto"/>
          <w:sz w:val="24"/>
          <w:szCs w:val="24"/>
        </w:rPr>
        <w:lastRenderedPageBreak/>
        <w:t>Annex 8. Mapping the presence of BCW policy categories</w:t>
      </w:r>
      <w:bookmarkEnd w:id="8"/>
    </w:p>
    <w:p w14:paraId="09608DA8" w14:textId="77777777" w:rsidR="00B548E1" w:rsidRPr="003169AF" w:rsidRDefault="00B548E1" w:rsidP="00B548E1">
      <w:pPr>
        <w:spacing w:after="0" w:line="240" w:lineRule="auto"/>
        <w:rPr>
          <w:rFonts w:ascii="Arial" w:hAnsi="Arial" w:cs="Arial"/>
          <w:sz w:val="24"/>
          <w:szCs w:val="24"/>
        </w:rPr>
      </w:pPr>
      <w:r w:rsidRPr="003169AF">
        <w:rPr>
          <w:rFonts w:ascii="Arial" w:hAnsi="Arial" w:cs="Arial"/>
          <w:noProof/>
          <w:sz w:val="24"/>
          <w:szCs w:val="24"/>
          <w:lang w:val="de-DE" w:eastAsia="de-DE"/>
        </w:rPr>
        <w:drawing>
          <wp:inline distT="0" distB="0" distL="0" distR="0" wp14:anchorId="1615ADB9" wp14:editId="58B647A1">
            <wp:extent cx="5731510" cy="6964680"/>
            <wp:effectExtent l="0" t="0" r="2540" b="7620"/>
            <wp:docPr id="11223129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312913"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731510" cy="6964680"/>
                    </a:xfrm>
                    <a:prstGeom prst="rect">
                      <a:avLst/>
                    </a:prstGeom>
                    <a:noFill/>
                    <a:ln>
                      <a:noFill/>
                    </a:ln>
                  </pic:spPr>
                </pic:pic>
              </a:graphicData>
            </a:graphic>
          </wp:inline>
        </w:drawing>
      </w:r>
    </w:p>
    <w:p w14:paraId="58271190" w14:textId="77777777" w:rsidR="00B548E1" w:rsidRPr="003169AF" w:rsidRDefault="00B548E1" w:rsidP="00B548E1">
      <w:pPr>
        <w:spacing w:after="0" w:line="240" w:lineRule="auto"/>
        <w:rPr>
          <w:rFonts w:ascii="Arial" w:hAnsi="Arial" w:cs="Arial"/>
          <w:sz w:val="20"/>
          <w:szCs w:val="20"/>
        </w:rPr>
        <w:sectPr w:rsidR="00B548E1" w:rsidRPr="003169AF" w:rsidSect="00B548E1">
          <w:pgSz w:w="11906" w:h="16838"/>
          <w:pgMar w:top="1440" w:right="1440" w:bottom="1440" w:left="1440" w:header="708" w:footer="708" w:gutter="0"/>
          <w:cols w:space="708"/>
          <w:docGrid w:linePitch="360"/>
        </w:sectPr>
      </w:pPr>
      <w:r w:rsidRPr="003169AF">
        <w:rPr>
          <w:rFonts w:ascii="Arial" w:hAnsi="Arial" w:cs="Arial"/>
          <w:sz w:val="20"/>
          <w:szCs w:val="20"/>
        </w:rPr>
        <w:t>Notes: 1=presence, 0=absence</w:t>
      </w:r>
    </w:p>
    <w:p w14:paraId="6DD9AF9B" w14:textId="77777777" w:rsidR="00B548E1" w:rsidRPr="003169AF" w:rsidRDefault="00B548E1" w:rsidP="00B548E1">
      <w:pPr>
        <w:pStyle w:val="Heading2"/>
        <w:spacing w:line="240" w:lineRule="auto"/>
        <w:rPr>
          <w:rFonts w:ascii="Arial" w:hAnsi="Arial" w:cs="Arial"/>
          <w:b/>
          <w:bCs/>
          <w:color w:val="auto"/>
          <w:sz w:val="24"/>
          <w:szCs w:val="24"/>
        </w:rPr>
      </w:pPr>
      <w:bookmarkStart w:id="9" w:name="_Toc185280930"/>
      <w:r w:rsidRPr="003169AF">
        <w:rPr>
          <w:rFonts w:ascii="Arial" w:hAnsi="Arial" w:cs="Arial"/>
          <w:b/>
          <w:bCs/>
          <w:color w:val="auto"/>
          <w:sz w:val="24"/>
          <w:szCs w:val="24"/>
        </w:rPr>
        <w:lastRenderedPageBreak/>
        <w:t xml:space="preserve">Annex 9. Presence of </w:t>
      </w:r>
      <w:bookmarkEnd w:id="9"/>
      <w:r w:rsidRPr="003169AF">
        <w:rPr>
          <w:rFonts w:ascii="Arial" w:eastAsia="Times New Roman" w:hAnsi="Arial" w:cs="Arial"/>
          <w:b/>
          <w:bCs/>
          <w:color w:val="auto"/>
          <w:sz w:val="24"/>
          <w:szCs w:val="24"/>
        </w:rPr>
        <w:t xml:space="preserve">the </w:t>
      </w:r>
      <w:r w:rsidRPr="003169AF">
        <w:rPr>
          <w:rFonts w:ascii="Arial" w:hAnsi="Arial" w:cs="Arial"/>
          <w:b/>
          <w:bCs/>
          <w:color w:val="auto"/>
          <w:sz w:val="24"/>
          <w:szCs w:val="24"/>
        </w:rPr>
        <w:t>COM-B model in child nutrition interventions</w:t>
      </w:r>
    </w:p>
    <w:p w14:paraId="5332B588" w14:textId="77777777" w:rsidR="00B548E1" w:rsidRPr="003169AF" w:rsidRDefault="00B548E1" w:rsidP="00B548E1">
      <w:pPr>
        <w:spacing w:after="0" w:line="240" w:lineRule="auto"/>
        <w:rPr>
          <w:rFonts w:ascii="Arial" w:hAnsi="Arial" w:cs="Arial"/>
          <w:sz w:val="24"/>
          <w:szCs w:val="24"/>
        </w:rPr>
      </w:pPr>
      <w:r w:rsidRPr="003169AF">
        <w:rPr>
          <w:rFonts w:ascii="Arial" w:hAnsi="Arial" w:cs="Arial"/>
          <w:noProof/>
          <w:sz w:val="24"/>
          <w:szCs w:val="24"/>
          <w:lang w:val="de-DE" w:eastAsia="de-DE"/>
        </w:rPr>
        <w:drawing>
          <wp:inline distT="0" distB="0" distL="0" distR="0" wp14:anchorId="63E6D8E2" wp14:editId="2A1B376F">
            <wp:extent cx="5731510" cy="7207250"/>
            <wp:effectExtent l="0" t="0" r="2540" b="0"/>
            <wp:docPr id="18663026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302622"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731510" cy="7207250"/>
                    </a:xfrm>
                    <a:prstGeom prst="rect">
                      <a:avLst/>
                    </a:prstGeom>
                    <a:noFill/>
                    <a:ln>
                      <a:noFill/>
                    </a:ln>
                  </pic:spPr>
                </pic:pic>
              </a:graphicData>
            </a:graphic>
          </wp:inline>
        </w:drawing>
      </w:r>
    </w:p>
    <w:p w14:paraId="5B6B15B8" w14:textId="77777777" w:rsidR="00B548E1" w:rsidRPr="003169AF" w:rsidRDefault="00B548E1" w:rsidP="00B548E1">
      <w:pPr>
        <w:spacing w:after="0" w:line="240" w:lineRule="auto"/>
        <w:rPr>
          <w:rFonts w:ascii="Arial" w:hAnsi="Arial" w:cs="Arial"/>
          <w:sz w:val="20"/>
          <w:szCs w:val="20"/>
        </w:rPr>
        <w:sectPr w:rsidR="00B548E1" w:rsidRPr="003169AF" w:rsidSect="00B548E1">
          <w:pgSz w:w="11906" w:h="16838"/>
          <w:pgMar w:top="1440" w:right="1440" w:bottom="1440" w:left="1440" w:header="708" w:footer="708" w:gutter="0"/>
          <w:cols w:space="708"/>
          <w:docGrid w:linePitch="360"/>
        </w:sectPr>
      </w:pPr>
      <w:r w:rsidRPr="003169AF">
        <w:rPr>
          <w:rFonts w:ascii="Arial" w:hAnsi="Arial" w:cs="Arial"/>
          <w:sz w:val="20"/>
          <w:szCs w:val="20"/>
        </w:rPr>
        <w:t>Notes: 1=presence, 0=absence</w:t>
      </w:r>
    </w:p>
    <w:p w14:paraId="362D2297" w14:textId="77777777" w:rsidR="00B548E1" w:rsidRDefault="00B548E1" w:rsidP="00B548E1">
      <w:pPr>
        <w:spacing w:after="0" w:line="240" w:lineRule="auto"/>
        <w:jc w:val="both"/>
        <w:rPr>
          <w:rFonts w:ascii="Arial" w:hAnsi="Arial" w:cs="Arial"/>
          <w:sz w:val="24"/>
          <w:szCs w:val="24"/>
        </w:rPr>
      </w:pPr>
      <w:r w:rsidRPr="00853CBF">
        <w:rPr>
          <w:rFonts w:ascii="Arial" w:hAnsi="Arial" w:cs="Arial"/>
          <w:b/>
          <w:bCs/>
          <w:sz w:val="24"/>
          <w:szCs w:val="24"/>
        </w:rPr>
        <w:lastRenderedPageBreak/>
        <w:t>Annex 10. Adaptation of BCW functions, policy categories and COM-B</w:t>
      </w:r>
      <w:r>
        <w:rPr>
          <w:rFonts w:ascii="Arial" w:hAnsi="Arial" w:cs="Arial"/>
          <w:sz w:val="24"/>
          <w:szCs w:val="24"/>
        </w:rPr>
        <w:t xml:space="preserve"> (Source: Michie, Van Stralen and West </w:t>
      </w:r>
      <w:r>
        <w:rPr>
          <w:rFonts w:ascii="Arial" w:hAnsi="Arial" w:cs="Arial"/>
          <w:sz w:val="24"/>
          <w:szCs w:val="24"/>
        </w:rPr>
        <w:fldChar w:fldCharType="begin"/>
      </w:r>
      <w:r>
        <w:rPr>
          <w:rFonts w:ascii="Arial" w:hAnsi="Arial" w:cs="Arial"/>
          <w:sz w:val="24"/>
          <w:szCs w:val="24"/>
        </w:rPr>
        <w:instrText xml:space="preserve"> ADDIN ZOTERO_ITEM CSL_CITATION {"citationID":"sR1Dleku","properties":{"formattedCitation":"[19]","plainCitation":"[19]","noteIndex":0},"citationItems":[{"id":634,"uris":["http://zotero.org/users/431602/items/LVILHUE8"],"itemData":{"id":634,"type":"article-journal","abstract":"Background: Improving the design and implementation of evidence-based practice depends on successful behaviour change interventions. This requires an appropriate method for characterising interventions and linking them to an analysis of the targeted behaviour. There exists a plethora of frameworks of behaviour change interventions, but it is not clear how well they serve this purpose. This paper evaluates these frameworks, and develops and evaluates a new framework aimed at overcoming their limitations.\nMethods: A systematic search of electronic databases and consultation with behaviour change experts were used to identify frameworks of behaviour change interventions. These were evaluated according to three criteria: comprehensiveness, coherence, and a clear link to an overarching model of behaviour. A new framework was developed to meet these criteria. The reliability with which it could be applied was examined in two domains of behaviour change: tobacco control and obesity.\nResults: Nineteen frameworks were identified covering nine intervention functions and seven policy categories that could enable those interventions. None of the frameworks reviewed covered the full range of intervention functions or policies, and only a minority met the criteria of coherence or linkage to a model of behaviour. At the centre of a proposed new framework is a ‘behaviour system’ involving three essential conditions: capability, opportunity, and motivation (what we term the ‘COM-B system’). This forms the hub of a ‘behaviour change wheel’ (BCW) around which are positioned the nine intervention functions aimed at addressing deficits in one or more of these conditions; around this are placed seven categories of policy that could enable those interventions to occur. The BCW was used reliably to characterise interventions within the English Department of Health’s 2010 tobacco control strategy and the National Institute of Health and Clinical Excellence’s guidance on reducing obesity.\nConclusions: Interventions and policies to change behaviour can be usefully characterised by means of a BCW comprising: a ‘behaviour system’ at the hub, encircled by intervention functions and then by policy categories. Research is needed to establish how far the BCW can lead to more efficient design of effective interventions.","container-title":"Implementation Science","DOI":"10.1186/1748-5908-6-42","ISSN":"1748-5908","issue":"1","journalAbbreviation":"Implementation Sci","language":"en","license":"http://www.springer.com/tdm","page":"42","source":"DOI.org (Crossref)","title":"The behaviour change wheel: A new method for characterising and designing behaviour change interventions","title-short":"The behaviour change wheel","volume":"6","author":[{"family":"Michie","given":"Susan"},{"family":"Van Stralen","given":"Maartje M"},{"family":"West","given":"Robert"}],"issued":{"date-parts":[["2011",12]]}}}],"schema":"https://github.com/citation-style-language/schema/raw/master/csl-citation.json"} </w:instrText>
      </w:r>
      <w:r>
        <w:rPr>
          <w:rFonts w:ascii="Arial" w:hAnsi="Arial" w:cs="Arial"/>
          <w:sz w:val="24"/>
          <w:szCs w:val="24"/>
        </w:rPr>
        <w:fldChar w:fldCharType="separate"/>
      </w:r>
      <w:r w:rsidRPr="002D420D">
        <w:rPr>
          <w:rFonts w:ascii="Arial" w:hAnsi="Arial" w:cs="Arial"/>
          <w:sz w:val="24"/>
        </w:rPr>
        <w:t>[19]</w:t>
      </w:r>
      <w:r>
        <w:rPr>
          <w:rFonts w:ascii="Arial" w:hAnsi="Arial" w:cs="Arial"/>
          <w:sz w:val="24"/>
          <w:szCs w:val="24"/>
        </w:rPr>
        <w:fldChar w:fldCharType="end"/>
      </w:r>
    </w:p>
    <w:p w14:paraId="7C94C029" w14:textId="77777777" w:rsidR="00B548E1" w:rsidRDefault="00B548E1" w:rsidP="00B548E1">
      <w:pPr>
        <w:spacing w:after="0" w:line="240" w:lineRule="auto"/>
        <w:jc w:val="both"/>
        <w:rPr>
          <w:rFonts w:ascii="Arial" w:hAnsi="Arial" w:cs="Arial"/>
          <w:sz w:val="24"/>
          <w:szCs w:val="24"/>
        </w:rPr>
      </w:pPr>
    </w:p>
    <w:p w14:paraId="719CE5C5" w14:textId="77777777" w:rsidR="00B548E1" w:rsidRPr="003169AF" w:rsidRDefault="00B548E1" w:rsidP="00B548E1">
      <w:pPr>
        <w:spacing w:after="0" w:line="276" w:lineRule="auto"/>
        <w:jc w:val="both"/>
        <w:rPr>
          <w:rFonts w:ascii="Arial" w:hAnsi="Arial" w:cs="Arial"/>
          <w:sz w:val="24"/>
          <w:szCs w:val="24"/>
        </w:rPr>
      </w:pPr>
      <w:r>
        <w:rPr>
          <w:rFonts w:ascii="Arial" w:hAnsi="Arial" w:cs="Arial"/>
          <w:sz w:val="24"/>
          <w:szCs w:val="24"/>
        </w:rPr>
        <w:t xml:space="preserve">BCW </w:t>
      </w:r>
      <w:r>
        <w:rPr>
          <w:rFonts w:ascii="Arial" w:eastAsia="Aptos" w:hAnsi="Arial" w:cs="Arial"/>
          <w:sz w:val="24"/>
          <w:szCs w:val="24"/>
        </w:rPr>
        <w:t>intervention</w:t>
      </w:r>
      <w:r>
        <w:rPr>
          <w:rFonts w:ascii="Arial" w:hAnsi="Arial" w:cs="Arial"/>
          <w:sz w:val="24"/>
          <w:szCs w:val="24"/>
        </w:rPr>
        <w:t xml:space="preserve"> functions</w:t>
      </w:r>
    </w:p>
    <w:p w14:paraId="2B27A097" w14:textId="77777777" w:rsidR="00B548E1" w:rsidRPr="003169AF" w:rsidRDefault="00B548E1" w:rsidP="00B548E1">
      <w:pPr>
        <w:pStyle w:val="ListParagraph"/>
        <w:numPr>
          <w:ilvl w:val="0"/>
          <w:numId w:val="51"/>
        </w:numPr>
        <w:spacing w:after="0" w:line="276" w:lineRule="auto"/>
        <w:jc w:val="both"/>
        <w:rPr>
          <w:rFonts w:ascii="Arial" w:hAnsi="Arial" w:cs="Arial"/>
          <w:kern w:val="0"/>
          <w:sz w:val="24"/>
          <w:szCs w:val="24"/>
        </w:rPr>
      </w:pPr>
      <w:r w:rsidRPr="003169AF">
        <w:rPr>
          <w:rFonts w:ascii="Arial" w:hAnsi="Arial" w:cs="Arial"/>
          <w:i/>
          <w:iCs/>
          <w:sz w:val="24"/>
          <w:szCs w:val="24"/>
        </w:rPr>
        <w:t>M</w:t>
      </w:r>
      <w:r w:rsidRPr="003169AF">
        <w:rPr>
          <w:rFonts w:ascii="Arial" w:eastAsia="Aptos" w:hAnsi="Arial" w:cs="Arial"/>
          <w:i/>
          <w:iCs/>
          <w:sz w:val="24"/>
          <w:szCs w:val="24"/>
        </w:rPr>
        <w:t>odeling:</w:t>
      </w:r>
      <w:r w:rsidRPr="003169AF">
        <w:rPr>
          <w:rFonts w:ascii="Arial" w:hAnsi="Arial" w:cs="Arial"/>
          <w:sz w:val="24"/>
          <w:szCs w:val="24"/>
        </w:rPr>
        <w:t xml:space="preserve"> This function involves providing exemplars and role models of </w:t>
      </w:r>
      <w:r w:rsidRPr="003169AF">
        <w:rPr>
          <w:rFonts w:ascii="Arial" w:hAnsi="Arial" w:cs="Arial"/>
          <w:kern w:val="0"/>
          <w:sz w:val="24"/>
          <w:szCs w:val="24"/>
        </w:rPr>
        <w:t xml:space="preserve">healthy nutrition or diets, thereby encouraging children, their parents or guardians, </w:t>
      </w:r>
      <w:r>
        <w:rPr>
          <w:rFonts w:ascii="Arial" w:eastAsia="Aptos" w:hAnsi="Arial" w:cs="Arial"/>
          <w:kern w:val="0"/>
          <w:sz w:val="24"/>
          <w:szCs w:val="24"/>
        </w:rPr>
        <w:t>and</w:t>
      </w:r>
      <w:r w:rsidRPr="003169AF">
        <w:rPr>
          <w:rFonts w:ascii="Arial" w:hAnsi="Arial" w:cs="Arial"/>
          <w:kern w:val="0"/>
          <w:sz w:val="24"/>
          <w:szCs w:val="24"/>
        </w:rPr>
        <w:t xml:space="preserve"> other relevant stakeholders to emulate role models who adopt healthy eating </w:t>
      </w:r>
      <w:r>
        <w:rPr>
          <w:rFonts w:ascii="Arial" w:eastAsia="Aptos" w:hAnsi="Arial" w:cs="Arial"/>
          <w:kern w:val="0"/>
          <w:sz w:val="24"/>
          <w:szCs w:val="24"/>
        </w:rPr>
        <w:t>behaviors</w:t>
      </w:r>
      <w:r w:rsidRPr="003169AF">
        <w:rPr>
          <w:rFonts w:ascii="Arial" w:hAnsi="Arial" w:cs="Arial"/>
          <w:kern w:val="0"/>
          <w:sz w:val="24"/>
          <w:szCs w:val="24"/>
        </w:rPr>
        <w:t xml:space="preserve"> to </w:t>
      </w:r>
      <w:r w:rsidRPr="003169AF">
        <w:rPr>
          <w:rFonts w:ascii="Arial" w:eastAsia="Aptos" w:hAnsi="Arial" w:cs="Arial"/>
          <w:kern w:val="0"/>
          <w:sz w:val="24"/>
          <w:szCs w:val="24"/>
        </w:rPr>
        <w:t>address</w:t>
      </w:r>
      <w:r w:rsidRPr="003169AF">
        <w:rPr>
          <w:rFonts w:ascii="Arial" w:hAnsi="Arial" w:cs="Arial"/>
          <w:kern w:val="0"/>
          <w:sz w:val="24"/>
          <w:szCs w:val="24"/>
        </w:rPr>
        <w:t xml:space="preserve"> malnutrition </w:t>
      </w:r>
      <w:r>
        <w:rPr>
          <w:rFonts w:ascii="Arial" w:eastAsia="Aptos" w:hAnsi="Arial" w:cs="Arial"/>
          <w:kern w:val="0"/>
          <w:sz w:val="24"/>
          <w:szCs w:val="24"/>
        </w:rPr>
        <w:t>among</w:t>
      </w:r>
      <w:r w:rsidRPr="003169AF">
        <w:rPr>
          <w:rFonts w:ascii="Arial" w:hAnsi="Arial" w:cs="Arial"/>
          <w:kern w:val="0"/>
          <w:sz w:val="24"/>
          <w:szCs w:val="24"/>
        </w:rPr>
        <w:t xml:space="preserve"> children.</w:t>
      </w:r>
    </w:p>
    <w:p w14:paraId="2A489B98" w14:textId="77777777" w:rsidR="00B548E1" w:rsidRPr="003169AF" w:rsidRDefault="00B548E1" w:rsidP="00B548E1">
      <w:pPr>
        <w:pStyle w:val="ListParagraph"/>
        <w:numPr>
          <w:ilvl w:val="0"/>
          <w:numId w:val="51"/>
        </w:numPr>
        <w:spacing w:after="0" w:line="276" w:lineRule="auto"/>
        <w:jc w:val="both"/>
        <w:rPr>
          <w:rFonts w:ascii="Arial" w:hAnsi="Arial" w:cs="Arial"/>
          <w:kern w:val="0"/>
          <w:sz w:val="24"/>
          <w:szCs w:val="24"/>
        </w:rPr>
      </w:pPr>
      <w:r w:rsidRPr="003169AF">
        <w:rPr>
          <w:rFonts w:ascii="Arial" w:hAnsi="Arial" w:cs="Arial"/>
          <w:i/>
          <w:iCs/>
          <w:kern w:val="0"/>
          <w:sz w:val="24"/>
          <w:szCs w:val="24"/>
        </w:rPr>
        <w:t>E</w:t>
      </w:r>
      <w:r w:rsidRPr="003169AF">
        <w:rPr>
          <w:rFonts w:ascii="Arial" w:hAnsi="Arial" w:cs="Arial"/>
          <w:i/>
          <w:iCs/>
          <w:sz w:val="24"/>
          <w:szCs w:val="24"/>
        </w:rPr>
        <w:t>nvironmental restructuring:</w:t>
      </w:r>
      <w:r w:rsidRPr="003169AF">
        <w:rPr>
          <w:rFonts w:ascii="Arial" w:hAnsi="Arial" w:cs="Arial"/>
          <w:sz w:val="24"/>
          <w:szCs w:val="24"/>
        </w:rPr>
        <w:t xml:space="preserve"> This is defined as altering </w:t>
      </w:r>
      <w:r w:rsidRPr="003169AF">
        <w:rPr>
          <w:rFonts w:ascii="Arial" w:hAnsi="Arial" w:cs="Arial"/>
          <w:kern w:val="0"/>
          <w:sz w:val="24"/>
          <w:szCs w:val="24"/>
        </w:rPr>
        <w:t>contextual factors</w:t>
      </w:r>
      <w:r w:rsidRPr="003169AF">
        <w:rPr>
          <w:rFonts w:ascii="Arial" w:eastAsia="Aptos" w:hAnsi="Arial" w:cs="Arial"/>
          <w:kern w:val="0"/>
          <w:sz w:val="24"/>
          <w:szCs w:val="24"/>
        </w:rPr>
        <w:t>,</w:t>
      </w:r>
      <w:r w:rsidRPr="003169AF">
        <w:rPr>
          <w:rFonts w:ascii="Arial" w:hAnsi="Arial" w:cs="Arial"/>
          <w:kern w:val="0"/>
          <w:sz w:val="24"/>
          <w:szCs w:val="24"/>
        </w:rPr>
        <w:t xml:space="preserve"> such as those within schools and family settings, to ensure </w:t>
      </w:r>
      <w:r>
        <w:rPr>
          <w:rFonts w:ascii="Arial" w:eastAsia="Aptos" w:hAnsi="Arial" w:cs="Arial"/>
          <w:kern w:val="0"/>
          <w:sz w:val="24"/>
          <w:szCs w:val="24"/>
        </w:rPr>
        <w:t xml:space="preserve">that </w:t>
      </w:r>
      <w:r w:rsidRPr="003169AF">
        <w:rPr>
          <w:rFonts w:ascii="Arial" w:hAnsi="Arial" w:cs="Arial"/>
          <w:kern w:val="0"/>
          <w:sz w:val="24"/>
          <w:szCs w:val="24"/>
        </w:rPr>
        <w:t xml:space="preserve">diverse, healthy foods are available in </w:t>
      </w:r>
      <w:r w:rsidRPr="003169AF">
        <w:rPr>
          <w:rFonts w:ascii="Arial" w:eastAsia="Aptos" w:hAnsi="Arial" w:cs="Arial"/>
          <w:kern w:val="0"/>
          <w:sz w:val="24"/>
          <w:szCs w:val="24"/>
        </w:rPr>
        <w:t xml:space="preserve">terms of </w:t>
      </w:r>
      <w:r w:rsidRPr="003169AF">
        <w:rPr>
          <w:rFonts w:ascii="Arial" w:hAnsi="Arial" w:cs="Arial"/>
          <w:kern w:val="0"/>
          <w:sz w:val="24"/>
          <w:szCs w:val="24"/>
        </w:rPr>
        <w:t>quality and quantity within children’s study, play, or living spaces.</w:t>
      </w:r>
    </w:p>
    <w:p w14:paraId="3E85EEC9" w14:textId="77777777" w:rsidR="00B548E1" w:rsidRPr="003169AF" w:rsidRDefault="00B548E1" w:rsidP="00B548E1">
      <w:pPr>
        <w:pStyle w:val="ListParagraph"/>
        <w:numPr>
          <w:ilvl w:val="0"/>
          <w:numId w:val="51"/>
        </w:numPr>
        <w:spacing w:after="0" w:line="276" w:lineRule="auto"/>
        <w:jc w:val="both"/>
        <w:rPr>
          <w:rFonts w:ascii="Arial" w:hAnsi="Arial" w:cs="Arial"/>
          <w:kern w:val="0"/>
          <w:sz w:val="24"/>
          <w:szCs w:val="24"/>
        </w:rPr>
      </w:pPr>
      <w:r w:rsidRPr="003169AF">
        <w:rPr>
          <w:rFonts w:ascii="Arial" w:hAnsi="Arial" w:cs="Arial"/>
          <w:i/>
          <w:iCs/>
          <w:kern w:val="0"/>
          <w:sz w:val="24"/>
          <w:szCs w:val="24"/>
        </w:rPr>
        <w:t>R</w:t>
      </w:r>
      <w:r w:rsidRPr="003169AF">
        <w:rPr>
          <w:rFonts w:ascii="Arial" w:hAnsi="Arial" w:cs="Arial"/>
          <w:i/>
          <w:iCs/>
          <w:sz w:val="24"/>
          <w:szCs w:val="24"/>
        </w:rPr>
        <w:t>estrictions:</w:t>
      </w:r>
      <w:r w:rsidRPr="003169AF">
        <w:rPr>
          <w:rFonts w:ascii="Arial" w:hAnsi="Arial" w:cs="Arial"/>
          <w:sz w:val="24"/>
          <w:szCs w:val="24"/>
        </w:rPr>
        <w:t xml:space="preserve"> This function is about </w:t>
      </w:r>
      <w:r w:rsidRPr="003169AF">
        <w:rPr>
          <w:rFonts w:ascii="Arial" w:hAnsi="Arial" w:cs="Arial"/>
          <w:kern w:val="0"/>
          <w:sz w:val="24"/>
          <w:szCs w:val="24"/>
        </w:rPr>
        <w:t xml:space="preserve">establishing and enforcing rules aimed at </w:t>
      </w:r>
      <w:r w:rsidRPr="003169AF">
        <w:rPr>
          <w:rFonts w:ascii="Arial" w:eastAsia="Aptos" w:hAnsi="Arial" w:cs="Arial"/>
          <w:kern w:val="0"/>
          <w:sz w:val="24"/>
          <w:szCs w:val="24"/>
        </w:rPr>
        <w:t>minimizing</w:t>
      </w:r>
      <w:r w:rsidRPr="003169AF">
        <w:rPr>
          <w:rFonts w:ascii="Arial" w:hAnsi="Arial" w:cs="Arial"/>
          <w:kern w:val="0"/>
          <w:sz w:val="24"/>
          <w:szCs w:val="24"/>
        </w:rPr>
        <w:t xml:space="preserve"> or </w:t>
      </w:r>
      <w:r w:rsidRPr="003169AF">
        <w:rPr>
          <w:rFonts w:ascii="Arial" w:eastAsia="Aptos" w:hAnsi="Arial" w:cs="Arial"/>
          <w:kern w:val="0"/>
          <w:sz w:val="24"/>
          <w:szCs w:val="24"/>
        </w:rPr>
        <w:t>eliminating</w:t>
      </w:r>
      <w:r w:rsidRPr="003169AF">
        <w:rPr>
          <w:rFonts w:ascii="Arial" w:hAnsi="Arial" w:cs="Arial"/>
          <w:kern w:val="0"/>
          <w:sz w:val="24"/>
          <w:szCs w:val="24"/>
        </w:rPr>
        <w:t xml:space="preserve"> unhealthy eating practices while promoting healthy behaviors that contribute to improved child nutritional outcomes.</w:t>
      </w:r>
    </w:p>
    <w:p w14:paraId="33266352" w14:textId="77777777" w:rsidR="00B548E1" w:rsidRPr="003169AF" w:rsidRDefault="00B548E1" w:rsidP="00B548E1">
      <w:pPr>
        <w:pStyle w:val="ListParagraph"/>
        <w:numPr>
          <w:ilvl w:val="0"/>
          <w:numId w:val="51"/>
        </w:numPr>
        <w:spacing w:after="0" w:line="276" w:lineRule="auto"/>
        <w:jc w:val="both"/>
        <w:rPr>
          <w:rFonts w:ascii="Arial" w:hAnsi="Arial" w:cs="Arial"/>
          <w:kern w:val="0"/>
          <w:sz w:val="24"/>
          <w:szCs w:val="24"/>
        </w:rPr>
      </w:pPr>
      <w:r w:rsidRPr="003169AF">
        <w:rPr>
          <w:rFonts w:ascii="Arial" w:hAnsi="Arial" w:cs="Arial"/>
          <w:i/>
          <w:iCs/>
          <w:kern w:val="0"/>
          <w:sz w:val="24"/>
          <w:szCs w:val="24"/>
        </w:rPr>
        <w:t>E</w:t>
      </w:r>
      <w:r w:rsidRPr="003169AF">
        <w:rPr>
          <w:rFonts w:ascii="Arial" w:hAnsi="Arial" w:cs="Arial"/>
          <w:i/>
          <w:iCs/>
          <w:sz w:val="24"/>
          <w:szCs w:val="24"/>
        </w:rPr>
        <w:t>ducation:</w:t>
      </w:r>
      <w:r w:rsidRPr="003169AF">
        <w:rPr>
          <w:rFonts w:ascii="Arial" w:hAnsi="Arial" w:cs="Arial"/>
          <w:sz w:val="24"/>
          <w:szCs w:val="24"/>
        </w:rPr>
        <w:t xml:space="preserve"> This function seeks to enhance </w:t>
      </w:r>
      <w:r w:rsidRPr="003169AF">
        <w:rPr>
          <w:rFonts w:ascii="Arial" w:hAnsi="Arial" w:cs="Arial"/>
          <w:kern w:val="0"/>
          <w:sz w:val="24"/>
          <w:szCs w:val="24"/>
        </w:rPr>
        <w:t>knowledge and understanding of healthy versus unhealthy nutritional practices and to raise awareness about their effects on children’s health and growth.</w:t>
      </w:r>
    </w:p>
    <w:p w14:paraId="62BD1382" w14:textId="77777777" w:rsidR="00B548E1" w:rsidRPr="003169AF" w:rsidRDefault="00B548E1" w:rsidP="00B548E1">
      <w:pPr>
        <w:pStyle w:val="ListParagraph"/>
        <w:numPr>
          <w:ilvl w:val="0"/>
          <w:numId w:val="51"/>
        </w:numPr>
        <w:spacing w:after="0" w:line="276" w:lineRule="auto"/>
        <w:jc w:val="both"/>
        <w:rPr>
          <w:rFonts w:ascii="Arial" w:hAnsi="Arial" w:cs="Arial"/>
          <w:kern w:val="0"/>
          <w:sz w:val="24"/>
          <w:szCs w:val="24"/>
        </w:rPr>
      </w:pPr>
      <w:r w:rsidRPr="003169AF">
        <w:rPr>
          <w:rFonts w:ascii="Arial" w:hAnsi="Arial" w:cs="Arial"/>
          <w:i/>
          <w:iCs/>
          <w:kern w:val="0"/>
          <w:sz w:val="24"/>
          <w:szCs w:val="24"/>
        </w:rPr>
        <w:t>P</w:t>
      </w:r>
      <w:r w:rsidRPr="003169AF">
        <w:rPr>
          <w:rFonts w:ascii="Arial" w:hAnsi="Arial" w:cs="Arial"/>
          <w:i/>
          <w:iCs/>
          <w:sz w:val="24"/>
          <w:szCs w:val="24"/>
        </w:rPr>
        <w:t>ersuasion:</w:t>
      </w:r>
      <w:r w:rsidRPr="003169AF">
        <w:rPr>
          <w:rFonts w:ascii="Arial" w:hAnsi="Arial" w:cs="Arial"/>
          <w:sz w:val="24"/>
          <w:szCs w:val="24"/>
        </w:rPr>
        <w:t xml:space="preserve"> This function </w:t>
      </w:r>
      <w:r>
        <w:rPr>
          <w:rFonts w:ascii="Arial" w:eastAsia="Aptos" w:hAnsi="Arial" w:cs="Arial"/>
          <w:sz w:val="24"/>
          <w:szCs w:val="24"/>
        </w:rPr>
        <w:t>uses</w:t>
      </w:r>
      <w:r w:rsidRPr="003169AF">
        <w:rPr>
          <w:rFonts w:ascii="Arial" w:hAnsi="Arial" w:cs="Arial"/>
          <w:sz w:val="24"/>
          <w:szCs w:val="24"/>
        </w:rPr>
        <w:t xml:space="preserve"> various </w:t>
      </w:r>
      <w:r w:rsidRPr="003169AF">
        <w:rPr>
          <w:rFonts w:ascii="Arial" w:hAnsi="Arial" w:cs="Arial"/>
          <w:kern w:val="0"/>
          <w:sz w:val="24"/>
          <w:szCs w:val="24"/>
        </w:rPr>
        <w:t>communication methods and channels</w:t>
      </w:r>
      <w:r w:rsidRPr="003169AF">
        <w:rPr>
          <w:rFonts w:ascii="Arial" w:eastAsia="Aptos" w:hAnsi="Arial" w:cs="Arial"/>
          <w:kern w:val="0"/>
          <w:sz w:val="24"/>
          <w:szCs w:val="24"/>
        </w:rPr>
        <w:t>,</w:t>
      </w:r>
      <w:r w:rsidRPr="003169AF">
        <w:rPr>
          <w:rFonts w:ascii="Arial" w:hAnsi="Arial" w:cs="Arial"/>
          <w:kern w:val="0"/>
          <w:sz w:val="24"/>
          <w:szCs w:val="24"/>
        </w:rPr>
        <w:t xml:space="preserve"> such as audiovisuals</w:t>
      </w:r>
      <w:r w:rsidRPr="003169AF">
        <w:rPr>
          <w:rFonts w:ascii="Arial" w:eastAsia="Aptos" w:hAnsi="Arial" w:cs="Arial"/>
          <w:kern w:val="0"/>
          <w:sz w:val="24"/>
          <w:szCs w:val="24"/>
        </w:rPr>
        <w:t>,</w:t>
      </w:r>
      <w:r w:rsidRPr="003169AF">
        <w:rPr>
          <w:rFonts w:ascii="Arial" w:hAnsi="Arial" w:cs="Arial"/>
          <w:kern w:val="0"/>
          <w:sz w:val="24"/>
          <w:szCs w:val="24"/>
        </w:rPr>
        <w:t xml:space="preserve"> to induce positive or negative feelings and stimulate behavioral changes to achieve positive </w:t>
      </w:r>
      <w:r w:rsidRPr="003169AF">
        <w:rPr>
          <w:rFonts w:ascii="Arial" w:eastAsia="Aptos" w:hAnsi="Arial" w:cs="Arial"/>
          <w:kern w:val="0"/>
          <w:sz w:val="24"/>
          <w:szCs w:val="24"/>
        </w:rPr>
        <w:t>nutritional</w:t>
      </w:r>
      <w:r w:rsidRPr="003169AF">
        <w:rPr>
          <w:rFonts w:ascii="Arial" w:hAnsi="Arial" w:cs="Arial"/>
          <w:kern w:val="0"/>
          <w:sz w:val="24"/>
          <w:szCs w:val="24"/>
        </w:rPr>
        <w:t xml:space="preserve"> outcomes </w:t>
      </w:r>
      <w:r>
        <w:rPr>
          <w:rFonts w:ascii="Arial" w:eastAsia="Aptos" w:hAnsi="Arial" w:cs="Arial"/>
          <w:kern w:val="0"/>
          <w:sz w:val="24"/>
          <w:szCs w:val="24"/>
        </w:rPr>
        <w:t>in</w:t>
      </w:r>
      <w:r w:rsidRPr="003169AF">
        <w:rPr>
          <w:rFonts w:ascii="Arial" w:hAnsi="Arial" w:cs="Arial"/>
          <w:kern w:val="0"/>
          <w:sz w:val="24"/>
          <w:szCs w:val="24"/>
        </w:rPr>
        <w:t xml:space="preserve"> children.</w:t>
      </w:r>
    </w:p>
    <w:p w14:paraId="0AA25073" w14:textId="77777777" w:rsidR="00B548E1" w:rsidRPr="003169AF" w:rsidRDefault="00B548E1" w:rsidP="00B548E1">
      <w:pPr>
        <w:pStyle w:val="ListParagraph"/>
        <w:numPr>
          <w:ilvl w:val="0"/>
          <w:numId w:val="51"/>
        </w:numPr>
        <w:spacing w:after="0" w:line="276" w:lineRule="auto"/>
        <w:jc w:val="both"/>
        <w:rPr>
          <w:rFonts w:ascii="Arial" w:hAnsi="Arial" w:cs="Arial"/>
          <w:kern w:val="0"/>
          <w:sz w:val="24"/>
          <w:szCs w:val="24"/>
        </w:rPr>
      </w:pPr>
      <w:r w:rsidRPr="003169AF">
        <w:rPr>
          <w:rFonts w:ascii="Arial" w:hAnsi="Arial" w:cs="Arial"/>
          <w:i/>
          <w:iCs/>
          <w:kern w:val="0"/>
          <w:sz w:val="24"/>
          <w:szCs w:val="24"/>
        </w:rPr>
        <w:t>I</w:t>
      </w:r>
      <w:r w:rsidRPr="003169AF">
        <w:rPr>
          <w:rFonts w:ascii="Arial" w:hAnsi="Arial" w:cs="Arial"/>
          <w:i/>
          <w:iCs/>
          <w:sz w:val="24"/>
          <w:szCs w:val="24"/>
        </w:rPr>
        <w:t>ncentivization:</w:t>
      </w:r>
      <w:r w:rsidRPr="003169AF">
        <w:rPr>
          <w:rFonts w:ascii="Arial" w:hAnsi="Arial" w:cs="Arial"/>
          <w:sz w:val="24"/>
          <w:szCs w:val="24"/>
        </w:rPr>
        <w:t xml:space="preserve"> This is about </w:t>
      </w:r>
      <w:r w:rsidRPr="003169AF">
        <w:rPr>
          <w:rFonts w:ascii="Arial" w:hAnsi="Arial" w:cs="Arial"/>
          <w:kern w:val="0"/>
          <w:sz w:val="24"/>
          <w:szCs w:val="24"/>
        </w:rPr>
        <w:t xml:space="preserve">creating </w:t>
      </w:r>
      <w:r w:rsidRPr="003169AF">
        <w:rPr>
          <w:rFonts w:ascii="Arial" w:eastAsia="Aptos" w:hAnsi="Arial" w:cs="Arial"/>
          <w:kern w:val="0"/>
          <w:sz w:val="24"/>
          <w:szCs w:val="24"/>
        </w:rPr>
        <w:t>expectations of rewards and</w:t>
      </w:r>
      <w:r w:rsidRPr="003169AF">
        <w:rPr>
          <w:rFonts w:ascii="Arial" w:hAnsi="Arial" w:cs="Arial"/>
          <w:kern w:val="0"/>
          <w:sz w:val="24"/>
          <w:szCs w:val="24"/>
        </w:rPr>
        <w:t xml:space="preserve"> improved outcomes among children as </w:t>
      </w:r>
      <w:r>
        <w:rPr>
          <w:rFonts w:ascii="Arial" w:eastAsia="Aptos" w:hAnsi="Arial" w:cs="Arial"/>
          <w:kern w:val="0"/>
          <w:sz w:val="24"/>
          <w:szCs w:val="24"/>
        </w:rPr>
        <w:t xml:space="preserve">the </w:t>
      </w:r>
      <w:r w:rsidRPr="003169AF">
        <w:rPr>
          <w:rFonts w:ascii="Arial" w:hAnsi="Arial" w:cs="Arial"/>
          <w:kern w:val="0"/>
          <w:sz w:val="24"/>
          <w:szCs w:val="24"/>
        </w:rPr>
        <w:t>primary target group but also among parents, caretakers, and other key actors for child nutrition interventions.</w:t>
      </w:r>
    </w:p>
    <w:p w14:paraId="0FF506AD" w14:textId="77777777" w:rsidR="00B548E1" w:rsidRPr="003169AF" w:rsidRDefault="00B548E1" w:rsidP="00B548E1">
      <w:pPr>
        <w:pStyle w:val="ListParagraph"/>
        <w:numPr>
          <w:ilvl w:val="0"/>
          <w:numId w:val="51"/>
        </w:numPr>
        <w:spacing w:after="0" w:line="276" w:lineRule="auto"/>
        <w:jc w:val="both"/>
        <w:rPr>
          <w:rFonts w:ascii="Arial" w:hAnsi="Arial" w:cs="Arial"/>
          <w:kern w:val="0"/>
          <w:sz w:val="24"/>
          <w:szCs w:val="24"/>
        </w:rPr>
      </w:pPr>
      <w:r w:rsidRPr="003169AF">
        <w:rPr>
          <w:rFonts w:ascii="Arial" w:hAnsi="Arial" w:cs="Arial"/>
          <w:i/>
          <w:iCs/>
          <w:kern w:val="0"/>
          <w:sz w:val="24"/>
          <w:szCs w:val="24"/>
        </w:rPr>
        <w:t>C</w:t>
      </w:r>
      <w:r w:rsidRPr="003169AF">
        <w:rPr>
          <w:rFonts w:ascii="Arial" w:hAnsi="Arial" w:cs="Arial"/>
          <w:i/>
          <w:iCs/>
          <w:sz w:val="24"/>
          <w:szCs w:val="24"/>
        </w:rPr>
        <w:t>oercion:</w:t>
      </w:r>
      <w:r w:rsidRPr="003169AF">
        <w:rPr>
          <w:rFonts w:ascii="Arial" w:hAnsi="Arial" w:cs="Arial"/>
          <w:sz w:val="24"/>
          <w:szCs w:val="24"/>
        </w:rPr>
        <w:t xml:space="preserve"> This function </w:t>
      </w:r>
      <w:r w:rsidRPr="003169AF">
        <w:rPr>
          <w:rFonts w:ascii="Arial" w:hAnsi="Arial" w:cs="Arial"/>
          <w:kern w:val="0"/>
          <w:sz w:val="24"/>
          <w:szCs w:val="24"/>
        </w:rPr>
        <w:t xml:space="preserve">highlights the adverse consequences of poor nutrition for children—such as an elevated risk of </w:t>
      </w:r>
      <w:r>
        <w:rPr>
          <w:rFonts w:ascii="Arial" w:eastAsia="Aptos" w:hAnsi="Arial" w:cs="Arial"/>
          <w:kern w:val="0"/>
          <w:sz w:val="24"/>
          <w:szCs w:val="24"/>
        </w:rPr>
        <w:t>noncommunicable</w:t>
      </w:r>
      <w:r w:rsidRPr="003169AF">
        <w:rPr>
          <w:rFonts w:ascii="Arial" w:hAnsi="Arial" w:cs="Arial"/>
          <w:kern w:val="0"/>
          <w:sz w:val="24"/>
          <w:szCs w:val="24"/>
        </w:rPr>
        <w:t xml:space="preserve"> diseases—emphasizing that the repercussions can be both excessively punitive and economically burdensome.</w:t>
      </w:r>
    </w:p>
    <w:p w14:paraId="460DC57B" w14:textId="77777777" w:rsidR="00B548E1" w:rsidRPr="003169AF" w:rsidRDefault="00B548E1" w:rsidP="00B548E1">
      <w:pPr>
        <w:pStyle w:val="ListParagraph"/>
        <w:numPr>
          <w:ilvl w:val="0"/>
          <w:numId w:val="51"/>
        </w:numPr>
        <w:spacing w:after="0" w:line="276" w:lineRule="auto"/>
        <w:jc w:val="both"/>
        <w:rPr>
          <w:rFonts w:ascii="Arial" w:hAnsi="Arial" w:cs="Arial"/>
          <w:kern w:val="0"/>
          <w:sz w:val="24"/>
          <w:szCs w:val="24"/>
        </w:rPr>
      </w:pPr>
      <w:r w:rsidRPr="003169AF">
        <w:rPr>
          <w:rFonts w:ascii="Arial" w:hAnsi="Arial" w:cs="Arial"/>
          <w:i/>
          <w:iCs/>
          <w:kern w:val="0"/>
          <w:sz w:val="24"/>
          <w:szCs w:val="24"/>
        </w:rPr>
        <w:t>T</w:t>
      </w:r>
      <w:r w:rsidRPr="003169AF">
        <w:rPr>
          <w:rFonts w:ascii="Arial" w:hAnsi="Arial" w:cs="Arial"/>
          <w:i/>
          <w:iCs/>
          <w:sz w:val="24"/>
          <w:szCs w:val="24"/>
        </w:rPr>
        <w:t>raining:</w:t>
      </w:r>
      <w:r w:rsidRPr="003169AF">
        <w:rPr>
          <w:rFonts w:ascii="Arial" w:hAnsi="Arial" w:cs="Arial"/>
          <w:sz w:val="24"/>
          <w:szCs w:val="24"/>
        </w:rPr>
        <w:t xml:space="preserve"> This function is about i</w:t>
      </w:r>
      <w:r w:rsidRPr="003169AF">
        <w:rPr>
          <w:rFonts w:ascii="Arial" w:hAnsi="Arial" w:cs="Arial"/>
          <w:kern w:val="0"/>
          <w:sz w:val="24"/>
          <w:szCs w:val="24"/>
        </w:rPr>
        <w:t>mparting skills and knowledge for improved nutritional practices, targeting all stakeholders</w:t>
      </w:r>
      <w:r>
        <w:rPr>
          <w:rFonts w:ascii="Arial" w:eastAsia="Aptos" w:hAnsi="Arial" w:cs="Arial"/>
          <w:kern w:val="0"/>
          <w:sz w:val="24"/>
          <w:szCs w:val="24"/>
        </w:rPr>
        <w:t>,</w:t>
      </w:r>
      <w:r w:rsidRPr="003169AF">
        <w:rPr>
          <w:rFonts w:ascii="Arial" w:hAnsi="Arial" w:cs="Arial"/>
          <w:kern w:val="0"/>
          <w:sz w:val="24"/>
          <w:szCs w:val="24"/>
        </w:rPr>
        <w:t xml:space="preserve"> including children, parents, and guardians.</w:t>
      </w:r>
    </w:p>
    <w:p w14:paraId="195DE716" w14:textId="77777777" w:rsidR="00B548E1" w:rsidRPr="003169AF" w:rsidRDefault="00B548E1" w:rsidP="00B548E1">
      <w:pPr>
        <w:pStyle w:val="ListParagraph"/>
        <w:numPr>
          <w:ilvl w:val="0"/>
          <w:numId w:val="51"/>
        </w:numPr>
        <w:spacing w:after="0" w:line="276" w:lineRule="auto"/>
        <w:jc w:val="both"/>
        <w:rPr>
          <w:rFonts w:ascii="Arial" w:hAnsi="Arial" w:cs="Arial"/>
          <w:kern w:val="0"/>
          <w:sz w:val="24"/>
          <w:szCs w:val="24"/>
        </w:rPr>
      </w:pPr>
      <w:r w:rsidRPr="003169AF">
        <w:rPr>
          <w:rFonts w:ascii="Arial" w:hAnsi="Arial" w:cs="Arial"/>
          <w:i/>
          <w:iCs/>
          <w:kern w:val="0"/>
          <w:sz w:val="24"/>
          <w:szCs w:val="24"/>
        </w:rPr>
        <w:t>E</w:t>
      </w:r>
      <w:r w:rsidRPr="003169AF">
        <w:rPr>
          <w:rFonts w:ascii="Arial" w:hAnsi="Arial" w:cs="Arial"/>
          <w:i/>
          <w:iCs/>
          <w:sz w:val="24"/>
          <w:szCs w:val="24"/>
        </w:rPr>
        <w:t>nablement:</w:t>
      </w:r>
      <w:r w:rsidRPr="003169AF">
        <w:rPr>
          <w:rFonts w:ascii="Arial" w:hAnsi="Arial" w:cs="Arial"/>
          <w:sz w:val="24"/>
          <w:szCs w:val="24"/>
        </w:rPr>
        <w:t xml:space="preserve"> This is about </w:t>
      </w:r>
      <w:r w:rsidRPr="003169AF">
        <w:rPr>
          <w:rFonts w:ascii="Arial" w:hAnsi="Arial" w:cs="Arial"/>
          <w:kern w:val="0"/>
          <w:sz w:val="24"/>
          <w:szCs w:val="24"/>
        </w:rPr>
        <w:t xml:space="preserve">reducing barriers or increasing opportunities to improve children’s and other stakeholders’ </w:t>
      </w:r>
      <w:r>
        <w:rPr>
          <w:rFonts w:ascii="Arial" w:eastAsia="Aptos" w:hAnsi="Arial" w:cs="Arial"/>
          <w:kern w:val="0"/>
          <w:sz w:val="24"/>
          <w:szCs w:val="24"/>
        </w:rPr>
        <w:t>ability to adopt and sustain</w:t>
      </w:r>
      <w:r w:rsidRPr="003169AF">
        <w:rPr>
          <w:rFonts w:ascii="Arial" w:hAnsi="Arial" w:cs="Arial"/>
          <w:kern w:val="0"/>
          <w:sz w:val="24"/>
          <w:szCs w:val="24"/>
        </w:rPr>
        <w:t xml:space="preserve"> healthy eating habits </w:t>
      </w:r>
      <w:r>
        <w:rPr>
          <w:rFonts w:ascii="Arial" w:eastAsia="Aptos" w:hAnsi="Arial" w:cs="Arial"/>
          <w:kern w:val="0"/>
          <w:sz w:val="24"/>
          <w:szCs w:val="24"/>
        </w:rPr>
        <w:t>among</w:t>
      </w:r>
      <w:r w:rsidRPr="003169AF">
        <w:rPr>
          <w:rFonts w:ascii="Arial" w:hAnsi="Arial" w:cs="Arial"/>
          <w:kern w:val="0"/>
          <w:sz w:val="24"/>
          <w:szCs w:val="24"/>
        </w:rPr>
        <w:t xml:space="preserve"> children.</w:t>
      </w:r>
    </w:p>
    <w:p w14:paraId="427703F2" w14:textId="77777777" w:rsidR="00B548E1" w:rsidRPr="003169AF" w:rsidRDefault="00B548E1" w:rsidP="00B548E1">
      <w:pPr>
        <w:spacing w:after="0" w:line="276" w:lineRule="auto"/>
        <w:jc w:val="both"/>
        <w:rPr>
          <w:rFonts w:ascii="Arial" w:hAnsi="Arial" w:cs="Arial"/>
          <w:kern w:val="0"/>
          <w:sz w:val="24"/>
          <w:szCs w:val="24"/>
        </w:rPr>
      </w:pPr>
    </w:p>
    <w:p w14:paraId="6ADF234B" w14:textId="77777777" w:rsidR="00B548E1" w:rsidRPr="003169AF" w:rsidRDefault="00B548E1" w:rsidP="00B548E1">
      <w:pPr>
        <w:spacing w:after="0" w:line="276" w:lineRule="auto"/>
        <w:jc w:val="both"/>
        <w:rPr>
          <w:rFonts w:ascii="Arial" w:hAnsi="Arial" w:cs="Arial"/>
          <w:i/>
          <w:iCs/>
          <w:sz w:val="24"/>
          <w:szCs w:val="24"/>
        </w:rPr>
      </w:pPr>
      <w:r w:rsidRPr="003169AF">
        <w:rPr>
          <w:rFonts w:ascii="Arial" w:hAnsi="Arial" w:cs="Arial"/>
          <w:kern w:val="0"/>
          <w:sz w:val="24"/>
          <w:szCs w:val="24"/>
        </w:rPr>
        <w:t>The s</w:t>
      </w:r>
      <w:r w:rsidRPr="003169AF">
        <w:rPr>
          <w:rFonts w:ascii="Arial" w:hAnsi="Arial" w:cs="Arial"/>
          <w:sz w:val="24"/>
          <w:szCs w:val="24"/>
        </w:rPr>
        <w:t xml:space="preserve">even policy categories </w:t>
      </w:r>
      <w:r>
        <w:rPr>
          <w:rFonts w:ascii="Arial" w:eastAsia="Aptos" w:hAnsi="Arial" w:cs="Arial"/>
          <w:sz w:val="24"/>
          <w:szCs w:val="24"/>
        </w:rPr>
        <w:t xml:space="preserve">are </w:t>
      </w:r>
      <w:r w:rsidRPr="003169AF">
        <w:rPr>
          <w:rFonts w:ascii="Arial" w:hAnsi="Arial" w:cs="Arial"/>
          <w:sz w:val="24"/>
          <w:szCs w:val="24"/>
        </w:rPr>
        <w:t xml:space="preserve">coded </w:t>
      </w:r>
      <w:r>
        <w:rPr>
          <w:rFonts w:ascii="Arial" w:eastAsia="Aptos" w:hAnsi="Arial" w:cs="Arial"/>
          <w:sz w:val="24"/>
          <w:szCs w:val="24"/>
        </w:rPr>
        <w:t>according to</w:t>
      </w:r>
      <w:r w:rsidRPr="003169AF">
        <w:rPr>
          <w:rFonts w:ascii="Arial" w:hAnsi="Arial" w:cs="Arial"/>
          <w:sz w:val="24"/>
          <w:szCs w:val="24"/>
        </w:rPr>
        <w:t xml:space="preserve"> their adapted definitions:</w:t>
      </w:r>
    </w:p>
    <w:p w14:paraId="0D59DFEC" w14:textId="77777777" w:rsidR="00B548E1" w:rsidRPr="003169AF" w:rsidRDefault="00B548E1" w:rsidP="00B548E1">
      <w:pPr>
        <w:pStyle w:val="ListParagraph"/>
        <w:numPr>
          <w:ilvl w:val="0"/>
          <w:numId w:val="52"/>
        </w:numPr>
        <w:spacing w:after="0" w:line="276" w:lineRule="auto"/>
        <w:jc w:val="both"/>
        <w:rPr>
          <w:rFonts w:ascii="Arial" w:hAnsi="Arial" w:cs="Arial"/>
          <w:sz w:val="24"/>
          <w:szCs w:val="24"/>
        </w:rPr>
      </w:pPr>
      <w:r w:rsidRPr="003169AF">
        <w:rPr>
          <w:rFonts w:ascii="Arial" w:hAnsi="Arial" w:cs="Arial"/>
          <w:i/>
          <w:iCs/>
          <w:sz w:val="24"/>
          <w:szCs w:val="24"/>
        </w:rPr>
        <w:t>Guidelines:</w:t>
      </w:r>
      <w:r w:rsidRPr="003169AF">
        <w:rPr>
          <w:rFonts w:ascii="Arial" w:hAnsi="Arial" w:cs="Arial"/>
          <w:sz w:val="24"/>
          <w:szCs w:val="24"/>
        </w:rPr>
        <w:t xml:space="preserve"> These refer to</w:t>
      </w:r>
      <w:r w:rsidRPr="003169AF">
        <w:rPr>
          <w:rFonts w:ascii="Arial" w:hAnsi="Arial" w:cs="Arial"/>
          <w:kern w:val="0"/>
          <w:sz w:val="24"/>
          <w:szCs w:val="24"/>
        </w:rPr>
        <w:t xml:space="preserve"> regulatory documents or frameworks that prescribe or mandate the inclusion of minimum food standards in children’s </w:t>
      </w:r>
      <w:r w:rsidRPr="003169AF">
        <w:rPr>
          <w:rFonts w:ascii="Arial" w:eastAsia="Aptos" w:hAnsi="Arial" w:cs="Arial"/>
          <w:kern w:val="0"/>
          <w:sz w:val="24"/>
          <w:szCs w:val="24"/>
        </w:rPr>
        <w:t xml:space="preserve">menus or school lunches </w:t>
      </w:r>
      <w:r>
        <w:rPr>
          <w:rFonts w:ascii="Arial" w:eastAsia="Aptos" w:hAnsi="Arial" w:cs="Arial"/>
          <w:kern w:val="0"/>
          <w:sz w:val="24"/>
          <w:szCs w:val="24"/>
        </w:rPr>
        <w:t xml:space="preserve">or </w:t>
      </w:r>
      <w:r w:rsidRPr="003169AF">
        <w:rPr>
          <w:rFonts w:ascii="Arial" w:eastAsia="Aptos" w:hAnsi="Arial" w:cs="Arial"/>
          <w:kern w:val="0"/>
          <w:sz w:val="24"/>
          <w:szCs w:val="24"/>
        </w:rPr>
        <w:t>meal boxes.</w:t>
      </w:r>
    </w:p>
    <w:p w14:paraId="4BF014F6" w14:textId="77777777" w:rsidR="00B548E1" w:rsidRPr="003169AF" w:rsidRDefault="00B548E1" w:rsidP="00B548E1">
      <w:pPr>
        <w:pStyle w:val="ListParagraph"/>
        <w:numPr>
          <w:ilvl w:val="0"/>
          <w:numId w:val="52"/>
        </w:numPr>
        <w:spacing w:after="0" w:line="276" w:lineRule="auto"/>
        <w:jc w:val="both"/>
        <w:rPr>
          <w:rFonts w:ascii="Arial" w:hAnsi="Arial" w:cs="Arial"/>
          <w:sz w:val="24"/>
          <w:szCs w:val="24"/>
        </w:rPr>
      </w:pPr>
      <w:r w:rsidRPr="003169AF">
        <w:rPr>
          <w:rFonts w:ascii="Arial" w:eastAsia="Aptos" w:hAnsi="Arial" w:cs="Arial"/>
          <w:i/>
          <w:iCs/>
          <w:kern w:val="0"/>
          <w:sz w:val="24"/>
          <w:szCs w:val="24"/>
        </w:rPr>
        <w:t>E</w:t>
      </w:r>
      <w:r w:rsidRPr="003169AF">
        <w:rPr>
          <w:rFonts w:ascii="Arial" w:hAnsi="Arial" w:cs="Arial"/>
          <w:i/>
          <w:iCs/>
          <w:sz w:val="24"/>
          <w:szCs w:val="24"/>
        </w:rPr>
        <w:t>nvironmental/social planning:</w:t>
      </w:r>
      <w:r w:rsidRPr="003169AF">
        <w:rPr>
          <w:rFonts w:ascii="Arial" w:hAnsi="Arial" w:cs="Arial"/>
          <w:sz w:val="24"/>
          <w:szCs w:val="24"/>
        </w:rPr>
        <w:t xml:space="preserve"> This policy category prescribes</w:t>
      </w:r>
      <w:r w:rsidRPr="003169AF">
        <w:rPr>
          <w:rFonts w:ascii="Arial" w:hAnsi="Arial" w:cs="Arial"/>
          <w:kern w:val="0"/>
          <w:sz w:val="24"/>
          <w:szCs w:val="24"/>
        </w:rPr>
        <w:t xml:space="preserve"> the physical and social environments to ensure </w:t>
      </w:r>
      <w:r>
        <w:rPr>
          <w:rFonts w:ascii="Arial" w:eastAsia="Aptos" w:hAnsi="Arial" w:cs="Arial"/>
          <w:kern w:val="0"/>
          <w:sz w:val="24"/>
          <w:szCs w:val="24"/>
        </w:rPr>
        <w:t xml:space="preserve">that </w:t>
      </w:r>
      <w:r w:rsidRPr="003169AF">
        <w:rPr>
          <w:rFonts w:ascii="Arial" w:hAnsi="Arial" w:cs="Arial"/>
          <w:kern w:val="0"/>
          <w:sz w:val="24"/>
          <w:szCs w:val="24"/>
        </w:rPr>
        <w:t>children and their parents or guardians have access to a diverse array of dietary options.</w:t>
      </w:r>
    </w:p>
    <w:p w14:paraId="5460EBFF" w14:textId="77777777" w:rsidR="00B548E1" w:rsidRPr="003169AF" w:rsidRDefault="00B548E1" w:rsidP="00B548E1">
      <w:pPr>
        <w:pStyle w:val="ListParagraph"/>
        <w:numPr>
          <w:ilvl w:val="0"/>
          <w:numId w:val="52"/>
        </w:numPr>
        <w:spacing w:after="0" w:line="276" w:lineRule="auto"/>
        <w:jc w:val="both"/>
        <w:rPr>
          <w:rFonts w:ascii="Arial" w:hAnsi="Arial" w:cs="Arial"/>
          <w:sz w:val="24"/>
          <w:szCs w:val="24"/>
        </w:rPr>
      </w:pPr>
      <w:r w:rsidRPr="003169AF">
        <w:rPr>
          <w:rFonts w:ascii="Arial" w:hAnsi="Arial" w:cs="Arial"/>
          <w:i/>
          <w:iCs/>
          <w:kern w:val="0"/>
          <w:sz w:val="24"/>
          <w:szCs w:val="24"/>
        </w:rPr>
        <w:t>C</w:t>
      </w:r>
      <w:r w:rsidRPr="003169AF">
        <w:rPr>
          <w:rFonts w:ascii="Arial" w:hAnsi="Arial" w:cs="Arial"/>
          <w:i/>
          <w:iCs/>
          <w:sz w:val="24"/>
          <w:szCs w:val="24"/>
        </w:rPr>
        <w:t>ommunication</w:t>
      </w:r>
      <w:r w:rsidRPr="003169AF">
        <w:rPr>
          <w:rFonts w:ascii="Arial" w:hAnsi="Arial" w:cs="Arial"/>
          <w:sz w:val="24"/>
          <w:szCs w:val="24"/>
        </w:rPr>
        <w:t>/</w:t>
      </w:r>
      <w:r w:rsidRPr="003169AF">
        <w:rPr>
          <w:rFonts w:ascii="Arial" w:eastAsia="Aptos" w:hAnsi="Arial" w:cs="Arial"/>
          <w:i/>
          <w:iCs/>
          <w:sz w:val="24"/>
          <w:szCs w:val="24"/>
        </w:rPr>
        <w:t>marketing:</w:t>
      </w:r>
      <w:r w:rsidRPr="003169AF">
        <w:rPr>
          <w:rFonts w:ascii="Arial" w:hAnsi="Arial" w:cs="Arial"/>
          <w:sz w:val="24"/>
          <w:szCs w:val="24"/>
        </w:rPr>
        <w:t xml:space="preserve"> This involves the use of both conventional media channels (such as </w:t>
      </w:r>
      <w:r w:rsidRPr="003169AF">
        <w:rPr>
          <w:rFonts w:ascii="Arial" w:hAnsi="Arial" w:cs="Arial"/>
          <w:kern w:val="0"/>
          <w:sz w:val="24"/>
          <w:szCs w:val="24"/>
        </w:rPr>
        <w:t xml:space="preserve">print, electronic, </w:t>
      </w:r>
      <w:r w:rsidRPr="003169AF">
        <w:rPr>
          <w:rFonts w:ascii="Arial" w:eastAsia="Aptos" w:hAnsi="Arial" w:cs="Arial"/>
          <w:kern w:val="0"/>
          <w:sz w:val="24"/>
          <w:szCs w:val="24"/>
        </w:rPr>
        <w:t>telephone,</w:t>
      </w:r>
      <w:r w:rsidRPr="003169AF">
        <w:rPr>
          <w:rFonts w:ascii="Arial" w:hAnsi="Arial" w:cs="Arial"/>
          <w:kern w:val="0"/>
          <w:sz w:val="24"/>
          <w:szCs w:val="24"/>
        </w:rPr>
        <w:t xml:space="preserve"> or broadcast media) and </w:t>
      </w:r>
      <w:r w:rsidRPr="003169AF">
        <w:rPr>
          <w:rFonts w:ascii="Arial" w:hAnsi="Arial" w:cs="Arial"/>
          <w:kern w:val="0"/>
          <w:sz w:val="24"/>
          <w:szCs w:val="24"/>
        </w:rPr>
        <w:lastRenderedPageBreak/>
        <w:t>unconventional or social media for messaging child nutrition and healthy eating habits.</w:t>
      </w:r>
    </w:p>
    <w:p w14:paraId="254A6C2E" w14:textId="77777777" w:rsidR="00B548E1" w:rsidRPr="003169AF" w:rsidRDefault="00B548E1" w:rsidP="00B548E1">
      <w:pPr>
        <w:pStyle w:val="ListParagraph"/>
        <w:numPr>
          <w:ilvl w:val="0"/>
          <w:numId w:val="52"/>
        </w:numPr>
        <w:spacing w:after="0" w:line="276" w:lineRule="auto"/>
        <w:jc w:val="both"/>
        <w:rPr>
          <w:rFonts w:ascii="Arial" w:hAnsi="Arial" w:cs="Arial"/>
          <w:sz w:val="24"/>
          <w:szCs w:val="24"/>
        </w:rPr>
      </w:pPr>
      <w:r w:rsidRPr="003169AF">
        <w:rPr>
          <w:rFonts w:ascii="Arial" w:hAnsi="Arial" w:cs="Arial"/>
          <w:i/>
          <w:iCs/>
          <w:kern w:val="0"/>
          <w:sz w:val="24"/>
          <w:szCs w:val="24"/>
        </w:rPr>
        <w:t>L</w:t>
      </w:r>
      <w:r w:rsidRPr="003169AF">
        <w:rPr>
          <w:rFonts w:ascii="Arial" w:hAnsi="Arial" w:cs="Arial"/>
          <w:i/>
          <w:iCs/>
          <w:sz w:val="24"/>
          <w:szCs w:val="24"/>
        </w:rPr>
        <w:t>egislation: The policy category</w:t>
      </w:r>
      <w:r w:rsidRPr="003169AF">
        <w:rPr>
          <w:rFonts w:ascii="Arial" w:hAnsi="Arial" w:cs="Arial"/>
          <w:sz w:val="24"/>
          <w:szCs w:val="24"/>
        </w:rPr>
        <w:t xml:space="preserve"> is about </w:t>
      </w:r>
      <w:r>
        <w:rPr>
          <w:rFonts w:ascii="Arial" w:eastAsia="Aptos" w:hAnsi="Arial" w:cs="Arial"/>
          <w:sz w:val="24"/>
          <w:szCs w:val="24"/>
        </w:rPr>
        <w:t xml:space="preserve">the </w:t>
      </w:r>
      <w:r w:rsidRPr="003169AF">
        <w:rPr>
          <w:rFonts w:ascii="Arial" w:hAnsi="Arial" w:cs="Arial"/>
          <w:sz w:val="24"/>
          <w:szCs w:val="24"/>
        </w:rPr>
        <w:t>enactment or modification of</w:t>
      </w:r>
      <w:r w:rsidRPr="003169AF">
        <w:rPr>
          <w:rFonts w:ascii="Arial" w:hAnsi="Arial" w:cs="Arial"/>
          <w:kern w:val="0"/>
          <w:sz w:val="24"/>
          <w:szCs w:val="24"/>
        </w:rPr>
        <w:t xml:space="preserve"> laws aimed at prohibiting detrimental nutritional practices or encouraging optimal nutrition standards within children’s </w:t>
      </w:r>
      <w:r>
        <w:rPr>
          <w:rFonts w:ascii="Arial" w:eastAsia="Aptos" w:hAnsi="Arial" w:cs="Arial"/>
          <w:kern w:val="0"/>
          <w:sz w:val="24"/>
          <w:szCs w:val="24"/>
        </w:rPr>
        <w:t>socioeducational</w:t>
      </w:r>
      <w:r w:rsidRPr="003169AF">
        <w:rPr>
          <w:rFonts w:ascii="Arial" w:hAnsi="Arial" w:cs="Arial"/>
          <w:kern w:val="0"/>
          <w:sz w:val="24"/>
          <w:szCs w:val="24"/>
        </w:rPr>
        <w:t xml:space="preserve"> environments.</w:t>
      </w:r>
    </w:p>
    <w:p w14:paraId="3324F2AF" w14:textId="77777777" w:rsidR="00B548E1" w:rsidRPr="003169AF" w:rsidRDefault="00B548E1" w:rsidP="00B548E1">
      <w:pPr>
        <w:pStyle w:val="ListParagraph"/>
        <w:numPr>
          <w:ilvl w:val="0"/>
          <w:numId w:val="52"/>
        </w:numPr>
        <w:spacing w:after="0" w:line="276" w:lineRule="auto"/>
        <w:jc w:val="both"/>
        <w:rPr>
          <w:rFonts w:ascii="Arial" w:hAnsi="Arial" w:cs="Arial"/>
          <w:sz w:val="24"/>
          <w:szCs w:val="24"/>
        </w:rPr>
      </w:pPr>
      <w:r w:rsidRPr="003169AF">
        <w:rPr>
          <w:rFonts w:ascii="Arial" w:hAnsi="Arial" w:cs="Arial"/>
          <w:i/>
          <w:iCs/>
          <w:kern w:val="0"/>
          <w:sz w:val="24"/>
          <w:szCs w:val="24"/>
        </w:rPr>
        <w:t>S</w:t>
      </w:r>
      <w:r w:rsidRPr="003169AF">
        <w:rPr>
          <w:rFonts w:ascii="Arial" w:hAnsi="Arial" w:cs="Arial"/>
          <w:i/>
          <w:iCs/>
          <w:sz w:val="24"/>
          <w:szCs w:val="24"/>
        </w:rPr>
        <w:t>ervice provision: This category pertains to</w:t>
      </w:r>
      <w:r w:rsidRPr="003169AF">
        <w:rPr>
          <w:rFonts w:ascii="Arial" w:hAnsi="Arial" w:cs="Arial"/>
          <w:sz w:val="24"/>
          <w:szCs w:val="24"/>
        </w:rPr>
        <w:t xml:space="preserve"> </w:t>
      </w:r>
      <w:r w:rsidRPr="003169AF">
        <w:rPr>
          <w:rFonts w:ascii="Arial" w:hAnsi="Arial" w:cs="Arial"/>
          <w:kern w:val="0"/>
          <w:sz w:val="24"/>
          <w:szCs w:val="24"/>
        </w:rPr>
        <w:t xml:space="preserve">the </w:t>
      </w:r>
      <w:r w:rsidRPr="003169AF">
        <w:rPr>
          <w:rFonts w:ascii="Arial" w:hAnsi="Arial" w:cs="Arial"/>
          <w:sz w:val="24"/>
          <w:szCs w:val="24"/>
        </w:rPr>
        <w:t xml:space="preserve">systematic </w:t>
      </w:r>
      <w:r w:rsidRPr="003169AF">
        <w:rPr>
          <w:rFonts w:ascii="Arial" w:hAnsi="Arial" w:cs="Arial"/>
          <w:kern w:val="0"/>
          <w:sz w:val="24"/>
          <w:szCs w:val="24"/>
        </w:rPr>
        <w:t>delivery of healthy foods to children within</w:t>
      </w:r>
      <w:r w:rsidRPr="003169AF">
        <w:rPr>
          <w:rFonts w:ascii="Arial" w:hAnsi="Arial" w:cs="Arial"/>
          <w:sz w:val="24"/>
          <w:szCs w:val="24"/>
        </w:rPr>
        <w:t xml:space="preserve"> the environments in which they live, learn, and interact socially</w:t>
      </w:r>
      <w:r w:rsidRPr="003169AF">
        <w:rPr>
          <w:rFonts w:ascii="Arial" w:hAnsi="Arial" w:cs="Arial"/>
          <w:kern w:val="0"/>
          <w:sz w:val="24"/>
          <w:szCs w:val="24"/>
        </w:rPr>
        <w:t>.</w:t>
      </w:r>
    </w:p>
    <w:p w14:paraId="2B7EF27A" w14:textId="77777777" w:rsidR="00B548E1" w:rsidRPr="003169AF" w:rsidRDefault="00B548E1" w:rsidP="00B548E1">
      <w:pPr>
        <w:pStyle w:val="ListParagraph"/>
        <w:numPr>
          <w:ilvl w:val="0"/>
          <w:numId w:val="52"/>
        </w:numPr>
        <w:spacing w:after="0" w:line="276" w:lineRule="auto"/>
        <w:jc w:val="both"/>
        <w:rPr>
          <w:rFonts w:ascii="Arial" w:hAnsi="Arial" w:cs="Arial"/>
          <w:sz w:val="24"/>
          <w:szCs w:val="24"/>
        </w:rPr>
      </w:pPr>
      <w:r w:rsidRPr="003169AF">
        <w:rPr>
          <w:rFonts w:ascii="Arial" w:hAnsi="Arial" w:cs="Arial"/>
          <w:i/>
          <w:iCs/>
          <w:kern w:val="0"/>
          <w:sz w:val="24"/>
          <w:szCs w:val="24"/>
        </w:rPr>
        <w:t>R</w:t>
      </w:r>
      <w:r w:rsidRPr="003169AF">
        <w:rPr>
          <w:rFonts w:ascii="Arial" w:hAnsi="Arial" w:cs="Arial"/>
          <w:i/>
          <w:iCs/>
          <w:sz w:val="24"/>
          <w:szCs w:val="24"/>
        </w:rPr>
        <w:t>egulation:</w:t>
      </w:r>
      <w:r w:rsidRPr="003169AF">
        <w:rPr>
          <w:rFonts w:ascii="Arial" w:hAnsi="Arial" w:cs="Arial"/>
          <w:sz w:val="24"/>
          <w:szCs w:val="24"/>
        </w:rPr>
        <w:t xml:space="preserve"> This involves the e</w:t>
      </w:r>
      <w:r w:rsidRPr="003169AF">
        <w:rPr>
          <w:rFonts w:ascii="Arial" w:hAnsi="Arial" w:cs="Arial"/>
          <w:kern w:val="0"/>
          <w:sz w:val="24"/>
          <w:szCs w:val="24"/>
        </w:rPr>
        <w:t xml:space="preserve">stablishment and enforcement of rules or guiding principles of behavior or practice that encourage the adoption of healthy practices and deter </w:t>
      </w:r>
      <w:r w:rsidRPr="003169AF">
        <w:rPr>
          <w:rFonts w:ascii="Arial" w:eastAsia="Aptos" w:hAnsi="Arial" w:cs="Arial"/>
          <w:kern w:val="0"/>
          <w:sz w:val="24"/>
          <w:szCs w:val="24"/>
        </w:rPr>
        <w:t xml:space="preserve">unhealthy ones, thereby </w:t>
      </w:r>
      <w:r w:rsidRPr="003169AF">
        <w:rPr>
          <w:rFonts w:ascii="Arial" w:hAnsi="Arial" w:cs="Arial"/>
          <w:kern w:val="0"/>
          <w:sz w:val="24"/>
          <w:szCs w:val="24"/>
        </w:rPr>
        <w:t>fostering improved nutritional outcomes in children.</w:t>
      </w:r>
    </w:p>
    <w:p w14:paraId="4028F010" w14:textId="77777777" w:rsidR="00B548E1" w:rsidRPr="003169AF" w:rsidRDefault="00B548E1" w:rsidP="00B548E1">
      <w:pPr>
        <w:pStyle w:val="ListParagraph"/>
        <w:numPr>
          <w:ilvl w:val="0"/>
          <w:numId w:val="52"/>
        </w:numPr>
        <w:spacing w:after="0" w:line="276" w:lineRule="auto"/>
        <w:jc w:val="both"/>
        <w:rPr>
          <w:rFonts w:ascii="Arial" w:hAnsi="Arial" w:cs="Arial"/>
          <w:sz w:val="24"/>
          <w:szCs w:val="24"/>
        </w:rPr>
      </w:pPr>
      <w:r w:rsidRPr="003169AF">
        <w:rPr>
          <w:rFonts w:ascii="Arial" w:hAnsi="Arial" w:cs="Arial"/>
          <w:i/>
          <w:iCs/>
          <w:kern w:val="0"/>
          <w:sz w:val="24"/>
          <w:szCs w:val="24"/>
        </w:rPr>
        <w:t>F</w:t>
      </w:r>
      <w:r w:rsidRPr="003169AF">
        <w:rPr>
          <w:rFonts w:ascii="Arial" w:hAnsi="Arial" w:cs="Arial"/>
          <w:i/>
          <w:iCs/>
          <w:sz w:val="24"/>
          <w:szCs w:val="24"/>
        </w:rPr>
        <w:t>iscal measures:</w:t>
      </w:r>
      <w:r w:rsidRPr="003169AF">
        <w:rPr>
          <w:rFonts w:ascii="Arial" w:hAnsi="Arial" w:cs="Arial"/>
          <w:sz w:val="24"/>
          <w:szCs w:val="24"/>
        </w:rPr>
        <w:t xml:space="preserve"> These measures </w:t>
      </w:r>
      <w:r>
        <w:rPr>
          <w:rFonts w:ascii="Arial" w:eastAsia="Aptos" w:hAnsi="Arial" w:cs="Arial"/>
          <w:sz w:val="24"/>
          <w:szCs w:val="24"/>
        </w:rPr>
        <w:t xml:space="preserve">are </w:t>
      </w:r>
      <w:r w:rsidRPr="003169AF">
        <w:rPr>
          <w:rFonts w:ascii="Arial" w:hAnsi="Arial" w:cs="Arial"/>
          <w:sz w:val="24"/>
          <w:szCs w:val="24"/>
        </w:rPr>
        <w:t xml:space="preserve">designed </w:t>
      </w:r>
      <w:r w:rsidRPr="003169AF">
        <w:rPr>
          <w:rFonts w:ascii="Arial" w:eastAsia="Aptos" w:hAnsi="Arial" w:cs="Arial"/>
          <w:sz w:val="24"/>
          <w:szCs w:val="24"/>
        </w:rPr>
        <w:t>to leverage taxation policies by imposing higher taxes on</w:t>
      </w:r>
      <w:r w:rsidRPr="003169AF">
        <w:rPr>
          <w:rFonts w:ascii="Arial" w:hAnsi="Arial" w:cs="Arial"/>
          <w:sz w:val="24"/>
          <w:szCs w:val="24"/>
        </w:rPr>
        <w:t xml:space="preserve"> fast or nutritionally poor foods within children’s </w:t>
      </w:r>
      <w:r>
        <w:rPr>
          <w:rFonts w:ascii="Arial" w:eastAsia="Aptos" w:hAnsi="Arial" w:cs="Arial"/>
          <w:sz w:val="24"/>
          <w:szCs w:val="24"/>
        </w:rPr>
        <w:t>socioeducational</w:t>
      </w:r>
      <w:r w:rsidRPr="003169AF">
        <w:rPr>
          <w:rFonts w:ascii="Arial" w:hAnsi="Arial" w:cs="Arial"/>
          <w:sz w:val="24"/>
          <w:szCs w:val="24"/>
        </w:rPr>
        <w:t xml:space="preserve"> environments while concurrently applying lower tax rates to healthy foods for children.</w:t>
      </w:r>
    </w:p>
    <w:p w14:paraId="7D8E630F" w14:textId="77777777" w:rsidR="00B548E1" w:rsidRDefault="00B548E1" w:rsidP="00B548E1">
      <w:pPr>
        <w:spacing w:after="0" w:line="276" w:lineRule="auto"/>
        <w:jc w:val="both"/>
        <w:rPr>
          <w:rFonts w:ascii="Arial" w:hAnsi="Arial" w:cs="Arial"/>
          <w:sz w:val="24"/>
          <w:szCs w:val="24"/>
        </w:rPr>
      </w:pPr>
    </w:p>
    <w:p w14:paraId="5A7B4111" w14:textId="77777777" w:rsidR="00B548E1" w:rsidRPr="003169AF" w:rsidRDefault="00B548E1" w:rsidP="00B548E1">
      <w:pPr>
        <w:spacing w:after="0" w:line="276" w:lineRule="auto"/>
        <w:jc w:val="both"/>
        <w:rPr>
          <w:rFonts w:ascii="Arial" w:hAnsi="Arial" w:cs="Arial"/>
          <w:sz w:val="24"/>
          <w:szCs w:val="24"/>
        </w:rPr>
      </w:pPr>
      <w:r>
        <w:rPr>
          <w:rFonts w:ascii="Arial" w:hAnsi="Arial" w:cs="Arial"/>
          <w:sz w:val="24"/>
          <w:szCs w:val="24"/>
        </w:rPr>
        <w:t xml:space="preserve">The COM-B model adapted </w:t>
      </w:r>
      <w:r>
        <w:rPr>
          <w:rFonts w:ascii="Arial" w:eastAsia="Aptos" w:hAnsi="Arial" w:cs="Arial"/>
          <w:sz w:val="24"/>
          <w:szCs w:val="24"/>
        </w:rPr>
        <w:t>for</w:t>
      </w:r>
      <w:r>
        <w:rPr>
          <w:rFonts w:ascii="Arial" w:hAnsi="Arial" w:cs="Arial"/>
          <w:sz w:val="24"/>
          <w:szCs w:val="24"/>
        </w:rPr>
        <w:t xml:space="preserve"> this review</w:t>
      </w:r>
    </w:p>
    <w:p w14:paraId="457C0483" w14:textId="77777777" w:rsidR="00B548E1" w:rsidRPr="00853CBF" w:rsidRDefault="00B548E1" w:rsidP="00B548E1">
      <w:pPr>
        <w:pStyle w:val="ListParagraph"/>
        <w:numPr>
          <w:ilvl w:val="0"/>
          <w:numId w:val="65"/>
        </w:numPr>
        <w:spacing w:line="276" w:lineRule="auto"/>
      </w:pPr>
      <w:r w:rsidRPr="00853CBF">
        <w:rPr>
          <w:rFonts w:ascii="Arial" w:hAnsi="Arial" w:cs="Arial"/>
          <w:i/>
          <w:iCs/>
          <w:sz w:val="24"/>
          <w:szCs w:val="24"/>
        </w:rPr>
        <w:t>Capability</w:t>
      </w:r>
      <w:r w:rsidRPr="00853CBF">
        <w:rPr>
          <w:rFonts w:ascii="Arial" w:hAnsi="Arial" w:cs="Arial"/>
          <w:sz w:val="24"/>
          <w:szCs w:val="24"/>
        </w:rPr>
        <w:t xml:space="preserve"> refers to the psychological and physical capacities of c</w:t>
      </w:r>
      <w:r w:rsidRPr="00853CBF">
        <w:rPr>
          <w:rFonts w:ascii="Arial" w:eastAsia="Aptos" w:hAnsi="Arial" w:cs="Arial"/>
          <w:sz w:val="24"/>
          <w:szCs w:val="24"/>
        </w:rPr>
        <w:t>hildren,</w:t>
      </w:r>
      <w:r w:rsidRPr="00853CBF">
        <w:rPr>
          <w:rFonts w:ascii="Arial" w:hAnsi="Arial" w:cs="Arial"/>
          <w:sz w:val="24"/>
          <w:szCs w:val="24"/>
        </w:rPr>
        <w:t xml:space="preserve"> </w:t>
      </w:r>
      <w:r w:rsidRPr="00853CBF">
        <w:rPr>
          <w:rFonts w:ascii="Arial" w:eastAsia="Aptos" w:hAnsi="Arial" w:cs="Arial"/>
          <w:sz w:val="24"/>
          <w:szCs w:val="24"/>
        </w:rPr>
        <w:t>parents,</w:t>
      </w:r>
      <w:r w:rsidRPr="00853CBF">
        <w:rPr>
          <w:rFonts w:ascii="Arial" w:hAnsi="Arial" w:cs="Arial"/>
          <w:sz w:val="24"/>
          <w:szCs w:val="24"/>
        </w:rPr>
        <w:t xml:space="preserve"> caretakers, and other key stakeholders </w:t>
      </w:r>
      <w:r w:rsidRPr="00853CBF">
        <w:rPr>
          <w:rFonts w:ascii="Arial" w:hAnsi="Arial" w:cs="Arial"/>
          <w:kern w:val="0"/>
          <w:sz w:val="24"/>
          <w:szCs w:val="24"/>
        </w:rPr>
        <w:t xml:space="preserve">to engage in activities </w:t>
      </w:r>
      <w:r w:rsidRPr="00853CBF">
        <w:rPr>
          <w:rFonts w:ascii="Arial" w:eastAsia="Aptos" w:hAnsi="Arial" w:cs="Arial"/>
          <w:kern w:val="0"/>
          <w:sz w:val="24"/>
          <w:szCs w:val="24"/>
        </w:rPr>
        <w:t>addressing</w:t>
      </w:r>
      <w:r w:rsidRPr="00853CBF">
        <w:rPr>
          <w:rFonts w:ascii="Arial" w:hAnsi="Arial" w:cs="Arial"/>
          <w:kern w:val="0"/>
          <w:sz w:val="24"/>
          <w:szCs w:val="24"/>
        </w:rPr>
        <w:t xml:space="preserve"> child malnutrition. This </w:t>
      </w:r>
      <w:r>
        <w:rPr>
          <w:rFonts w:ascii="Arial" w:eastAsia="Aptos" w:hAnsi="Arial" w:cs="Arial"/>
          <w:kern w:val="0"/>
          <w:sz w:val="24"/>
          <w:szCs w:val="24"/>
        </w:rPr>
        <w:t>capability</w:t>
      </w:r>
      <w:r w:rsidRPr="00853CBF">
        <w:rPr>
          <w:rFonts w:ascii="Arial" w:hAnsi="Arial" w:cs="Arial"/>
          <w:kern w:val="0"/>
          <w:sz w:val="24"/>
          <w:szCs w:val="24"/>
        </w:rPr>
        <w:t xml:space="preserve"> encompasses </w:t>
      </w:r>
      <w:r w:rsidRPr="00853CBF">
        <w:rPr>
          <w:rFonts w:ascii="Arial" w:eastAsia="Aptos" w:hAnsi="Arial" w:cs="Arial"/>
          <w:kern w:val="0"/>
          <w:sz w:val="24"/>
          <w:szCs w:val="24"/>
        </w:rPr>
        <w:t xml:space="preserve">the </w:t>
      </w:r>
      <w:r w:rsidRPr="00853CBF">
        <w:rPr>
          <w:rFonts w:ascii="Arial" w:hAnsi="Arial" w:cs="Arial"/>
          <w:kern w:val="0"/>
          <w:sz w:val="24"/>
          <w:szCs w:val="24"/>
        </w:rPr>
        <w:t>necessary knowledge and skills required through nutrition interventions to adopt and maintain healthy eating practices for children.</w:t>
      </w:r>
    </w:p>
    <w:p w14:paraId="41C5FF8A" w14:textId="77777777" w:rsidR="00B548E1" w:rsidRPr="00853CBF" w:rsidRDefault="00B548E1" w:rsidP="00B548E1">
      <w:pPr>
        <w:pStyle w:val="ListParagraph"/>
        <w:numPr>
          <w:ilvl w:val="0"/>
          <w:numId w:val="65"/>
        </w:numPr>
        <w:spacing w:line="276" w:lineRule="auto"/>
      </w:pPr>
      <w:r w:rsidRPr="00853CBF">
        <w:rPr>
          <w:rFonts w:ascii="Arial" w:hAnsi="Arial" w:cs="Arial"/>
          <w:i/>
          <w:iCs/>
          <w:sz w:val="24"/>
          <w:szCs w:val="24"/>
        </w:rPr>
        <w:t>Opportunity</w:t>
      </w:r>
      <w:r w:rsidRPr="00853CBF">
        <w:rPr>
          <w:rFonts w:ascii="Arial" w:hAnsi="Arial" w:cs="Arial"/>
          <w:sz w:val="24"/>
          <w:szCs w:val="24"/>
        </w:rPr>
        <w:t xml:space="preserve"> comprises social and physical factors beyond </w:t>
      </w:r>
      <w:r>
        <w:rPr>
          <w:rFonts w:ascii="Arial" w:eastAsia="Aptos" w:hAnsi="Arial" w:cs="Arial"/>
          <w:sz w:val="24"/>
          <w:szCs w:val="24"/>
        </w:rPr>
        <w:t>a child’s</w:t>
      </w:r>
      <w:r w:rsidRPr="00853CBF">
        <w:rPr>
          <w:rFonts w:ascii="Arial" w:hAnsi="Arial" w:cs="Arial"/>
          <w:sz w:val="24"/>
          <w:szCs w:val="24"/>
        </w:rPr>
        <w:t xml:space="preserve"> individual direct control; it encompasses</w:t>
      </w:r>
      <w:r w:rsidRPr="00853CBF">
        <w:rPr>
          <w:rFonts w:ascii="Arial" w:hAnsi="Arial" w:cs="Arial"/>
          <w:kern w:val="0"/>
          <w:sz w:val="24"/>
          <w:szCs w:val="24"/>
        </w:rPr>
        <w:t xml:space="preserve"> structural, institutional, and regulatory factors </w:t>
      </w:r>
      <w:r w:rsidRPr="00853CBF">
        <w:rPr>
          <w:rFonts w:ascii="Arial" w:eastAsia="Aptos" w:hAnsi="Arial" w:cs="Arial"/>
          <w:kern w:val="0"/>
          <w:sz w:val="24"/>
          <w:szCs w:val="24"/>
        </w:rPr>
        <w:t>that</w:t>
      </w:r>
      <w:r w:rsidRPr="00853CBF">
        <w:rPr>
          <w:rFonts w:ascii="Arial" w:hAnsi="Arial" w:cs="Arial"/>
          <w:kern w:val="0"/>
          <w:sz w:val="24"/>
          <w:szCs w:val="24"/>
        </w:rPr>
        <w:t xml:space="preserve"> make healthy nutritional behavior possible or that reduce child malnutrition or poor eating habits </w:t>
      </w:r>
      <w:r>
        <w:rPr>
          <w:rFonts w:ascii="Arial" w:eastAsia="Aptos" w:hAnsi="Arial" w:cs="Arial"/>
          <w:kern w:val="0"/>
          <w:sz w:val="24"/>
          <w:szCs w:val="24"/>
        </w:rPr>
        <w:t>among</w:t>
      </w:r>
      <w:r w:rsidRPr="00853CBF">
        <w:rPr>
          <w:rFonts w:ascii="Arial" w:hAnsi="Arial" w:cs="Arial"/>
          <w:kern w:val="0"/>
          <w:sz w:val="24"/>
          <w:szCs w:val="24"/>
        </w:rPr>
        <w:t xml:space="preserve"> children.</w:t>
      </w:r>
    </w:p>
    <w:p w14:paraId="63E924D3" w14:textId="77777777" w:rsidR="00B548E1" w:rsidRPr="006350B7" w:rsidRDefault="00B548E1" w:rsidP="00B548E1">
      <w:pPr>
        <w:pStyle w:val="ListParagraph"/>
        <w:numPr>
          <w:ilvl w:val="0"/>
          <w:numId w:val="65"/>
        </w:numPr>
        <w:spacing w:line="276" w:lineRule="auto"/>
      </w:pPr>
      <w:r w:rsidRPr="00853CBF">
        <w:rPr>
          <w:rFonts w:ascii="Arial" w:hAnsi="Arial" w:cs="Arial"/>
          <w:i/>
          <w:iCs/>
          <w:kern w:val="0"/>
          <w:sz w:val="24"/>
          <w:szCs w:val="24"/>
        </w:rPr>
        <w:t>Motivation</w:t>
      </w:r>
      <w:r w:rsidRPr="00853CBF">
        <w:rPr>
          <w:rFonts w:ascii="Arial" w:hAnsi="Arial" w:cs="Arial"/>
          <w:kern w:val="0"/>
          <w:sz w:val="24"/>
          <w:szCs w:val="24"/>
        </w:rPr>
        <w:t xml:space="preserve"> involves intrinsic factors that come from neurocognitive processes that energize and direct nutritional behaviors. These factors emerge from habitual processes as well as emotional and rational responses and decisions, </w:t>
      </w:r>
      <w:r w:rsidRPr="00853CBF">
        <w:rPr>
          <w:rFonts w:ascii="Arial" w:hAnsi="Arial" w:cs="Arial"/>
          <w:sz w:val="24"/>
          <w:szCs w:val="24"/>
        </w:rPr>
        <w:t>collectively and individually influencing decision-making regarding dietary practices for children</w:t>
      </w:r>
      <w:r w:rsidRPr="00853CBF">
        <w:rPr>
          <w:rFonts w:ascii="Arial" w:hAnsi="Arial" w:cs="Arial"/>
          <w:kern w:val="0"/>
          <w:sz w:val="24"/>
          <w:szCs w:val="24"/>
        </w:rPr>
        <w:t>.</w:t>
      </w:r>
    </w:p>
    <w:p w14:paraId="0236AEBD" w14:textId="77777777" w:rsidR="00B548E1" w:rsidRPr="00772E56" w:rsidRDefault="00B548E1" w:rsidP="00B548E1">
      <w:pPr>
        <w:pStyle w:val="ListParagraph"/>
        <w:numPr>
          <w:ilvl w:val="0"/>
          <w:numId w:val="65"/>
        </w:numPr>
        <w:spacing w:after="0" w:line="276" w:lineRule="auto"/>
        <w:rPr>
          <w:rFonts w:ascii="Arial" w:hAnsi="Arial" w:cs="Arial"/>
          <w:sz w:val="24"/>
          <w:szCs w:val="24"/>
        </w:rPr>
      </w:pPr>
      <w:r w:rsidRPr="00772E56">
        <w:rPr>
          <w:rFonts w:ascii="Arial" w:hAnsi="Arial" w:cs="Arial"/>
          <w:i/>
          <w:iCs/>
          <w:sz w:val="24"/>
          <w:szCs w:val="24"/>
        </w:rPr>
        <w:t>Behavior</w:t>
      </w:r>
      <w:r w:rsidRPr="00772E56">
        <w:rPr>
          <w:rFonts w:ascii="Arial" w:hAnsi="Arial" w:cs="Arial"/>
          <w:sz w:val="24"/>
          <w:szCs w:val="24"/>
        </w:rPr>
        <w:t xml:space="preserve"> denotes either the desired or discouraged behavior to enhance child nutritional outcomes</w:t>
      </w:r>
      <w:r w:rsidRPr="00772E56">
        <w:rPr>
          <w:rFonts w:ascii="Arial" w:eastAsia="Aptos" w:hAnsi="Arial" w:cs="Arial"/>
          <w:sz w:val="24"/>
          <w:szCs w:val="24"/>
        </w:rPr>
        <w:t xml:space="preserve"> and is</w:t>
      </w:r>
      <w:r w:rsidRPr="00772E56">
        <w:rPr>
          <w:rFonts w:ascii="Arial" w:hAnsi="Arial" w:cs="Arial"/>
          <w:sz w:val="24"/>
          <w:szCs w:val="24"/>
        </w:rPr>
        <w:t xml:space="preserve"> based on interventions designed to support children’s healthy eating habits for improved </w:t>
      </w:r>
      <w:r w:rsidRPr="00772E56">
        <w:rPr>
          <w:rFonts w:ascii="Arial" w:eastAsia="Aptos" w:hAnsi="Arial" w:cs="Arial"/>
          <w:sz w:val="24"/>
          <w:szCs w:val="24"/>
        </w:rPr>
        <w:t>nutritional</w:t>
      </w:r>
      <w:r w:rsidRPr="00772E56">
        <w:rPr>
          <w:rFonts w:ascii="Arial" w:hAnsi="Arial" w:cs="Arial"/>
          <w:sz w:val="24"/>
          <w:szCs w:val="24"/>
        </w:rPr>
        <w:t xml:space="preserve"> outcomes.</w:t>
      </w:r>
    </w:p>
    <w:p w14:paraId="1B160420" w14:textId="77777777" w:rsidR="004E780C" w:rsidRDefault="004E780C"/>
    <w:sectPr w:rsidR="004E780C" w:rsidSect="00B548E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949A27" w14:textId="77777777" w:rsidR="000F4C0A" w:rsidRDefault="000F4C0A" w:rsidP="00B548E1">
      <w:pPr>
        <w:spacing w:after="0" w:line="240" w:lineRule="auto"/>
      </w:pPr>
      <w:r>
        <w:separator/>
      </w:r>
    </w:p>
  </w:endnote>
  <w:endnote w:type="continuationSeparator" w:id="0">
    <w:p w14:paraId="2D03BFF6" w14:textId="77777777" w:rsidR="000F4C0A" w:rsidRDefault="000F4C0A" w:rsidP="00B548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2D5EE2" w14:textId="77777777" w:rsidR="000F4C0A" w:rsidRDefault="000F4C0A" w:rsidP="00B548E1">
      <w:pPr>
        <w:spacing w:after="0" w:line="240" w:lineRule="auto"/>
      </w:pPr>
      <w:r>
        <w:separator/>
      </w:r>
    </w:p>
  </w:footnote>
  <w:footnote w:type="continuationSeparator" w:id="0">
    <w:p w14:paraId="4829E346" w14:textId="77777777" w:rsidR="000F4C0A" w:rsidRDefault="000F4C0A" w:rsidP="00B548E1">
      <w:pPr>
        <w:spacing w:after="0" w:line="240" w:lineRule="auto"/>
      </w:pPr>
      <w:r>
        <w:continuationSeparator/>
      </w:r>
    </w:p>
  </w:footnote>
  <w:footnote w:id="1">
    <w:p w14:paraId="712A754A" w14:textId="77777777" w:rsidR="00B548E1" w:rsidRPr="009B2399" w:rsidRDefault="00B548E1" w:rsidP="00B548E1">
      <w:pPr>
        <w:pStyle w:val="FootnoteText"/>
        <w:rPr>
          <w:sz w:val="14"/>
          <w:szCs w:val="14"/>
        </w:rPr>
      </w:pPr>
      <w:r w:rsidRPr="00A85219">
        <w:rPr>
          <w:rStyle w:val="FootnoteReference"/>
          <w:rFonts w:ascii="Times New Roman" w:hAnsi="Times New Roman" w:cs="Times New Roman"/>
          <w:sz w:val="16"/>
          <w:szCs w:val="16"/>
        </w:rPr>
        <w:footnoteRef/>
      </w:r>
      <w:r w:rsidRPr="00A85219">
        <w:rPr>
          <w:rFonts w:ascii="Times New Roman" w:hAnsi="Times New Roman" w:cs="Times New Roman"/>
          <w:sz w:val="16"/>
          <w:szCs w:val="16"/>
        </w:rPr>
        <w:t xml:space="preserve"> The following search strings in the abstracts were used with EBSCOhost as interface: AB ( children OR child OR adolescents OR youth OR teenager ) AND AB ( behaviour change wheel OR behavior change wheel ) AND AB ( nutrition OR diet OR food OR food intake OR eating OR nourishment ) AND AB ( intervention OR project OR program*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E8772F4"/>
    <w:multiLevelType w:val="hybridMultilevel"/>
    <w:tmpl w:val="FFFFFFFF"/>
    <w:lvl w:ilvl="0" w:tplc="55E6C02A">
      <w:start w:val="1"/>
      <w:numFmt w:val="bullet"/>
      <w:lvlText w:val="•"/>
      <w:lvlJc w:val="left"/>
    </w:lvl>
    <w:lvl w:ilvl="1" w:tplc="82C67678">
      <w:numFmt w:val="decimal"/>
      <w:lvlText w:val=""/>
      <w:lvlJc w:val="left"/>
    </w:lvl>
    <w:lvl w:ilvl="2" w:tplc="536000B0">
      <w:numFmt w:val="decimal"/>
      <w:lvlText w:val=""/>
      <w:lvlJc w:val="left"/>
    </w:lvl>
    <w:lvl w:ilvl="3" w:tplc="D7FC7B12">
      <w:numFmt w:val="decimal"/>
      <w:lvlText w:val=""/>
      <w:lvlJc w:val="left"/>
    </w:lvl>
    <w:lvl w:ilvl="4" w:tplc="DF28B52E">
      <w:numFmt w:val="decimal"/>
      <w:lvlText w:val=""/>
      <w:lvlJc w:val="left"/>
    </w:lvl>
    <w:lvl w:ilvl="5" w:tplc="50FE71D0">
      <w:numFmt w:val="decimal"/>
      <w:lvlText w:val=""/>
      <w:lvlJc w:val="left"/>
    </w:lvl>
    <w:lvl w:ilvl="6" w:tplc="AB684516">
      <w:numFmt w:val="decimal"/>
      <w:lvlText w:val=""/>
      <w:lvlJc w:val="left"/>
    </w:lvl>
    <w:lvl w:ilvl="7" w:tplc="CA549A46">
      <w:numFmt w:val="decimal"/>
      <w:lvlText w:val=""/>
      <w:lvlJc w:val="left"/>
    </w:lvl>
    <w:lvl w:ilvl="8" w:tplc="EAE4ACBC">
      <w:numFmt w:val="decimal"/>
      <w:lvlText w:val=""/>
      <w:lvlJc w:val="left"/>
    </w:lvl>
  </w:abstractNum>
  <w:abstractNum w:abstractNumId="1" w15:restartNumberingAfterBreak="0">
    <w:nsid w:val="E656D707"/>
    <w:multiLevelType w:val="hybridMultilevel"/>
    <w:tmpl w:val="FFFFFFFF"/>
    <w:lvl w:ilvl="0" w:tplc="EAE64038">
      <w:start w:val="1"/>
      <w:numFmt w:val="bullet"/>
      <w:lvlText w:val="•"/>
      <w:lvlJc w:val="left"/>
    </w:lvl>
    <w:lvl w:ilvl="1" w:tplc="157A4CEC">
      <w:numFmt w:val="decimal"/>
      <w:lvlText w:val=""/>
      <w:lvlJc w:val="left"/>
    </w:lvl>
    <w:lvl w:ilvl="2" w:tplc="7A24563E">
      <w:numFmt w:val="decimal"/>
      <w:lvlText w:val=""/>
      <w:lvlJc w:val="left"/>
    </w:lvl>
    <w:lvl w:ilvl="3" w:tplc="0FC8ECB6">
      <w:numFmt w:val="decimal"/>
      <w:lvlText w:val=""/>
      <w:lvlJc w:val="left"/>
    </w:lvl>
    <w:lvl w:ilvl="4" w:tplc="C1545930">
      <w:numFmt w:val="decimal"/>
      <w:lvlText w:val=""/>
      <w:lvlJc w:val="left"/>
    </w:lvl>
    <w:lvl w:ilvl="5" w:tplc="13A62104">
      <w:numFmt w:val="decimal"/>
      <w:lvlText w:val=""/>
      <w:lvlJc w:val="left"/>
    </w:lvl>
    <w:lvl w:ilvl="6" w:tplc="E68E7A40">
      <w:numFmt w:val="decimal"/>
      <w:lvlText w:val=""/>
      <w:lvlJc w:val="left"/>
    </w:lvl>
    <w:lvl w:ilvl="7" w:tplc="76AC099E">
      <w:numFmt w:val="decimal"/>
      <w:lvlText w:val=""/>
      <w:lvlJc w:val="left"/>
    </w:lvl>
    <w:lvl w:ilvl="8" w:tplc="6A1AEBD0">
      <w:numFmt w:val="decimal"/>
      <w:lvlText w:val=""/>
      <w:lvlJc w:val="left"/>
    </w:lvl>
  </w:abstractNum>
  <w:abstractNum w:abstractNumId="2" w15:restartNumberingAfterBreak="0">
    <w:nsid w:val="0164090E"/>
    <w:multiLevelType w:val="multilevel"/>
    <w:tmpl w:val="15AA63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2AD5397"/>
    <w:multiLevelType w:val="hybridMultilevel"/>
    <w:tmpl w:val="6186BEB2"/>
    <w:lvl w:ilvl="0" w:tplc="58A8A134">
      <w:start w:val="1"/>
      <w:numFmt w:val="decimal"/>
      <w:lvlText w:val="%1."/>
      <w:lvlJc w:val="left"/>
      <w:pPr>
        <w:ind w:left="360" w:hanging="360"/>
      </w:pPr>
      <w:rPr>
        <w:rFonts w:hint="default"/>
      </w:rPr>
    </w:lvl>
    <w:lvl w:ilvl="1" w:tplc="CF488646" w:tentative="1">
      <w:start w:val="1"/>
      <w:numFmt w:val="lowerLetter"/>
      <w:lvlText w:val="%2."/>
      <w:lvlJc w:val="left"/>
      <w:pPr>
        <w:ind w:left="1080" w:hanging="360"/>
      </w:pPr>
    </w:lvl>
    <w:lvl w:ilvl="2" w:tplc="B8E85668" w:tentative="1">
      <w:start w:val="1"/>
      <w:numFmt w:val="lowerRoman"/>
      <w:lvlText w:val="%3."/>
      <w:lvlJc w:val="right"/>
      <w:pPr>
        <w:ind w:left="1800" w:hanging="180"/>
      </w:pPr>
    </w:lvl>
    <w:lvl w:ilvl="3" w:tplc="68B8E7FA" w:tentative="1">
      <w:start w:val="1"/>
      <w:numFmt w:val="decimal"/>
      <w:lvlText w:val="%4."/>
      <w:lvlJc w:val="left"/>
      <w:pPr>
        <w:ind w:left="2520" w:hanging="360"/>
      </w:pPr>
    </w:lvl>
    <w:lvl w:ilvl="4" w:tplc="1842DCAA" w:tentative="1">
      <w:start w:val="1"/>
      <w:numFmt w:val="lowerLetter"/>
      <w:lvlText w:val="%5."/>
      <w:lvlJc w:val="left"/>
      <w:pPr>
        <w:ind w:left="3240" w:hanging="360"/>
      </w:pPr>
    </w:lvl>
    <w:lvl w:ilvl="5" w:tplc="EE560502" w:tentative="1">
      <w:start w:val="1"/>
      <w:numFmt w:val="lowerRoman"/>
      <w:lvlText w:val="%6."/>
      <w:lvlJc w:val="right"/>
      <w:pPr>
        <w:ind w:left="3960" w:hanging="180"/>
      </w:pPr>
    </w:lvl>
    <w:lvl w:ilvl="6" w:tplc="8E0CEBEC" w:tentative="1">
      <w:start w:val="1"/>
      <w:numFmt w:val="decimal"/>
      <w:lvlText w:val="%7."/>
      <w:lvlJc w:val="left"/>
      <w:pPr>
        <w:ind w:left="4680" w:hanging="360"/>
      </w:pPr>
    </w:lvl>
    <w:lvl w:ilvl="7" w:tplc="489E5F1E" w:tentative="1">
      <w:start w:val="1"/>
      <w:numFmt w:val="lowerLetter"/>
      <w:lvlText w:val="%8."/>
      <w:lvlJc w:val="left"/>
      <w:pPr>
        <w:ind w:left="5400" w:hanging="360"/>
      </w:pPr>
    </w:lvl>
    <w:lvl w:ilvl="8" w:tplc="92624FBA" w:tentative="1">
      <w:start w:val="1"/>
      <w:numFmt w:val="lowerRoman"/>
      <w:lvlText w:val="%9."/>
      <w:lvlJc w:val="right"/>
      <w:pPr>
        <w:ind w:left="6120" w:hanging="180"/>
      </w:pPr>
    </w:lvl>
  </w:abstractNum>
  <w:abstractNum w:abstractNumId="4" w15:restartNumberingAfterBreak="0">
    <w:nsid w:val="040D0652"/>
    <w:multiLevelType w:val="hybridMultilevel"/>
    <w:tmpl w:val="29E48F8A"/>
    <w:lvl w:ilvl="0" w:tplc="7F8E106C">
      <w:start w:val="1"/>
      <w:numFmt w:val="decimal"/>
      <w:lvlText w:val="%1."/>
      <w:lvlJc w:val="left"/>
      <w:pPr>
        <w:ind w:left="720" w:hanging="360"/>
      </w:pPr>
    </w:lvl>
    <w:lvl w:ilvl="1" w:tplc="596286CC" w:tentative="1">
      <w:start w:val="1"/>
      <w:numFmt w:val="lowerLetter"/>
      <w:lvlText w:val="%2."/>
      <w:lvlJc w:val="left"/>
      <w:pPr>
        <w:ind w:left="1440" w:hanging="360"/>
      </w:pPr>
    </w:lvl>
    <w:lvl w:ilvl="2" w:tplc="A8BCD652" w:tentative="1">
      <w:start w:val="1"/>
      <w:numFmt w:val="lowerRoman"/>
      <w:lvlText w:val="%3."/>
      <w:lvlJc w:val="right"/>
      <w:pPr>
        <w:ind w:left="2160" w:hanging="180"/>
      </w:pPr>
    </w:lvl>
    <w:lvl w:ilvl="3" w:tplc="AB14AB3A" w:tentative="1">
      <w:start w:val="1"/>
      <w:numFmt w:val="decimal"/>
      <w:lvlText w:val="%4."/>
      <w:lvlJc w:val="left"/>
      <w:pPr>
        <w:ind w:left="2880" w:hanging="360"/>
      </w:pPr>
    </w:lvl>
    <w:lvl w:ilvl="4" w:tplc="5E4A9A76" w:tentative="1">
      <w:start w:val="1"/>
      <w:numFmt w:val="lowerLetter"/>
      <w:lvlText w:val="%5."/>
      <w:lvlJc w:val="left"/>
      <w:pPr>
        <w:ind w:left="3600" w:hanging="360"/>
      </w:pPr>
    </w:lvl>
    <w:lvl w:ilvl="5" w:tplc="3E6C3E48" w:tentative="1">
      <w:start w:val="1"/>
      <w:numFmt w:val="lowerRoman"/>
      <w:lvlText w:val="%6."/>
      <w:lvlJc w:val="right"/>
      <w:pPr>
        <w:ind w:left="4320" w:hanging="180"/>
      </w:pPr>
    </w:lvl>
    <w:lvl w:ilvl="6" w:tplc="D25A4A30" w:tentative="1">
      <w:start w:val="1"/>
      <w:numFmt w:val="decimal"/>
      <w:lvlText w:val="%7."/>
      <w:lvlJc w:val="left"/>
      <w:pPr>
        <w:ind w:left="5040" w:hanging="360"/>
      </w:pPr>
    </w:lvl>
    <w:lvl w:ilvl="7" w:tplc="60BEE5E6" w:tentative="1">
      <w:start w:val="1"/>
      <w:numFmt w:val="lowerLetter"/>
      <w:lvlText w:val="%8."/>
      <w:lvlJc w:val="left"/>
      <w:pPr>
        <w:ind w:left="5760" w:hanging="360"/>
      </w:pPr>
    </w:lvl>
    <w:lvl w:ilvl="8" w:tplc="6B04143C" w:tentative="1">
      <w:start w:val="1"/>
      <w:numFmt w:val="lowerRoman"/>
      <w:lvlText w:val="%9."/>
      <w:lvlJc w:val="right"/>
      <w:pPr>
        <w:ind w:left="6480" w:hanging="180"/>
      </w:pPr>
    </w:lvl>
  </w:abstractNum>
  <w:abstractNum w:abstractNumId="5" w15:restartNumberingAfterBreak="0">
    <w:nsid w:val="04D11AF3"/>
    <w:multiLevelType w:val="hybridMultilevel"/>
    <w:tmpl w:val="FFFFFFFF"/>
    <w:lvl w:ilvl="0" w:tplc="84A402BE">
      <w:start w:val="1"/>
      <w:numFmt w:val="bullet"/>
      <w:lvlText w:val="•"/>
      <w:lvlJc w:val="left"/>
    </w:lvl>
    <w:lvl w:ilvl="1" w:tplc="AB2C662C">
      <w:numFmt w:val="decimal"/>
      <w:lvlText w:val=""/>
      <w:lvlJc w:val="left"/>
    </w:lvl>
    <w:lvl w:ilvl="2" w:tplc="381CDDE4">
      <w:numFmt w:val="decimal"/>
      <w:lvlText w:val=""/>
      <w:lvlJc w:val="left"/>
    </w:lvl>
    <w:lvl w:ilvl="3" w:tplc="F2A0A878">
      <w:numFmt w:val="decimal"/>
      <w:lvlText w:val=""/>
      <w:lvlJc w:val="left"/>
    </w:lvl>
    <w:lvl w:ilvl="4" w:tplc="9BA6AF44">
      <w:numFmt w:val="decimal"/>
      <w:lvlText w:val=""/>
      <w:lvlJc w:val="left"/>
    </w:lvl>
    <w:lvl w:ilvl="5" w:tplc="7A128AA0">
      <w:numFmt w:val="decimal"/>
      <w:lvlText w:val=""/>
      <w:lvlJc w:val="left"/>
    </w:lvl>
    <w:lvl w:ilvl="6" w:tplc="BF581918">
      <w:numFmt w:val="decimal"/>
      <w:lvlText w:val=""/>
      <w:lvlJc w:val="left"/>
    </w:lvl>
    <w:lvl w:ilvl="7" w:tplc="10C82D46">
      <w:numFmt w:val="decimal"/>
      <w:lvlText w:val=""/>
      <w:lvlJc w:val="left"/>
    </w:lvl>
    <w:lvl w:ilvl="8" w:tplc="56706314">
      <w:numFmt w:val="decimal"/>
      <w:lvlText w:val=""/>
      <w:lvlJc w:val="left"/>
    </w:lvl>
  </w:abstractNum>
  <w:abstractNum w:abstractNumId="6" w15:restartNumberingAfterBreak="0">
    <w:nsid w:val="05A77768"/>
    <w:multiLevelType w:val="hybridMultilevel"/>
    <w:tmpl w:val="6A3E28AE"/>
    <w:lvl w:ilvl="0" w:tplc="AF2A8A6C">
      <w:start w:val="1"/>
      <w:numFmt w:val="decimal"/>
      <w:lvlText w:val="%1."/>
      <w:lvlJc w:val="left"/>
      <w:pPr>
        <w:ind w:left="360" w:hanging="360"/>
      </w:pPr>
    </w:lvl>
    <w:lvl w:ilvl="1" w:tplc="B6CE96F4" w:tentative="1">
      <w:start w:val="1"/>
      <w:numFmt w:val="lowerLetter"/>
      <w:lvlText w:val="%2."/>
      <w:lvlJc w:val="left"/>
      <w:pPr>
        <w:ind w:left="1080" w:hanging="360"/>
      </w:pPr>
    </w:lvl>
    <w:lvl w:ilvl="2" w:tplc="8536D5FC" w:tentative="1">
      <w:start w:val="1"/>
      <w:numFmt w:val="lowerRoman"/>
      <w:lvlText w:val="%3."/>
      <w:lvlJc w:val="right"/>
      <w:pPr>
        <w:ind w:left="1800" w:hanging="180"/>
      </w:pPr>
    </w:lvl>
    <w:lvl w:ilvl="3" w:tplc="E7204D88" w:tentative="1">
      <w:start w:val="1"/>
      <w:numFmt w:val="decimal"/>
      <w:lvlText w:val="%4."/>
      <w:lvlJc w:val="left"/>
      <w:pPr>
        <w:ind w:left="2520" w:hanging="360"/>
      </w:pPr>
    </w:lvl>
    <w:lvl w:ilvl="4" w:tplc="B22E1530" w:tentative="1">
      <w:start w:val="1"/>
      <w:numFmt w:val="lowerLetter"/>
      <w:lvlText w:val="%5."/>
      <w:lvlJc w:val="left"/>
      <w:pPr>
        <w:ind w:left="3240" w:hanging="360"/>
      </w:pPr>
    </w:lvl>
    <w:lvl w:ilvl="5" w:tplc="1CDEB936" w:tentative="1">
      <w:start w:val="1"/>
      <w:numFmt w:val="lowerRoman"/>
      <w:lvlText w:val="%6."/>
      <w:lvlJc w:val="right"/>
      <w:pPr>
        <w:ind w:left="3960" w:hanging="180"/>
      </w:pPr>
    </w:lvl>
    <w:lvl w:ilvl="6" w:tplc="EEB41B00" w:tentative="1">
      <w:start w:val="1"/>
      <w:numFmt w:val="decimal"/>
      <w:lvlText w:val="%7."/>
      <w:lvlJc w:val="left"/>
      <w:pPr>
        <w:ind w:left="4680" w:hanging="360"/>
      </w:pPr>
    </w:lvl>
    <w:lvl w:ilvl="7" w:tplc="1936B65E" w:tentative="1">
      <w:start w:val="1"/>
      <w:numFmt w:val="lowerLetter"/>
      <w:lvlText w:val="%8."/>
      <w:lvlJc w:val="left"/>
      <w:pPr>
        <w:ind w:left="5400" w:hanging="360"/>
      </w:pPr>
    </w:lvl>
    <w:lvl w:ilvl="8" w:tplc="DECA6554" w:tentative="1">
      <w:start w:val="1"/>
      <w:numFmt w:val="lowerRoman"/>
      <w:lvlText w:val="%9."/>
      <w:lvlJc w:val="right"/>
      <w:pPr>
        <w:ind w:left="6120" w:hanging="180"/>
      </w:pPr>
    </w:lvl>
  </w:abstractNum>
  <w:abstractNum w:abstractNumId="7" w15:restartNumberingAfterBreak="0">
    <w:nsid w:val="09E11ADE"/>
    <w:multiLevelType w:val="hybridMultilevel"/>
    <w:tmpl w:val="DB02781C"/>
    <w:lvl w:ilvl="0" w:tplc="116E0668">
      <w:start w:val="1"/>
      <w:numFmt w:val="lowerRoman"/>
      <w:lvlText w:val="(%1)"/>
      <w:lvlJc w:val="left"/>
      <w:pPr>
        <w:ind w:left="720" w:hanging="720"/>
      </w:pPr>
      <w:rPr>
        <w:rFonts w:hint="default"/>
      </w:rPr>
    </w:lvl>
    <w:lvl w:ilvl="1" w:tplc="28A47DAE" w:tentative="1">
      <w:start w:val="1"/>
      <w:numFmt w:val="lowerLetter"/>
      <w:lvlText w:val="%2."/>
      <w:lvlJc w:val="left"/>
      <w:pPr>
        <w:ind w:left="1080" w:hanging="360"/>
      </w:pPr>
    </w:lvl>
    <w:lvl w:ilvl="2" w:tplc="EEFE2850" w:tentative="1">
      <w:start w:val="1"/>
      <w:numFmt w:val="lowerRoman"/>
      <w:lvlText w:val="%3."/>
      <w:lvlJc w:val="right"/>
      <w:pPr>
        <w:ind w:left="1800" w:hanging="180"/>
      </w:pPr>
    </w:lvl>
    <w:lvl w:ilvl="3" w:tplc="0832B1AA" w:tentative="1">
      <w:start w:val="1"/>
      <w:numFmt w:val="decimal"/>
      <w:lvlText w:val="%4."/>
      <w:lvlJc w:val="left"/>
      <w:pPr>
        <w:ind w:left="2520" w:hanging="360"/>
      </w:pPr>
    </w:lvl>
    <w:lvl w:ilvl="4" w:tplc="4EC2F65C" w:tentative="1">
      <w:start w:val="1"/>
      <w:numFmt w:val="lowerLetter"/>
      <w:lvlText w:val="%5."/>
      <w:lvlJc w:val="left"/>
      <w:pPr>
        <w:ind w:left="3240" w:hanging="360"/>
      </w:pPr>
    </w:lvl>
    <w:lvl w:ilvl="5" w:tplc="AC7A54D2" w:tentative="1">
      <w:start w:val="1"/>
      <w:numFmt w:val="lowerRoman"/>
      <w:lvlText w:val="%6."/>
      <w:lvlJc w:val="right"/>
      <w:pPr>
        <w:ind w:left="3960" w:hanging="180"/>
      </w:pPr>
    </w:lvl>
    <w:lvl w:ilvl="6" w:tplc="52AE44C4" w:tentative="1">
      <w:start w:val="1"/>
      <w:numFmt w:val="decimal"/>
      <w:lvlText w:val="%7."/>
      <w:lvlJc w:val="left"/>
      <w:pPr>
        <w:ind w:left="4680" w:hanging="360"/>
      </w:pPr>
    </w:lvl>
    <w:lvl w:ilvl="7" w:tplc="897E0C54" w:tentative="1">
      <w:start w:val="1"/>
      <w:numFmt w:val="lowerLetter"/>
      <w:lvlText w:val="%8."/>
      <w:lvlJc w:val="left"/>
      <w:pPr>
        <w:ind w:left="5400" w:hanging="360"/>
      </w:pPr>
    </w:lvl>
    <w:lvl w:ilvl="8" w:tplc="46C0B5C0" w:tentative="1">
      <w:start w:val="1"/>
      <w:numFmt w:val="lowerRoman"/>
      <w:lvlText w:val="%9."/>
      <w:lvlJc w:val="right"/>
      <w:pPr>
        <w:ind w:left="6120" w:hanging="180"/>
      </w:pPr>
    </w:lvl>
  </w:abstractNum>
  <w:abstractNum w:abstractNumId="8" w15:restartNumberingAfterBreak="0">
    <w:nsid w:val="125449B3"/>
    <w:multiLevelType w:val="hybridMultilevel"/>
    <w:tmpl w:val="AA0E51C4"/>
    <w:lvl w:ilvl="0" w:tplc="0E788D32">
      <w:start w:val="1"/>
      <w:numFmt w:val="decimal"/>
      <w:lvlText w:val="%1."/>
      <w:lvlJc w:val="left"/>
      <w:pPr>
        <w:ind w:left="720" w:hanging="360"/>
      </w:pPr>
      <w:rPr>
        <w:rFonts w:hint="default"/>
      </w:rPr>
    </w:lvl>
    <w:lvl w:ilvl="1" w:tplc="41281FFC" w:tentative="1">
      <w:start w:val="1"/>
      <w:numFmt w:val="lowerLetter"/>
      <w:lvlText w:val="%2."/>
      <w:lvlJc w:val="left"/>
      <w:pPr>
        <w:ind w:left="1440" w:hanging="360"/>
      </w:pPr>
    </w:lvl>
    <w:lvl w:ilvl="2" w:tplc="620CFD76" w:tentative="1">
      <w:start w:val="1"/>
      <w:numFmt w:val="lowerRoman"/>
      <w:lvlText w:val="%3."/>
      <w:lvlJc w:val="right"/>
      <w:pPr>
        <w:ind w:left="2160" w:hanging="180"/>
      </w:pPr>
    </w:lvl>
    <w:lvl w:ilvl="3" w:tplc="2B4443A6" w:tentative="1">
      <w:start w:val="1"/>
      <w:numFmt w:val="decimal"/>
      <w:lvlText w:val="%4."/>
      <w:lvlJc w:val="left"/>
      <w:pPr>
        <w:ind w:left="2880" w:hanging="360"/>
      </w:pPr>
    </w:lvl>
    <w:lvl w:ilvl="4" w:tplc="CE1A6172" w:tentative="1">
      <w:start w:val="1"/>
      <w:numFmt w:val="lowerLetter"/>
      <w:lvlText w:val="%5."/>
      <w:lvlJc w:val="left"/>
      <w:pPr>
        <w:ind w:left="3600" w:hanging="360"/>
      </w:pPr>
    </w:lvl>
    <w:lvl w:ilvl="5" w:tplc="DB1AFCF0" w:tentative="1">
      <w:start w:val="1"/>
      <w:numFmt w:val="lowerRoman"/>
      <w:lvlText w:val="%6."/>
      <w:lvlJc w:val="right"/>
      <w:pPr>
        <w:ind w:left="4320" w:hanging="180"/>
      </w:pPr>
    </w:lvl>
    <w:lvl w:ilvl="6" w:tplc="36F01366" w:tentative="1">
      <w:start w:val="1"/>
      <w:numFmt w:val="decimal"/>
      <w:lvlText w:val="%7."/>
      <w:lvlJc w:val="left"/>
      <w:pPr>
        <w:ind w:left="5040" w:hanging="360"/>
      </w:pPr>
    </w:lvl>
    <w:lvl w:ilvl="7" w:tplc="A42A5148" w:tentative="1">
      <w:start w:val="1"/>
      <w:numFmt w:val="lowerLetter"/>
      <w:lvlText w:val="%8."/>
      <w:lvlJc w:val="left"/>
      <w:pPr>
        <w:ind w:left="5760" w:hanging="360"/>
      </w:pPr>
    </w:lvl>
    <w:lvl w:ilvl="8" w:tplc="C6A08EDE" w:tentative="1">
      <w:start w:val="1"/>
      <w:numFmt w:val="lowerRoman"/>
      <w:lvlText w:val="%9."/>
      <w:lvlJc w:val="right"/>
      <w:pPr>
        <w:ind w:left="6480" w:hanging="180"/>
      </w:pPr>
    </w:lvl>
  </w:abstractNum>
  <w:abstractNum w:abstractNumId="9" w15:restartNumberingAfterBreak="0">
    <w:nsid w:val="12672EF9"/>
    <w:multiLevelType w:val="hybridMultilevel"/>
    <w:tmpl w:val="9D44DFB4"/>
    <w:lvl w:ilvl="0" w:tplc="8AB271C2">
      <w:start w:val="1"/>
      <w:numFmt w:val="decimal"/>
      <w:lvlText w:val="%1."/>
      <w:lvlJc w:val="left"/>
      <w:pPr>
        <w:ind w:left="360" w:hanging="360"/>
      </w:pPr>
      <w:rPr>
        <w:rFonts w:hint="default"/>
      </w:rPr>
    </w:lvl>
    <w:lvl w:ilvl="1" w:tplc="B30441F8" w:tentative="1">
      <w:start w:val="1"/>
      <w:numFmt w:val="lowerLetter"/>
      <w:lvlText w:val="%2."/>
      <w:lvlJc w:val="left"/>
      <w:pPr>
        <w:ind w:left="1080" w:hanging="360"/>
      </w:pPr>
    </w:lvl>
    <w:lvl w:ilvl="2" w:tplc="56C2CABC" w:tentative="1">
      <w:start w:val="1"/>
      <w:numFmt w:val="lowerRoman"/>
      <w:lvlText w:val="%3."/>
      <w:lvlJc w:val="right"/>
      <w:pPr>
        <w:ind w:left="1800" w:hanging="180"/>
      </w:pPr>
    </w:lvl>
    <w:lvl w:ilvl="3" w:tplc="0902D9F4" w:tentative="1">
      <w:start w:val="1"/>
      <w:numFmt w:val="decimal"/>
      <w:lvlText w:val="%4."/>
      <w:lvlJc w:val="left"/>
      <w:pPr>
        <w:ind w:left="2520" w:hanging="360"/>
      </w:pPr>
    </w:lvl>
    <w:lvl w:ilvl="4" w:tplc="DFF42B1C" w:tentative="1">
      <w:start w:val="1"/>
      <w:numFmt w:val="lowerLetter"/>
      <w:lvlText w:val="%5."/>
      <w:lvlJc w:val="left"/>
      <w:pPr>
        <w:ind w:left="3240" w:hanging="360"/>
      </w:pPr>
    </w:lvl>
    <w:lvl w:ilvl="5" w:tplc="4B020F4A" w:tentative="1">
      <w:start w:val="1"/>
      <w:numFmt w:val="lowerRoman"/>
      <w:lvlText w:val="%6."/>
      <w:lvlJc w:val="right"/>
      <w:pPr>
        <w:ind w:left="3960" w:hanging="180"/>
      </w:pPr>
    </w:lvl>
    <w:lvl w:ilvl="6" w:tplc="0C00CE42" w:tentative="1">
      <w:start w:val="1"/>
      <w:numFmt w:val="decimal"/>
      <w:lvlText w:val="%7."/>
      <w:lvlJc w:val="left"/>
      <w:pPr>
        <w:ind w:left="4680" w:hanging="360"/>
      </w:pPr>
    </w:lvl>
    <w:lvl w:ilvl="7" w:tplc="68EA3D92" w:tentative="1">
      <w:start w:val="1"/>
      <w:numFmt w:val="lowerLetter"/>
      <w:lvlText w:val="%8."/>
      <w:lvlJc w:val="left"/>
      <w:pPr>
        <w:ind w:left="5400" w:hanging="360"/>
      </w:pPr>
    </w:lvl>
    <w:lvl w:ilvl="8" w:tplc="6E0648DE" w:tentative="1">
      <w:start w:val="1"/>
      <w:numFmt w:val="lowerRoman"/>
      <w:lvlText w:val="%9."/>
      <w:lvlJc w:val="right"/>
      <w:pPr>
        <w:ind w:left="6120" w:hanging="180"/>
      </w:pPr>
    </w:lvl>
  </w:abstractNum>
  <w:abstractNum w:abstractNumId="10" w15:restartNumberingAfterBreak="0">
    <w:nsid w:val="14647C52"/>
    <w:multiLevelType w:val="hybridMultilevel"/>
    <w:tmpl w:val="CDC6DA40"/>
    <w:lvl w:ilvl="0" w:tplc="3AD44F60">
      <w:start w:val="1"/>
      <w:numFmt w:val="decimal"/>
      <w:lvlText w:val="%1."/>
      <w:lvlJc w:val="left"/>
      <w:pPr>
        <w:ind w:left="360" w:hanging="360"/>
      </w:pPr>
      <w:rPr>
        <w:rFonts w:hint="default"/>
      </w:rPr>
    </w:lvl>
    <w:lvl w:ilvl="1" w:tplc="891A15FA" w:tentative="1">
      <w:start w:val="1"/>
      <w:numFmt w:val="lowerLetter"/>
      <w:lvlText w:val="%2."/>
      <w:lvlJc w:val="left"/>
      <w:pPr>
        <w:ind w:left="1080" w:hanging="360"/>
      </w:pPr>
    </w:lvl>
    <w:lvl w:ilvl="2" w:tplc="989AE016" w:tentative="1">
      <w:start w:val="1"/>
      <w:numFmt w:val="lowerRoman"/>
      <w:lvlText w:val="%3."/>
      <w:lvlJc w:val="right"/>
      <w:pPr>
        <w:ind w:left="1800" w:hanging="180"/>
      </w:pPr>
    </w:lvl>
    <w:lvl w:ilvl="3" w:tplc="3EC6A908" w:tentative="1">
      <w:start w:val="1"/>
      <w:numFmt w:val="decimal"/>
      <w:lvlText w:val="%4."/>
      <w:lvlJc w:val="left"/>
      <w:pPr>
        <w:ind w:left="2520" w:hanging="360"/>
      </w:pPr>
    </w:lvl>
    <w:lvl w:ilvl="4" w:tplc="14789BCC" w:tentative="1">
      <w:start w:val="1"/>
      <w:numFmt w:val="lowerLetter"/>
      <w:lvlText w:val="%5."/>
      <w:lvlJc w:val="left"/>
      <w:pPr>
        <w:ind w:left="3240" w:hanging="360"/>
      </w:pPr>
    </w:lvl>
    <w:lvl w:ilvl="5" w:tplc="80FE173C" w:tentative="1">
      <w:start w:val="1"/>
      <w:numFmt w:val="lowerRoman"/>
      <w:lvlText w:val="%6."/>
      <w:lvlJc w:val="right"/>
      <w:pPr>
        <w:ind w:left="3960" w:hanging="180"/>
      </w:pPr>
    </w:lvl>
    <w:lvl w:ilvl="6" w:tplc="D72E90BC" w:tentative="1">
      <w:start w:val="1"/>
      <w:numFmt w:val="decimal"/>
      <w:lvlText w:val="%7."/>
      <w:lvlJc w:val="left"/>
      <w:pPr>
        <w:ind w:left="4680" w:hanging="360"/>
      </w:pPr>
    </w:lvl>
    <w:lvl w:ilvl="7" w:tplc="281063CC" w:tentative="1">
      <w:start w:val="1"/>
      <w:numFmt w:val="lowerLetter"/>
      <w:lvlText w:val="%8."/>
      <w:lvlJc w:val="left"/>
      <w:pPr>
        <w:ind w:left="5400" w:hanging="360"/>
      </w:pPr>
    </w:lvl>
    <w:lvl w:ilvl="8" w:tplc="E2848994" w:tentative="1">
      <w:start w:val="1"/>
      <w:numFmt w:val="lowerRoman"/>
      <w:lvlText w:val="%9."/>
      <w:lvlJc w:val="right"/>
      <w:pPr>
        <w:ind w:left="6120" w:hanging="180"/>
      </w:pPr>
    </w:lvl>
  </w:abstractNum>
  <w:abstractNum w:abstractNumId="11" w15:restartNumberingAfterBreak="0">
    <w:nsid w:val="14BD4AD7"/>
    <w:multiLevelType w:val="multilevel"/>
    <w:tmpl w:val="B10451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AE622A6"/>
    <w:multiLevelType w:val="hybridMultilevel"/>
    <w:tmpl w:val="6658B8E8"/>
    <w:lvl w:ilvl="0" w:tplc="D0C261FC">
      <w:start w:val="1"/>
      <w:numFmt w:val="decimal"/>
      <w:lvlText w:val="%1."/>
      <w:lvlJc w:val="left"/>
      <w:pPr>
        <w:ind w:left="360" w:hanging="360"/>
      </w:pPr>
      <w:rPr>
        <w:rFonts w:hint="default"/>
      </w:rPr>
    </w:lvl>
    <w:lvl w:ilvl="1" w:tplc="81B69244" w:tentative="1">
      <w:start w:val="1"/>
      <w:numFmt w:val="lowerLetter"/>
      <w:lvlText w:val="%2."/>
      <w:lvlJc w:val="left"/>
      <w:pPr>
        <w:ind w:left="1080" w:hanging="360"/>
      </w:pPr>
    </w:lvl>
    <w:lvl w:ilvl="2" w:tplc="A7C4B5F4" w:tentative="1">
      <w:start w:val="1"/>
      <w:numFmt w:val="lowerRoman"/>
      <w:lvlText w:val="%3."/>
      <w:lvlJc w:val="right"/>
      <w:pPr>
        <w:ind w:left="1800" w:hanging="180"/>
      </w:pPr>
    </w:lvl>
    <w:lvl w:ilvl="3" w:tplc="DB4C7CB0" w:tentative="1">
      <w:start w:val="1"/>
      <w:numFmt w:val="decimal"/>
      <w:lvlText w:val="%4."/>
      <w:lvlJc w:val="left"/>
      <w:pPr>
        <w:ind w:left="2520" w:hanging="360"/>
      </w:pPr>
    </w:lvl>
    <w:lvl w:ilvl="4" w:tplc="119257B8" w:tentative="1">
      <w:start w:val="1"/>
      <w:numFmt w:val="lowerLetter"/>
      <w:lvlText w:val="%5."/>
      <w:lvlJc w:val="left"/>
      <w:pPr>
        <w:ind w:left="3240" w:hanging="360"/>
      </w:pPr>
    </w:lvl>
    <w:lvl w:ilvl="5" w:tplc="A62A3B10" w:tentative="1">
      <w:start w:val="1"/>
      <w:numFmt w:val="lowerRoman"/>
      <w:lvlText w:val="%6."/>
      <w:lvlJc w:val="right"/>
      <w:pPr>
        <w:ind w:left="3960" w:hanging="180"/>
      </w:pPr>
    </w:lvl>
    <w:lvl w:ilvl="6" w:tplc="29E2306A" w:tentative="1">
      <w:start w:val="1"/>
      <w:numFmt w:val="decimal"/>
      <w:lvlText w:val="%7."/>
      <w:lvlJc w:val="left"/>
      <w:pPr>
        <w:ind w:left="4680" w:hanging="360"/>
      </w:pPr>
    </w:lvl>
    <w:lvl w:ilvl="7" w:tplc="D744EA18" w:tentative="1">
      <w:start w:val="1"/>
      <w:numFmt w:val="lowerLetter"/>
      <w:lvlText w:val="%8."/>
      <w:lvlJc w:val="left"/>
      <w:pPr>
        <w:ind w:left="5400" w:hanging="360"/>
      </w:pPr>
    </w:lvl>
    <w:lvl w:ilvl="8" w:tplc="2C901BC4" w:tentative="1">
      <w:start w:val="1"/>
      <w:numFmt w:val="lowerRoman"/>
      <w:lvlText w:val="%9."/>
      <w:lvlJc w:val="right"/>
      <w:pPr>
        <w:ind w:left="6120" w:hanging="180"/>
      </w:pPr>
    </w:lvl>
  </w:abstractNum>
  <w:abstractNum w:abstractNumId="13" w15:restartNumberingAfterBreak="0">
    <w:nsid w:val="1E667202"/>
    <w:multiLevelType w:val="hybridMultilevel"/>
    <w:tmpl w:val="49906C7C"/>
    <w:lvl w:ilvl="0" w:tplc="24BE0568">
      <w:start w:val="1"/>
      <w:numFmt w:val="decimal"/>
      <w:lvlText w:val="%1."/>
      <w:lvlJc w:val="left"/>
      <w:pPr>
        <w:ind w:left="360" w:hanging="360"/>
      </w:pPr>
      <w:rPr>
        <w:rFonts w:hint="default"/>
      </w:rPr>
    </w:lvl>
    <w:lvl w:ilvl="1" w:tplc="D79AE746" w:tentative="1">
      <w:start w:val="1"/>
      <w:numFmt w:val="lowerLetter"/>
      <w:lvlText w:val="%2."/>
      <w:lvlJc w:val="left"/>
      <w:pPr>
        <w:ind w:left="1080" w:hanging="360"/>
      </w:pPr>
    </w:lvl>
    <w:lvl w:ilvl="2" w:tplc="0FE08A08" w:tentative="1">
      <w:start w:val="1"/>
      <w:numFmt w:val="lowerRoman"/>
      <w:lvlText w:val="%3."/>
      <w:lvlJc w:val="right"/>
      <w:pPr>
        <w:ind w:left="1800" w:hanging="180"/>
      </w:pPr>
    </w:lvl>
    <w:lvl w:ilvl="3" w:tplc="CAF00B22" w:tentative="1">
      <w:start w:val="1"/>
      <w:numFmt w:val="decimal"/>
      <w:lvlText w:val="%4."/>
      <w:lvlJc w:val="left"/>
      <w:pPr>
        <w:ind w:left="2520" w:hanging="360"/>
      </w:pPr>
    </w:lvl>
    <w:lvl w:ilvl="4" w:tplc="91222A72" w:tentative="1">
      <w:start w:val="1"/>
      <w:numFmt w:val="lowerLetter"/>
      <w:lvlText w:val="%5."/>
      <w:lvlJc w:val="left"/>
      <w:pPr>
        <w:ind w:left="3240" w:hanging="360"/>
      </w:pPr>
    </w:lvl>
    <w:lvl w:ilvl="5" w:tplc="D146EB74" w:tentative="1">
      <w:start w:val="1"/>
      <w:numFmt w:val="lowerRoman"/>
      <w:lvlText w:val="%6."/>
      <w:lvlJc w:val="right"/>
      <w:pPr>
        <w:ind w:left="3960" w:hanging="180"/>
      </w:pPr>
    </w:lvl>
    <w:lvl w:ilvl="6" w:tplc="7D1C0F22" w:tentative="1">
      <w:start w:val="1"/>
      <w:numFmt w:val="decimal"/>
      <w:lvlText w:val="%7."/>
      <w:lvlJc w:val="left"/>
      <w:pPr>
        <w:ind w:left="4680" w:hanging="360"/>
      </w:pPr>
    </w:lvl>
    <w:lvl w:ilvl="7" w:tplc="E17278B0" w:tentative="1">
      <w:start w:val="1"/>
      <w:numFmt w:val="lowerLetter"/>
      <w:lvlText w:val="%8."/>
      <w:lvlJc w:val="left"/>
      <w:pPr>
        <w:ind w:left="5400" w:hanging="360"/>
      </w:pPr>
    </w:lvl>
    <w:lvl w:ilvl="8" w:tplc="689E07EA" w:tentative="1">
      <w:start w:val="1"/>
      <w:numFmt w:val="lowerRoman"/>
      <w:lvlText w:val="%9."/>
      <w:lvlJc w:val="right"/>
      <w:pPr>
        <w:ind w:left="6120" w:hanging="180"/>
      </w:pPr>
    </w:lvl>
  </w:abstractNum>
  <w:abstractNum w:abstractNumId="14" w15:restartNumberingAfterBreak="0">
    <w:nsid w:val="20EA65D0"/>
    <w:multiLevelType w:val="hybridMultilevel"/>
    <w:tmpl w:val="4052E430"/>
    <w:lvl w:ilvl="0" w:tplc="1DEC41B6">
      <w:start w:val="1"/>
      <w:numFmt w:val="decimal"/>
      <w:lvlText w:val="%1."/>
      <w:lvlJc w:val="left"/>
      <w:pPr>
        <w:ind w:left="360" w:hanging="360"/>
      </w:pPr>
    </w:lvl>
    <w:lvl w:ilvl="1" w:tplc="41804566" w:tentative="1">
      <w:start w:val="1"/>
      <w:numFmt w:val="lowerLetter"/>
      <w:lvlText w:val="%2."/>
      <w:lvlJc w:val="left"/>
      <w:pPr>
        <w:ind w:left="1080" w:hanging="360"/>
      </w:pPr>
    </w:lvl>
    <w:lvl w:ilvl="2" w:tplc="D1CE7AA8" w:tentative="1">
      <w:start w:val="1"/>
      <w:numFmt w:val="lowerRoman"/>
      <w:lvlText w:val="%3."/>
      <w:lvlJc w:val="right"/>
      <w:pPr>
        <w:ind w:left="1800" w:hanging="180"/>
      </w:pPr>
    </w:lvl>
    <w:lvl w:ilvl="3" w:tplc="0A2CBC6E" w:tentative="1">
      <w:start w:val="1"/>
      <w:numFmt w:val="decimal"/>
      <w:lvlText w:val="%4."/>
      <w:lvlJc w:val="left"/>
      <w:pPr>
        <w:ind w:left="2520" w:hanging="360"/>
      </w:pPr>
    </w:lvl>
    <w:lvl w:ilvl="4" w:tplc="45E6F404" w:tentative="1">
      <w:start w:val="1"/>
      <w:numFmt w:val="lowerLetter"/>
      <w:lvlText w:val="%5."/>
      <w:lvlJc w:val="left"/>
      <w:pPr>
        <w:ind w:left="3240" w:hanging="360"/>
      </w:pPr>
    </w:lvl>
    <w:lvl w:ilvl="5" w:tplc="CAAA5D0E" w:tentative="1">
      <w:start w:val="1"/>
      <w:numFmt w:val="lowerRoman"/>
      <w:lvlText w:val="%6."/>
      <w:lvlJc w:val="right"/>
      <w:pPr>
        <w:ind w:left="3960" w:hanging="180"/>
      </w:pPr>
    </w:lvl>
    <w:lvl w:ilvl="6" w:tplc="6A9076FA" w:tentative="1">
      <w:start w:val="1"/>
      <w:numFmt w:val="decimal"/>
      <w:lvlText w:val="%7."/>
      <w:lvlJc w:val="left"/>
      <w:pPr>
        <w:ind w:left="4680" w:hanging="360"/>
      </w:pPr>
    </w:lvl>
    <w:lvl w:ilvl="7" w:tplc="CEDEA60A" w:tentative="1">
      <w:start w:val="1"/>
      <w:numFmt w:val="lowerLetter"/>
      <w:lvlText w:val="%8."/>
      <w:lvlJc w:val="left"/>
      <w:pPr>
        <w:ind w:left="5400" w:hanging="360"/>
      </w:pPr>
    </w:lvl>
    <w:lvl w:ilvl="8" w:tplc="7D8CF49C" w:tentative="1">
      <w:start w:val="1"/>
      <w:numFmt w:val="lowerRoman"/>
      <w:lvlText w:val="%9."/>
      <w:lvlJc w:val="right"/>
      <w:pPr>
        <w:ind w:left="6120" w:hanging="180"/>
      </w:pPr>
    </w:lvl>
  </w:abstractNum>
  <w:abstractNum w:abstractNumId="15" w15:restartNumberingAfterBreak="0">
    <w:nsid w:val="21F9040E"/>
    <w:multiLevelType w:val="hybridMultilevel"/>
    <w:tmpl w:val="B900EEB4"/>
    <w:lvl w:ilvl="0" w:tplc="0D92E8B0">
      <w:start w:val="1"/>
      <w:numFmt w:val="decimal"/>
      <w:lvlText w:val="%1."/>
      <w:lvlJc w:val="left"/>
      <w:pPr>
        <w:ind w:left="360" w:hanging="360"/>
      </w:pPr>
      <w:rPr>
        <w:rFonts w:hint="default"/>
      </w:rPr>
    </w:lvl>
    <w:lvl w:ilvl="1" w:tplc="3EF80170" w:tentative="1">
      <w:start w:val="1"/>
      <w:numFmt w:val="lowerLetter"/>
      <w:lvlText w:val="%2."/>
      <w:lvlJc w:val="left"/>
      <w:pPr>
        <w:ind w:left="1080" w:hanging="360"/>
      </w:pPr>
    </w:lvl>
    <w:lvl w:ilvl="2" w:tplc="6B42569A" w:tentative="1">
      <w:start w:val="1"/>
      <w:numFmt w:val="lowerRoman"/>
      <w:lvlText w:val="%3."/>
      <w:lvlJc w:val="right"/>
      <w:pPr>
        <w:ind w:left="1800" w:hanging="180"/>
      </w:pPr>
    </w:lvl>
    <w:lvl w:ilvl="3" w:tplc="E1480AC4" w:tentative="1">
      <w:start w:val="1"/>
      <w:numFmt w:val="decimal"/>
      <w:lvlText w:val="%4."/>
      <w:lvlJc w:val="left"/>
      <w:pPr>
        <w:ind w:left="2520" w:hanging="360"/>
      </w:pPr>
    </w:lvl>
    <w:lvl w:ilvl="4" w:tplc="4E6031AA" w:tentative="1">
      <w:start w:val="1"/>
      <w:numFmt w:val="lowerLetter"/>
      <w:lvlText w:val="%5."/>
      <w:lvlJc w:val="left"/>
      <w:pPr>
        <w:ind w:left="3240" w:hanging="360"/>
      </w:pPr>
    </w:lvl>
    <w:lvl w:ilvl="5" w:tplc="B646391C" w:tentative="1">
      <w:start w:val="1"/>
      <w:numFmt w:val="lowerRoman"/>
      <w:lvlText w:val="%6."/>
      <w:lvlJc w:val="right"/>
      <w:pPr>
        <w:ind w:left="3960" w:hanging="180"/>
      </w:pPr>
    </w:lvl>
    <w:lvl w:ilvl="6" w:tplc="78CE07AE" w:tentative="1">
      <w:start w:val="1"/>
      <w:numFmt w:val="decimal"/>
      <w:lvlText w:val="%7."/>
      <w:lvlJc w:val="left"/>
      <w:pPr>
        <w:ind w:left="4680" w:hanging="360"/>
      </w:pPr>
    </w:lvl>
    <w:lvl w:ilvl="7" w:tplc="127C741C" w:tentative="1">
      <w:start w:val="1"/>
      <w:numFmt w:val="lowerLetter"/>
      <w:lvlText w:val="%8."/>
      <w:lvlJc w:val="left"/>
      <w:pPr>
        <w:ind w:left="5400" w:hanging="360"/>
      </w:pPr>
    </w:lvl>
    <w:lvl w:ilvl="8" w:tplc="E7FC6F24" w:tentative="1">
      <w:start w:val="1"/>
      <w:numFmt w:val="lowerRoman"/>
      <w:lvlText w:val="%9."/>
      <w:lvlJc w:val="right"/>
      <w:pPr>
        <w:ind w:left="6120" w:hanging="180"/>
      </w:pPr>
    </w:lvl>
  </w:abstractNum>
  <w:abstractNum w:abstractNumId="16" w15:restartNumberingAfterBreak="0">
    <w:nsid w:val="22F66DDD"/>
    <w:multiLevelType w:val="hybridMultilevel"/>
    <w:tmpl w:val="5AEA1A88"/>
    <w:lvl w:ilvl="0" w:tplc="7CE4DD80">
      <w:start w:val="1"/>
      <w:numFmt w:val="decimal"/>
      <w:lvlText w:val="%1."/>
      <w:lvlJc w:val="left"/>
      <w:pPr>
        <w:ind w:left="360" w:hanging="360"/>
      </w:pPr>
      <w:rPr>
        <w:rFonts w:hint="default"/>
      </w:rPr>
    </w:lvl>
    <w:lvl w:ilvl="1" w:tplc="28A4A654" w:tentative="1">
      <w:start w:val="1"/>
      <w:numFmt w:val="lowerLetter"/>
      <w:lvlText w:val="%2."/>
      <w:lvlJc w:val="left"/>
      <w:pPr>
        <w:ind w:left="1080" w:hanging="360"/>
      </w:pPr>
    </w:lvl>
    <w:lvl w:ilvl="2" w:tplc="7B2CCC36" w:tentative="1">
      <w:start w:val="1"/>
      <w:numFmt w:val="lowerRoman"/>
      <w:lvlText w:val="%3."/>
      <w:lvlJc w:val="right"/>
      <w:pPr>
        <w:ind w:left="1800" w:hanging="180"/>
      </w:pPr>
    </w:lvl>
    <w:lvl w:ilvl="3" w:tplc="E6E45B98" w:tentative="1">
      <w:start w:val="1"/>
      <w:numFmt w:val="decimal"/>
      <w:lvlText w:val="%4."/>
      <w:lvlJc w:val="left"/>
      <w:pPr>
        <w:ind w:left="2520" w:hanging="360"/>
      </w:pPr>
    </w:lvl>
    <w:lvl w:ilvl="4" w:tplc="2ABCBC2E" w:tentative="1">
      <w:start w:val="1"/>
      <w:numFmt w:val="lowerLetter"/>
      <w:lvlText w:val="%5."/>
      <w:lvlJc w:val="left"/>
      <w:pPr>
        <w:ind w:left="3240" w:hanging="360"/>
      </w:pPr>
    </w:lvl>
    <w:lvl w:ilvl="5" w:tplc="DC08C208" w:tentative="1">
      <w:start w:val="1"/>
      <w:numFmt w:val="lowerRoman"/>
      <w:lvlText w:val="%6."/>
      <w:lvlJc w:val="right"/>
      <w:pPr>
        <w:ind w:left="3960" w:hanging="180"/>
      </w:pPr>
    </w:lvl>
    <w:lvl w:ilvl="6" w:tplc="226AC2F4" w:tentative="1">
      <w:start w:val="1"/>
      <w:numFmt w:val="decimal"/>
      <w:lvlText w:val="%7."/>
      <w:lvlJc w:val="left"/>
      <w:pPr>
        <w:ind w:left="4680" w:hanging="360"/>
      </w:pPr>
    </w:lvl>
    <w:lvl w:ilvl="7" w:tplc="BD96BCD2" w:tentative="1">
      <w:start w:val="1"/>
      <w:numFmt w:val="lowerLetter"/>
      <w:lvlText w:val="%8."/>
      <w:lvlJc w:val="left"/>
      <w:pPr>
        <w:ind w:left="5400" w:hanging="360"/>
      </w:pPr>
    </w:lvl>
    <w:lvl w:ilvl="8" w:tplc="7EC26650" w:tentative="1">
      <w:start w:val="1"/>
      <w:numFmt w:val="lowerRoman"/>
      <w:lvlText w:val="%9."/>
      <w:lvlJc w:val="right"/>
      <w:pPr>
        <w:ind w:left="6120" w:hanging="180"/>
      </w:pPr>
    </w:lvl>
  </w:abstractNum>
  <w:abstractNum w:abstractNumId="17" w15:restartNumberingAfterBreak="0">
    <w:nsid w:val="230229DE"/>
    <w:multiLevelType w:val="hybridMultilevel"/>
    <w:tmpl w:val="100AC3D2"/>
    <w:lvl w:ilvl="0" w:tplc="E77CFE64">
      <w:start w:val="1"/>
      <w:numFmt w:val="decimal"/>
      <w:lvlText w:val="%1."/>
      <w:lvlJc w:val="left"/>
      <w:pPr>
        <w:ind w:left="360" w:hanging="360"/>
      </w:pPr>
      <w:rPr>
        <w:rFonts w:hint="default"/>
      </w:rPr>
    </w:lvl>
    <w:lvl w:ilvl="1" w:tplc="DC22AAEE" w:tentative="1">
      <w:start w:val="1"/>
      <w:numFmt w:val="lowerLetter"/>
      <w:lvlText w:val="%2."/>
      <w:lvlJc w:val="left"/>
      <w:pPr>
        <w:ind w:left="1080" w:hanging="360"/>
      </w:pPr>
    </w:lvl>
    <w:lvl w:ilvl="2" w:tplc="10504F16" w:tentative="1">
      <w:start w:val="1"/>
      <w:numFmt w:val="lowerRoman"/>
      <w:lvlText w:val="%3."/>
      <w:lvlJc w:val="right"/>
      <w:pPr>
        <w:ind w:left="1800" w:hanging="180"/>
      </w:pPr>
    </w:lvl>
    <w:lvl w:ilvl="3" w:tplc="64DEF08C" w:tentative="1">
      <w:start w:val="1"/>
      <w:numFmt w:val="decimal"/>
      <w:lvlText w:val="%4."/>
      <w:lvlJc w:val="left"/>
      <w:pPr>
        <w:ind w:left="2520" w:hanging="360"/>
      </w:pPr>
    </w:lvl>
    <w:lvl w:ilvl="4" w:tplc="DEDC20BC" w:tentative="1">
      <w:start w:val="1"/>
      <w:numFmt w:val="lowerLetter"/>
      <w:lvlText w:val="%5."/>
      <w:lvlJc w:val="left"/>
      <w:pPr>
        <w:ind w:left="3240" w:hanging="360"/>
      </w:pPr>
    </w:lvl>
    <w:lvl w:ilvl="5" w:tplc="26AE50C4" w:tentative="1">
      <w:start w:val="1"/>
      <w:numFmt w:val="lowerRoman"/>
      <w:lvlText w:val="%6."/>
      <w:lvlJc w:val="right"/>
      <w:pPr>
        <w:ind w:left="3960" w:hanging="180"/>
      </w:pPr>
    </w:lvl>
    <w:lvl w:ilvl="6" w:tplc="E288F5DA" w:tentative="1">
      <w:start w:val="1"/>
      <w:numFmt w:val="decimal"/>
      <w:lvlText w:val="%7."/>
      <w:lvlJc w:val="left"/>
      <w:pPr>
        <w:ind w:left="4680" w:hanging="360"/>
      </w:pPr>
    </w:lvl>
    <w:lvl w:ilvl="7" w:tplc="3E5CCB50" w:tentative="1">
      <w:start w:val="1"/>
      <w:numFmt w:val="lowerLetter"/>
      <w:lvlText w:val="%8."/>
      <w:lvlJc w:val="left"/>
      <w:pPr>
        <w:ind w:left="5400" w:hanging="360"/>
      </w:pPr>
    </w:lvl>
    <w:lvl w:ilvl="8" w:tplc="5EAA1786" w:tentative="1">
      <w:start w:val="1"/>
      <w:numFmt w:val="lowerRoman"/>
      <w:lvlText w:val="%9."/>
      <w:lvlJc w:val="right"/>
      <w:pPr>
        <w:ind w:left="6120" w:hanging="180"/>
      </w:pPr>
    </w:lvl>
  </w:abstractNum>
  <w:abstractNum w:abstractNumId="18" w15:restartNumberingAfterBreak="0">
    <w:nsid w:val="23C04101"/>
    <w:multiLevelType w:val="hybridMultilevel"/>
    <w:tmpl w:val="E9F61C1E"/>
    <w:lvl w:ilvl="0" w:tplc="2FF8C1CC">
      <w:start w:val="1"/>
      <w:numFmt w:val="decimal"/>
      <w:lvlText w:val="%1."/>
      <w:lvlJc w:val="left"/>
      <w:pPr>
        <w:ind w:left="720" w:hanging="360"/>
      </w:pPr>
    </w:lvl>
    <w:lvl w:ilvl="1" w:tplc="3CF01804" w:tentative="1">
      <w:start w:val="1"/>
      <w:numFmt w:val="lowerLetter"/>
      <w:lvlText w:val="%2."/>
      <w:lvlJc w:val="left"/>
      <w:pPr>
        <w:ind w:left="1440" w:hanging="360"/>
      </w:pPr>
    </w:lvl>
    <w:lvl w:ilvl="2" w:tplc="A208B086" w:tentative="1">
      <w:start w:val="1"/>
      <w:numFmt w:val="lowerRoman"/>
      <w:lvlText w:val="%3."/>
      <w:lvlJc w:val="right"/>
      <w:pPr>
        <w:ind w:left="2160" w:hanging="180"/>
      </w:pPr>
    </w:lvl>
    <w:lvl w:ilvl="3" w:tplc="912A87E6" w:tentative="1">
      <w:start w:val="1"/>
      <w:numFmt w:val="decimal"/>
      <w:lvlText w:val="%4."/>
      <w:lvlJc w:val="left"/>
      <w:pPr>
        <w:ind w:left="2880" w:hanging="360"/>
      </w:pPr>
    </w:lvl>
    <w:lvl w:ilvl="4" w:tplc="238C2752" w:tentative="1">
      <w:start w:val="1"/>
      <w:numFmt w:val="lowerLetter"/>
      <w:lvlText w:val="%5."/>
      <w:lvlJc w:val="left"/>
      <w:pPr>
        <w:ind w:left="3600" w:hanging="360"/>
      </w:pPr>
    </w:lvl>
    <w:lvl w:ilvl="5" w:tplc="F73074F6" w:tentative="1">
      <w:start w:val="1"/>
      <w:numFmt w:val="lowerRoman"/>
      <w:lvlText w:val="%6."/>
      <w:lvlJc w:val="right"/>
      <w:pPr>
        <w:ind w:left="4320" w:hanging="180"/>
      </w:pPr>
    </w:lvl>
    <w:lvl w:ilvl="6" w:tplc="9C3AD410" w:tentative="1">
      <w:start w:val="1"/>
      <w:numFmt w:val="decimal"/>
      <w:lvlText w:val="%7."/>
      <w:lvlJc w:val="left"/>
      <w:pPr>
        <w:ind w:left="5040" w:hanging="360"/>
      </w:pPr>
    </w:lvl>
    <w:lvl w:ilvl="7" w:tplc="FF26E922" w:tentative="1">
      <w:start w:val="1"/>
      <w:numFmt w:val="lowerLetter"/>
      <w:lvlText w:val="%8."/>
      <w:lvlJc w:val="left"/>
      <w:pPr>
        <w:ind w:left="5760" w:hanging="360"/>
      </w:pPr>
    </w:lvl>
    <w:lvl w:ilvl="8" w:tplc="6EFA014C" w:tentative="1">
      <w:start w:val="1"/>
      <w:numFmt w:val="lowerRoman"/>
      <w:lvlText w:val="%9."/>
      <w:lvlJc w:val="right"/>
      <w:pPr>
        <w:ind w:left="6480" w:hanging="180"/>
      </w:pPr>
    </w:lvl>
  </w:abstractNum>
  <w:abstractNum w:abstractNumId="19" w15:restartNumberingAfterBreak="0">
    <w:nsid w:val="25E1724E"/>
    <w:multiLevelType w:val="hybridMultilevel"/>
    <w:tmpl w:val="4C387F14"/>
    <w:lvl w:ilvl="0" w:tplc="3C5874AC">
      <w:start w:val="1"/>
      <w:numFmt w:val="decimal"/>
      <w:lvlText w:val="%1."/>
      <w:lvlJc w:val="left"/>
      <w:pPr>
        <w:ind w:left="360" w:hanging="360"/>
      </w:pPr>
      <w:rPr>
        <w:rFonts w:hint="default"/>
      </w:rPr>
    </w:lvl>
    <w:lvl w:ilvl="1" w:tplc="65968428" w:tentative="1">
      <w:start w:val="1"/>
      <w:numFmt w:val="lowerLetter"/>
      <w:lvlText w:val="%2."/>
      <w:lvlJc w:val="left"/>
      <w:pPr>
        <w:ind w:left="1080" w:hanging="360"/>
      </w:pPr>
    </w:lvl>
    <w:lvl w:ilvl="2" w:tplc="730400E6" w:tentative="1">
      <w:start w:val="1"/>
      <w:numFmt w:val="lowerRoman"/>
      <w:lvlText w:val="%3."/>
      <w:lvlJc w:val="right"/>
      <w:pPr>
        <w:ind w:left="1800" w:hanging="180"/>
      </w:pPr>
    </w:lvl>
    <w:lvl w:ilvl="3" w:tplc="F23EF65E" w:tentative="1">
      <w:start w:val="1"/>
      <w:numFmt w:val="decimal"/>
      <w:lvlText w:val="%4."/>
      <w:lvlJc w:val="left"/>
      <w:pPr>
        <w:ind w:left="2520" w:hanging="360"/>
      </w:pPr>
    </w:lvl>
    <w:lvl w:ilvl="4" w:tplc="2390BEDC" w:tentative="1">
      <w:start w:val="1"/>
      <w:numFmt w:val="lowerLetter"/>
      <w:lvlText w:val="%5."/>
      <w:lvlJc w:val="left"/>
      <w:pPr>
        <w:ind w:left="3240" w:hanging="360"/>
      </w:pPr>
    </w:lvl>
    <w:lvl w:ilvl="5" w:tplc="7EDC6544" w:tentative="1">
      <w:start w:val="1"/>
      <w:numFmt w:val="lowerRoman"/>
      <w:lvlText w:val="%6."/>
      <w:lvlJc w:val="right"/>
      <w:pPr>
        <w:ind w:left="3960" w:hanging="180"/>
      </w:pPr>
    </w:lvl>
    <w:lvl w:ilvl="6" w:tplc="5B682AAA" w:tentative="1">
      <w:start w:val="1"/>
      <w:numFmt w:val="decimal"/>
      <w:lvlText w:val="%7."/>
      <w:lvlJc w:val="left"/>
      <w:pPr>
        <w:ind w:left="4680" w:hanging="360"/>
      </w:pPr>
    </w:lvl>
    <w:lvl w:ilvl="7" w:tplc="242877FA" w:tentative="1">
      <w:start w:val="1"/>
      <w:numFmt w:val="lowerLetter"/>
      <w:lvlText w:val="%8."/>
      <w:lvlJc w:val="left"/>
      <w:pPr>
        <w:ind w:left="5400" w:hanging="360"/>
      </w:pPr>
    </w:lvl>
    <w:lvl w:ilvl="8" w:tplc="45204B14" w:tentative="1">
      <w:start w:val="1"/>
      <w:numFmt w:val="lowerRoman"/>
      <w:lvlText w:val="%9."/>
      <w:lvlJc w:val="right"/>
      <w:pPr>
        <w:ind w:left="6120" w:hanging="180"/>
      </w:pPr>
    </w:lvl>
  </w:abstractNum>
  <w:abstractNum w:abstractNumId="20" w15:restartNumberingAfterBreak="0">
    <w:nsid w:val="28B26DF6"/>
    <w:multiLevelType w:val="hybridMultilevel"/>
    <w:tmpl w:val="121873E0"/>
    <w:lvl w:ilvl="0" w:tplc="F9885D76">
      <w:start w:val="1"/>
      <w:numFmt w:val="decimal"/>
      <w:lvlText w:val="%1."/>
      <w:lvlJc w:val="left"/>
      <w:pPr>
        <w:ind w:left="360" w:hanging="360"/>
      </w:pPr>
      <w:rPr>
        <w:rFonts w:hint="default"/>
      </w:rPr>
    </w:lvl>
    <w:lvl w:ilvl="1" w:tplc="CCAEAB06" w:tentative="1">
      <w:start w:val="1"/>
      <w:numFmt w:val="lowerLetter"/>
      <w:lvlText w:val="%2."/>
      <w:lvlJc w:val="left"/>
      <w:pPr>
        <w:ind w:left="1080" w:hanging="360"/>
      </w:pPr>
    </w:lvl>
    <w:lvl w:ilvl="2" w:tplc="A738926C" w:tentative="1">
      <w:start w:val="1"/>
      <w:numFmt w:val="lowerRoman"/>
      <w:lvlText w:val="%3."/>
      <w:lvlJc w:val="right"/>
      <w:pPr>
        <w:ind w:left="1800" w:hanging="180"/>
      </w:pPr>
    </w:lvl>
    <w:lvl w:ilvl="3" w:tplc="E4B21F8C" w:tentative="1">
      <w:start w:val="1"/>
      <w:numFmt w:val="decimal"/>
      <w:lvlText w:val="%4."/>
      <w:lvlJc w:val="left"/>
      <w:pPr>
        <w:ind w:left="2520" w:hanging="360"/>
      </w:pPr>
    </w:lvl>
    <w:lvl w:ilvl="4" w:tplc="C8A85A68" w:tentative="1">
      <w:start w:val="1"/>
      <w:numFmt w:val="lowerLetter"/>
      <w:lvlText w:val="%5."/>
      <w:lvlJc w:val="left"/>
      <w:pPr>
        <w:ind w:left="3240" w:hanging="360"/>
      </w:pPr>
    </w:lvl>
    <w:lvl w:ilvl="5" w:tplc="BC583148" w:tentative="1">
      <w:start w:val="1"/>
      <w:numFmt w:val="lowerRoman"/>
      <w:lvlText w:val="%6."/>
      <w:lvlJc w:val="right"/>
      <w:pPr>
        <w:ind w:left="3960" w:hanging="180"/>
      </w:pPr>
    </w:lvl>
    <w:lvl w:ilvl="6" w:tplc="008C7A04" w:tentative="1">
      <w:start w:val="1"/>
      <w:numFmt w:val="decimal"/>
      <w:lvlText w:val="%7."/>
      <w:lvlJc w:val="left"/>
      <w:pPr>
        <w:ind w:left="4680" w:hanging="360"/>
      </w:pPr>
    </w:lvl>
    <w:lvl w:ilvl="7" w:tplc="5FB403A0" w:tentative="1">
      <w:start w:val="1"/>
      <w:numFmt w:val="lowerLetter"/>
      <w:lvlText w:val="%8."/>
      <w:lvlJc w:val="left"/>
      <w:pPr>
        <w:ind w:left="5400" w:hanging="360"/>
      </w:pPr>
    </w:lvl>
    <w:lvl w:ilvl="8" w:tplc="5E543FDA" w:tentative="1">
      <w:start w:val="1"/>
      <w:numFmt w:val="lowerRoman"/>
      <w:lvlText w:val="%9."/>
      <w:lvlJc w:val="right"/>
      <w:pPr>
        <w:ind w:left="6120" w:hanging="180"/>
      </w:pPr>
    </w:lvl>
  </w:abstractNum>
  <w:abstractNum w:abstractNumId="21" w15:restartNumberingAfterBreak="0">
    <w:nsid w:val="2A1F23C3"/>
    <w:multiLevelType w:val="hybridMultilevel"/>
    <w:tmpl w:val="58A65446"/>
    <w:lvl w:ilvl="0" w:tplc="E67CD58A">
      <w:start w:val="1"/>
      <w:numFmt w:val="lowerLetter"/>
      <w:lvlText w:val="%1)"/>
      <w:lvlJc w:val="left"/>
      <w:pPr>
        <w:ind w:left="720" w:hanging="360"/>
      </w:pPr>
    </w:lvl>
    <w:lvl w:ilvl="1" w:tplc="98EC1D08" w:tentative="1">
      <w:start w:val="1"/>
      <w:numFmt w:val="lowerLetter"/>
      <w:lvlText w:val="%2."/>
      <w:lvlJc w:val="left"/>
      <w:pPr>
        <w:ind w:left="1440" w:hanging="360"/>
      </w:pPr>
    </w:lvl>
    <w:lvl w:ilvl="2" w:tplc="1298B626" w:tentative="1">
      <w:start w:val="1"/>
      <w:numFmt w:val="lowerRoman"/>
      <w:lvlText w:val="%3."/>
      <w:lvlJc w:val="right"/>
      <w:pPr>
        <w:ind w:left="2160" w:hanging="180"/>
      </w:pPr>
    </w:lvl>
    <w:lvl w:ilvl="3" w:tplc="57107D96" w:tentative="1">
      <w:start w:val="1"/>
      <w:numFmt w:val="decimal"/>
      <w:lvlText w:val="%4."/>
      <w:lvlJc w:val="left"/>
      <w:pPr>
        <w:ind w:left="2880" w:hanging="360"/>
      </w:pPr>
    </w:lvl>
    <w:lvl w:ilvl="4" w:tplc="53CC11BA" w:tentative="1">
      <w:start w:val="1"/>
      <w:numFmt w:val="lowerLetter"/>
      <w:lvlText w:val="%5."/>
      <w:lvlJc w:val="left"/>
      <w:pPr>
        <w:ind w:left="3600" w:hanging="360"/>
      </w:pPr>
    </w:lvl>
    <w:lvl w:ilvl="5" w:tplc="59661986" w:tentative="1">
      <w:start w:val="1"/>
      <w:numFmt w:val="lowerRoman"/>
      <w:lvlText w:val="%6."/>
      <w:lvlJc w:val="right"/>
      <w:pPr>
        <w:ind w:left="4320" w:hanging="180"/>
      </w:pPr>
    </w:lvl>
    <w:lvl w:ilvl="6" w:tplc="AD087C82" w:tentative="1">
      <w:start w:val="1"/>
      <w:numFmt w:val="decimal"/>
      <w:lvlText w:val="%7."/>
      <w:lvlJc w:val="left"/>
      <w:pPr>
        <w:ind w:left="5040" w:hanging="360"/>
      </w:pPr>
    </w:lvl>
    <w:lvl w:ilvl="7" w:tplc="1F881F9C" w:tentative="1">
      <w:start w:val="1"/>
      <w:numFmt w:val="lowerLetter"/>
      <w:lvlText w:val="%8."/>
      <w:lvlJc w:val="left"/>
      <w:pPr>
        <w:ind w:left="5760" w:hanging="360"/>
      </w:pPr>
    </w:lvl>
    <w:lvl w:ilvl="8" w:tplc="0D584748" w:tentative="1">
      <w:start w:val="1"/>
      <w:numFmt w:val="lowerRoman"/>
      <w:lvlText w:val="%9."/>
      <w:lvlJc w:val="right"/>
      <w:pPr>
        <w:ind w:left="6480" w:hanging="180"/>
      </w:pPr>
    </w:lvl>
  </w:abstractNum>
  <w:abstractNum w:abstractNumId="22" w15:restartNumberingAfterBreak="0">
    <w:nsid w:val="2E540A0F"/>
    <w:multiLevelType w:val="multilevel"/>
    <w:tmpl w:val="23CA6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EF2433C"/>
    <w:multiLevelType w:val="multilevel"/>
    <w:tmpl w:val="16BA1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339434F"/>
    <w:multiLevelType w:val="hybridMultilevel"/>
    <w:tmpl w:val="B7280998"/>
    <w:lvl w:ilvl="0" w:tplc="27F6789E">
      <w:start w:val="1"/>
      <w:numFmt w:val="decimal"/>
      <w:lvlText w:val="%1."/>
      <w:lvlJc w:val="left"/>
      <w:pPr>
        <w:ind w:left="360" w:hanging="360"/>
      </w:pPr>
      <w:rPr>
        <w:rFonts w:hint="default"/>
      </w:rPr>
    </w:lvl>
    <w:lvl w:ilvl="1" w:tplc="E68C31C6" w:tentative="1">
      <w:start w:val="1"/>
      <w:numFmt w:val="lowerLetter"/>
      <w:lvlText w:val="%2."/>
      <w:lvlJc w:val="left"/>
      <w:pPr>
        <w:ind w:left="1080" w:hanging="360"/>
      </w:pPr>
    </w:lvl>
    <w:lvl w:ilvl="2" w:tplc="D0F4B67C" w:tentative="1">
      <w:start w:val="1"/>
      <w:numFmt w:val="lowerRoman"/>
      <w:lvlText w:val="%3."/>
      <w:lvlJc w:val="right"/>
      <w:pPr>
        <w:ind w:left="1800" w:hanging="180"/>
      </w:pPr>
    </w:lvl>
    <w:lvl w:ilvl="3" w:tplc="6A98B91A" w:tentative="1">
      <w:start w:val="1"/>
      <w:numFmt w:val="decimal"/>
      <w:lvlText w:val="%4."/>
      <w:lvlJc w:val="left"/>
      <w:pPr>
        <w:ind w:left="2520" w:hanging="360"/>
      </w:pPr>
    </w:lvl>
    <w:lvl w:ilvl="4" w:tplc="C7301AB0" w:tentative="1">
      <w:start w:val="1"/>
      <w:numFmt w:val="lowerLetter"/>
      <w:lvlText w:val="%5."/>
      <w:lvlJc w:val="left"/>
      <w:pPr>
        <w:ind w:left="3240" w:hanging="360"/>
      </w:pPr>
    </w:lvl>
    <w:lvl w:ilvl="5" w:tplc="1F72B264" w:tentative="1">
      <w:start w:val="1"/>
      <w:numFmt w:val="lowerRoman"/>
      <w:lvlText w:val="%6."/>
      <w:lvlJc w:val="right"/>
      <w:pPr>
        <w:ind w:left="3960" w:hanging="180"/>
      </w:pPr>
    </w:lvl>
    <w:lvl w:ilvl="6" w:tplc="4D7E4494" w:tentative="1">
      <w:start w:val="1"/>
      <w:numFmt w:val="decimal"/>
      <w:lvlText w:val="%7."/>
      <w:lvlJc w:val="left"/>
      <w:pPr>
        <w:ind w:left="4680" w:hanging="360"/>
      </w:pPr>
    </w:lvl>
    <w:lvl w:ilvl="7" w:tplc="3260E9AC" w:tentative="1">
      <w:start w:val="1"/>
      <w:numFmt w:val="lowerLetter"/>
      <w:lvlText w:val="%8."/>
      <w:lvlJc w:val="left"/>
      <w:pPr>
        <w:ind w:left="5400" w:hanging="360"/>
      </w:pPr>
    </w:lvl>
    <w:lvl w:ilvl="8" w:tplc="2340BB4A" w:tentative="1">
      <w:start w:val="1"/>
      <w:numFmt w:val="lowerRoman"/>
      <w:lvlText w:val="%9."/>
      <w:lvlJc w:val="right"/>
      <w:pPr>
        <w:ind w:left="6120" w:hanging="180"/>
      </w:pPr>
    </w:lvl>
  </w:abstractNum>
  <w:abstractNum w:abstractNumId="25" w15:restartNumberingAfterBreak="0">
    <w:nsid w:val="33BD0FE9"/>
    <w:multiLevelType w:val="hybridMultilevel"/>
    <w:tmpl w:val="2CB468B8"/>
    <w:lvl w:ilvl="0" w:tplc="6D48EBF4">
      <w:start w:val="1"/>
      <w:numFmt w:val="bullet"/>
      <w:lvlText w:val=""/>
      <w:lvlJc w:val="left"/>
      <w:pPr>
        <w:ind w:left="720" w:hanging="360"/>
      </w:pPr>
      <w:rPr>
        <w:rFonts w:ascii="Symbol" w:hAnsi="Symbol" w:hint="default"/>
      </w:rPr>
    </w:lvl>
    <w:lvl w:ilvl="1" w:tplc="80DE33B4" w:tentative="1">
      <w:start w:val="1"/>
      <w:numFmt w:val="bullet"/>
      <w:lvlText w:val="o"/>
      <w:lvlJc w:val="left"/>
      <w:pPr>
        <w:ind w:left="1440" w:hanging="360"/>
      </w:pPr>
      <w:rPr>
        <w:rFonts w:ascii="Courier New" w:hAnsi="Courier New" w:cs="Courier New" w:hint="default"/>
      </w:rPr>
    </w:lvl>
    <w:lvl w:ilvl="2" w:tplc="CF3CB778" w:tentative="1">
      <w:start w:val="1"/>
      <w:numFmt w:val="bullet"/>
      <w:lvlText w:val=""/>
      <w:lvlJc w:val="left"/>
      <w:pPr>
        <w:ind w:left="2160" w:hanging="360"/>
      </w:pPr>
      <w:rPr>
        <w:rFonts w:ascii="Wingdings" w:hAnsi="Wingdings" w:hint="default"/>
      </w:rPr>
    </w:lvl>
    <w:lvl w:ilvl="3" w:tplc="2EF84F28" w:tentative="1">
      <w:start w:val="1"/>
      <w:numFmt w:val="bullet"/>
      <w:lvlText w:val=""/>
      <w:lvlJc w:val="left"/>
      <w:pPr>
        <w:ind w:left="2880" w:hanging="360"/>
      </w:pPr>
      <w:rPr>
        <w:rFonts w:ascii="Symbol" w:hAnsi="Symbol" w:hint="default"/>
      </w:rPr>
    </w:lvl>
    <w:lvl w:ilvl="4" w:tplc="4656E746" w:tentative="1">
      <w:start w:val="1"/>
      <w:numFmt w:val="bullet"/>
      <w:lvlText w:val="o"/>
      <w:lvlJc w:val="left"/>
      <w:pPr>
        <w:ind w:left="3600" w:hanging="360"/>
      </w:pPr>
      <w:rPr>
        <w:rFonts w:ascii="Courier New" w:hAnsi="Courier New" w:cs="Courier New" w:hint="default"/>
      </w:rPr>
    </w:lvl>
    <w:lvl w:ilvl="5" w:tplc="1690D528" w:tentative="1">
      <w:start w:val="1"/>
      <w:numFmt w:val="bullet"/>
      <w:lvlText w:val=""/>
      <w:lvlJc w:val="left"/>
      <w:pPr>
        <w:ind w:left="4320" w:hanging="360"/>
      </w:pPr>
      <w:rPr>
        <w:rFonts w:ascii="Wingdings" w:hAnsi="Wingdings" w:hint="default"/>
      </w:rPr>
    </w:lvl>
    <w:lvl w:ilvl="6" w:tplc="09683058" w:tentative="1">
      <w:start w:val="1"/>
      <w:numFmt w:val="bullet"/>
      <w:lvlText w:val=""/>
      <w:lvlJc w:val="left"/>
      <w:pPr>
        <w:ind w:left="5040" w:hanging="360"/>
      </w:pPr>
      <w:rPr>
        <w:rFonts w:ascii="Symbol" w:hAnsi="Symbol" w:hint="default"/>
      </w:rPr>
    </w:lvl>
    <w:lvl w:ilvl="7" w:tplc="FCD88C8A" w:tentative="1">
      <w:start w:val="1"/>
      <w:numFmt w:val="bullet"/>
      <w:lvlText w:val="o"/>
      <w:lvlJc w:val="left"/>
      <w:pPr>
        <w:ind w:left="5760" w:hanging="360"/>
      </w:pPr>
      <w:rPr>
        <w:rFonts w:ascii="Courier New" w:hAnsi="Courier New" w:cs="Courier New" w:hint="default"/>
      </w:rPr>
    </w:lvl>
    <w:lvl w:ilvl="8" w:tplc="08AC1C76" w:tentative="1">
      <w:start w:val="1"/>
      <w:numFmt w:val="bullet"/>
      <w:lvlText w:val=""/>
      <w:lvlJc w:val="left"/>
      <w:pPr>
        <w:ind w:left="6480" w:hanging="360"/>
      </w:pPr>
      <w:rPr>
        <w:rFonts w:ascii="Wingdings" w:hAnsi="Wingdings" w:hint="default"/>
      </w:rPr>
    </w:lvl>
  </w:abstractNum>
  <w:abstractNum w:abstractNumId="26" w15:restartNumberingAfterBreak="0">
    <w:nsid w:val="34BE2616"/>
    <w:multiLevelType w:val="hybridMultilevel"/>
    <w:tmpl w:val="ADE6F6EC"/>
    <w:lvl w:ilvl="0" w:tplc="4D66C26E">
      <w:start w:val="1"/>
      <w:numFmt w:val="decimal"/>
      <w:lvlText w:val="%1."/>
      <w:lvlJc w:val="left"/>
      <w:pPr>
        <w:ind w:left="360" w:hanging="360"/>
      </w:pPr>
    </w:lvl>
    <w:lvl w:ilvl="1" w:tplc="768C672A" w:tentative="1">
      <w:start w:val="1"/>
      <w:numFmt w:val="lowerLetter"/>
      <w:lvlText w:val="%2."/>
      <w:lvlJc w:val="left"/>
      <w:pPr>
        <w:ind w:left="1080" w:hanging="360"/>
      </w:pPr>
    </w:lvl>
    <w:lvl w:ilvl="2" w:tplc="2EAA9682" w:tentative="1">
      <w:start w:val="1"/>
      <w:numFmt w:val="lowerRoman"/>
      <w:lvlText w:val="%3."/>
      <w:lvlJc w:val="right"/>
      <w:pPr>
        <w:ind w:left="1800" w:hanging="180"/>
      </w:pPr>
    </w:lvl>
    <w:lvl w:ilvl="3" w:tplc="5EFC4762" w:tentative="1">
      <w:start w:val="1"/>
      <w:numFmt w:val="decimal"/>
      <w:lvlText w:val="%4."/>
      <w:lvlJc w:val="left"/>
      <w:pPr>
        <w:ind w:left="2520" w:hanging="360"/>
      </w:pPr>
    </w:lvl>
    <w:lvl w:ilvl="4" w:tplc="D8C830C6" w:tentative="1">
      <w:start w:val="1"/>
      <w:numFmt w:val="lowerLetter"/>
      <w:lvlText w:val="%5."/>
      <w:lvlJc w:val="left"/>
      <w:pPr>
        <w:ind w:left="3240" w:hanging="360"/>
      </w:pPr>
    </w:lvl>
    <w:lvl w:ilvl="5" w:tplc="674A00FE" w:tentative="1">
      <w:start w:val="1"/>
      <w:numFmt w:val="lowerRoman"/>
      <w:lvlText w:val="%6."/>
      <w:lvlJc w:val="right"/>
      <w:pPr>
        <w:ind w:left="3960" w:hanging="180"/>
      </w:pPr>
    </w:lvl>
    <w:lvl w:ilvl="6" w:tplc="5C6889A8" w:tentative="1">
      <w:start w:val="1"/>
      <w:numFmt w:val="decimal"/>
      <w:lvlText w:val="%7."/>
      <w:lvlJc w:val="left"/>
      <w:pPr>
        <w:ind w:left="4680" w:hanging="360"/>
      </w:pPr>
    </w:lvl>
    <w:lvl w:ilvl="7" w:tplc="7246739A" w:tentative="1">
      <w:start w:val="1"/>
      <w:numFmt w:val="lowerLetter"/>
      <w:lvlText w:val="%8."/>
      <w:lvlJc w:val="left"/>
      <w:pPr>
        <w:ind w:left="5400" w:hanging="360"/>
      </w:pPr>
    </w:lvl>
    <w:lvl w:ilvl="8" w:tplc="3AC294D0" w:tentative="1">
      <w:start w:val="1"/>
      <w:numFmt w:val="lowerRoman"/>
      <w:lvlText w:val="%9."/>
      <w:lvlJc w:val="right"/>
      <w:pPr>
        <w:ind w:left="6120" w:hanging="180"/>
      </w:pPr>
    </w:lvl>
  </w:abstractNum>
  <w:abstractNum w:abstractNumId="27" w15:restartNumberingAfterBreak="0">
    <w:nsid w:val="350669EE"/>
    <w:multiLevelType w:val="hybridMultilevel"/>
    <w:tmpl w:val="1DCEAB52"/>
    <w:lvl w:ilvl="0" w:tplc="AC6E61D2">
      <w:start w:val="1"/>
      <w:numFmt w:val="lowerRoman"/>
      <w:lvlText w:val="(%1)"/>
      <w:lvlJc w:val="left"/>
      <w:pPr>
        <w:ind w:left="720" w:hanging="720"/>
      </w:pPr>
      <w:rPr>
        <w:rFonts w:hint="default"/>
      </w:rPr>
    </w:lvl>
    <w:lvl w:ilvl="1" w:tplc="205858BE" w:tentative="1">
      <w:start w:val="1"/>
      <w:numFmt w:val="lowerLetter"/>
      <w:lvlText w:val="%2."/>
      <w:lvlJc w:val="left"/>
      <w:pPr>
        <w:ind w:left="1080" w:hanging="360"/>
      </w:pPr>
    </w:lvl>
    <w:lvl w:ilvl="2" w:tplc="CA2A53E8" w:tentative="1">
      <w:start w:val="1"/>
      <w:numFmt w:val="lowerRoman"/>
      <w:lvlText w:val="%3."/>
      <w:lvlJc w:val="right"/>
      <w:pPr>
        <w:ind w:left="1800" w:hanging="180"/>
      </w:pPr>
    </w:lvl>
    <w:lvl w:ilvl="3" w:tplc="80AA622C" w:tentative="1">
      <w:start w:val="1"/>
      <w:numFmt w:val="decimal"/>
      <w:lvlText w:val="%4."/>
      <w:lvlJc w:val="left"/>
      <w:pPr>
        <w:ind w:left="2520" w:hanging="360"/>
      </w:pPr>
    </w:lvl>
    <w:lvl w:ilvl="4" w:tplc="C75E187C" w:tentative="1">
      <w:start w:val="1"/>
      <w:numFmt w:val="lowerLetter"/>
      <w:lvlText w:val="%5."/>
      <w:lvlJc w:val="left"/>
      <w:pPr>
        <w:ind w:left="3240" w:hanging="360"/>
      </w:pPr>
    </w:lvl>
    <w:lvl w:ilvl="5" w:tplc="93C6A508" w:tentative="1">
      <w:start w:val="1"/>
      <w:numFmt w:val="lowerRoman"/>
      <w:lvlText w:val="%6."/>
      <w:lvlJc w:val="right"/>
      <w:pPr>
        <w:ind w:left="3960" w:hanging="180"/>
      </w:pPr>
    </w:lvl>
    <w:lvl w:ilvl="6" w:tplc="B052E110" w:tentative="1">
      <w:start w:val="1"/>
      <w:numFmt w:val="decimal"/>
      <w:lvlText w:val="%7."/>
      <w:lvlJc w:val="left"/>
      <w:pPr>
        <w:ind w:left="4680" w:hanging="360"/>
      </w:pPr>
    </w:lvl>
    <w:lvl w:ilvl="7" w:tplc="CD92E42C" w:tentative="1">
      <w:start w:val="1"/>
      <w:numFmt w:val="lowerLetter"/>
      <w:lvlText w:val="%8."/>
      <w:lvlJc w:val="left"/>
      <w:pPr>
        <w:ind w:left="5400" w:hanging="360"/>
      </w:pPr>
    </w:lvl>
    <w:lvl w:ilvl="8" w:tplc="FB2094C6" w:tentative="1">
      <w:start w:val="1"/>
      <w:numFmt w:val="lowerRoman"/>
      <w:lvlText w:val="%9."/>
      <w:lvlJc w:val="right"/>
      <w:pPr>
        <w:ind w:left="6120" w:hanging="180"/>
      </w:pPr>
    </w:lvl>
  </w:abstractNum>
  <w:abstractNum w:abstractNumId="28" w15:restartNumberingAfterBreak="0">
    <w:nsid w:val="36F76C5D"/>
    <w:multiLevelType w:val="hybridMultilevel"/>
    <w:tmpl w:val="0C6A8118"/>
    <w:lvl w:ilvl="0" w:tplc="2C6ECA40">
      <w:start w:val="1"/>
      <w:numFmt w:val="decimal"/>
      <w:lvlText w:val="%1."/>
      <w:lvlJc w:val="left"/>
      <w:pPr>
        <w:ind w:left="360" w:hanging="360"/>
      </w:pPr>
    </w:lvl>
    <w:lvl w:ilvl="1" w:tplc="A6CEBBE4" w:tentative="1">
      <w:start w:val="1"/>
      <w:numFmt w:val="lowerLetter"/>
      <w:lvlText w:val="%2."/>
      <w:lvlJc w:val="left"/>
      <w:pPr>
        <w:ind w:left="1080" w:hanging="360"/>
      </w:pPr>
    </w:lvl>
    <w:lvl w:ilvl="2" w:tplc="947609E6" w:tentative="1">
      <w:start w:val="1"/>
      <w:numFmt w:val="lowerRoman"/>
      <w:lvlText w:val="%3."/>
      <w:lvlJc w:val="right"/>
      <w:pPr>
        <w:ind w:left="1800" w:hanging="180"/>
      </w:pPr>
    </w:lvl>
    <w:lvl w:ilvl="3" w:tplc="19203924" w:tentative="1">
      <w:start w:val="1"/>
      <w:numFmt w:val="decimal"/>
      <w:lvlText w:val="%4."/>
      <w:lvlJc w:val="left"/>
      <w:pPr>
        <w:ind w:left="2520" w:hanging="360"/>
      </w:pPr>
    </w:lvl>
    <w:lvl w:ilvl="4" w:tplc="664026AE" w:tentative="1">
      <w:start w:val="1"/>
      <w:numFmt w:val="lowerLetter"/>
      <w:lvlText w:val="%5."/>
      <w:lvlJc w:val="left"/>
      <w:pPr>
        <w:ind w:left="3240" w:hanging="360"/>
      </w:pPr>
    </w:lvl>
    <w:lvl w:ilvl="5" w:tplc="629C56EA" w:tentative="1">
      <w:start w:val="1"/>
      <w:numFmt w:val="lowerRoman"/>
      <w:lvlText w:val="%6."/>
      <w:lvlJc w:val="right"/>
      <w:pPr>
        <w:ind w:left="3960" w:hanging="180"/>
      </w:pPr>
    </w:lvl>
    <w:lvl w:ilvl="6" w:tplc="A0E03856" w:tentative="1">
      <w:start w:val="1"/>
      <w:numFmt w:val="decimal"/>
      <w:lvlText w:val="%7."/>
      <w:lvlJc w:val="left"/>
      <w:pPr>
        <w:ind w:left="4680" w:hanging="360"/>
      </w:pPr>
    </w:lvl>
    <w:lvl w:ilvl="7" w:tplc="C63A10C4" w:tentative="1">
      <w:start w:val="1"/>
      <w:numFmt w:val="lowerLetter"/>
      <w:lvlText w:val="%8."/>
      <w:lvlJc w:val="left"/>
      <w:pPr>
        <w:ind w:left="5400" w:hanging="360"/>
      </w:pPr>
    </w:lvl>
    <w:lvl w:ilvl="8" w:tplc="920AECEE" w:tentative="1">
      <w:start w:val="1"/>
      <w:numFmt w:val="lowerRoman"/>
      <w:lvlText w:val="%9."/>
      <w:lvlJc w:val="right"/>
      <w:pPr>
        <w:ind w:left="6120" w:hanging="180"/>
      </w:pPr>
    </w:lvl>
  </w:abstractNum>
  <w:abstractNum w:abstractNumId="29" w15:restartNumberingAfterBreak="0">
    <w:nsid w:val="386D71F5"/>
    <w:multiLevelType w:val="multilevel"/>
    <w:tmpl w:val="3E7EC0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9A0726A"/>
    <w:multiLevelType w:val="hybridMultilevel"/>
    <w:tmpl w:val="3F889EAE"/>
    <w:lvl w:ilvl="0" w:tplc="03D0AA46">
      <w:start w:val="1"/>
      <w:numFmt w:val="decimal"/>
      <w:lvlText w:val="%1."/>
      <w:lvlJc w:val="left"/>
      <w:pPr>
        <w:ind w:left="360" w:hanging="360"/>
      </w:pPr>
      <w:rPr>
        <w:rFonts w:hint="default"/>
      </w:rPr>
    </w:lvl>
    <w:lvl w:ilvl="1" w:tplc="E9BA01EA" w:tentative="1">
      <w:start w:val="1"/>
      <w:numFmt w:val="lowerLetter"/>
      <w:lvlText w:val="%2."/>
      <w:lvlJc w:val="left"/>
      <w:pPr>
        <w:ind w:left="1080" w:hanging="360"/>
      </w:pPr>
    </w:lvl>
    <w:lvl w:ilvl="2" w:tplc="F0908D72" w:tentative="1">
      <w:start w:val="1"/>
      <w:numFmt w:val="lowerRoman"/>
      <w:lvlText w:val="%3."/>
      <w:lvlJc w:val="right"/>
      <w:pPr>
        <w:ind w:left="1800" w:hanging="180"/>
      </w:pPr>
    </w:lvl>
    <w:lvl w:ilvl="3" w:tplc="E1BA423A" w:tentative="1">
      <w:start w:val="1"/>
      <w:numFmt w:val="decimal"/>
      <w:lvlText w:val="%4."/>
      <w:lvlJc w:val="left"/>
      <w:pPr>
        <w:ind w:left="2520" w:hanging="360"/>
      </w:pPr>
    </w:lvl>
    <w:lvl w:ilvl="4" w:tplc="4150FD50" w:tentative="1">
      <w:start w:val="1"/>
      <w:numFmt w:val="lowerLetter"/>
      <w:lvlText w:val="%5."/>
      <w:lvlJc w:val="left"/>
      <w:pPr>
        <w:ind w:left="3240" w:hanging="360"/>
      </w:pPr>
    </w:lvl>
    <w:lvl w:ilvl="5" w:tplc="68CA68DC" w:tentative="1">
      <w:start w:val="1"/>
      <w:numFmt w:val="lowerRoman"/>
      <w:lvlText w:val="%6."/>
      <w:lvlJc w:val="right"/>
      <w:pPr>
        <w:ind w:left="3960" w:hanging="180"/>
      </w:pPr>
    </w:lvl>
    <w:lvl w:ilvl="6" w:tplc="19564D8E" w:tentative="1">
      <w:start w:val="1"/>
      <w:numFmt w:val="decimal"/>
      <w:lvlText w:val="%7."/>
      <w:lvlJc w:val="left"/>
      <w:pPr>
        <w:ind w:left="4680" w:hanging="360"/>
      </w:pPr>
    </w:lvl>
    <w:lvl w:ilvl="7" w:tplc="B30C7524" w:tentative="1">
      <w:start w:val="1"/>
      <w:numFmt w:val="lowerLetter"/>
      <w:lvlText w:val="%8."/>
      <w:lvlJc w:val="left"/>
      <w:pPr>
        <w:ind w:left="5400" w:hanging="360"/>
      </w:pPr>
    </w:lvl>
    <w:lvl w:ilvl="8" w:tplc="7E0ADD00" w:tentative="1">
      <w:start w:val="1"/>
      <w:numFmt w:val="lowerRoman"/>
      <w:lvlText w:val="%9."/>
      <w:lvlJc w:val="right"/>
      <w:pPr>
        <w:ind w:left="6120" w:hanging="180"/>
      </w:pPr>
    </w:lvl>
  </w:abstractNum>
  <w:abstractNum w:abstractNumId="31" w15:restartNumberingAfterBreak="0">
    <w:nsid w:val="3B544D08"/>
    <w:multiLevelType w:val="hybridMultilevel"/>
    <w:tmpl w:val="CA50EB6C"/>
    <w:lvl w:ilvl="0" w:tplc="5D0ABB3C">
      <w:start w:val="1"/>
      <w:numFmt w:val="bullet"/>
      <w:lvlText w:val=""/>
      <w:lvlJc w:val="left"/>
      <w:pPr>
        <w:ind w:left="920" w:hanging="360"/>
      </w:pPr>
      <w:rPr>
        <w:rFonts w:ascii="Symbol" w:hAnsi="Symbol" w:hint="default"/>
      </w:rPr>
    </w:lvl>
    <w:lvl w:ilvl="1" w:tplc="5DF8537C" w:tentative="1">
      <w:start w:val="1"/>
      <w:numFmt w:val="bullet"/>
      <w:lvlText w:val="o"/>
      <w:lvlJc w:val="left"/>
      <w:pPr>
        <w:ind w:left="1640" w:hanging="360"/>
      </w:pPr>
      <w:rPr>
        <w:rFonts w:ascii="Courier New" w:hAnsi="Courier New" w:cs="Courier New" w:hint="default"/>
      </w:rPr>
    </w:lvl>
    <w:lvl w:ilvl="2" w:tplc="3808DC18" w:tentative="1">
      <w:start w:val="1"/>
      <w:numFmt w:val="bullet"/>
      <w:lvlText w:val=""/>
      <w:lvlJc w:val="left"/>
      <w:pPr>
        <w:ind w:left="2360" w:hanging="360"/>
      </w:pPr>
      <w:rPr>
        <w:rFonts w:ascii="Wingdings" w:hAnsi="Wingdings" w:hint="default"/>
      </w:rPr>
    </w:lvl>
    <w:lvl w:ilvl="3" w:tplc="18D4CDC2" w:tentative="1">
      <w:start w:val="1"/>
      <w:numFmt w:val="bullet"/>
      <w:lvlText w:val=""/>
      <w:lvlJc w:val="left"/>
      <w:pPr>
        <w:ind w:left="3080" w:hanging="360"/>
      </w:pPr>
      <w:rPr>
        <w:rFonts w:ascii="Symbol" w:hAnsi="Symbol" w:hint="default"/>
      </w:rPr>
    </w:lvl>
    <w:lvl w:ilvl="4" w:tplc="16E6D5CE" w:tentative="1">
      <w:start w:val="1"/>
      <w:numFmt w:val="bullet"/>
      <w:lvlText w:val="o"/>
      <w:lvlJc w:val="left"/>
      <w:pPr>
        <w:ind w:left="3800" w:hanging="360"/>
      </w:pPr>
      <w:rPr>
        <w:rFonts w:ascii="Courier New" w:hAnsi="Courier New" w:cs="Courier New" w:hint="default"/>
      </w:rPr>
    </w:lvl>
    <w:lvl w:ilvl="5" w:tplc="D1983B5A" w:tentative="1">
      <w:start w:val="1"/>
      <w:numFmt w:val="bullet"/>
      <w:lvlText w:val=""/>
      <w:lvlJc w:val="left"/>
      <w:pPr>
        <w:ind w:left="4520" w:hanging="360"/>
      </w:pPr>
      <w:rPr>
        <w:rFonts w:ascii="Wingdings" w:hAnsi="Wingdings" w:hint="default"/>
      </w:rPr>
    </w:lvl>
    <w:lvl w:ilvl="6" w:tplc="37E26304" w:tentative="1">
      <w:start w:val="1"/>
      <w:numFmt w:val="bullet"/>
      <w:lvlText w:val=""/>
      <w:lvlJc w:val="left"/>
      <w:pPr>
        <w:ind w:left="5240" w:hanging="360"/>
      </w:pPr>
      <w:rPr>
        <w:rFonts w:ascii="Symbol" w:hAnsi="Symbol" w:hint="default"/>
      </w:rPr>
    </w:lvl>
    <w:lvl w:ilvl="7" w:tplc="107CAC2C" w:tentative="1">
      <w:start w:val="1"/>
      <w:numFmt w:val="bullet"/>
      <w:lvlText w:val="o"/>
      <w:lvlJc w:val="left"/>
      <w:pPr>
        <w:ind w:left="5960" w:hanging="360"/>
      </w:pPr>
      <w:rPr>
        <w:rFonts w:ascii="Courier New" w:hAnsi="Courier New" w:cs="Courier New" w:hint="default"/>
      </w:rPr>
    </w:lvl>
    <w:lvl w:ilvl="8" w:tplc="BE02009A" w:tentative="1">
      <w:start w:val="1"/>
      <w:numFmt w:val="bullet"/>
      <w:lvlText w:val=""/>
      <w:lvlJc w:val="left"/>
      <w:pPr>
        <w:ind w:left="6680" w:hanging="360"/>
      </w:pPr>
      <w:rPr>
        <w:rFonts w:ascii="Wingdings" w:hAnsi="Wingdings" w:hint="default"/>
      </w:rPr>
    </w:lvl>
  </w:abstractNum>
  <w:abstractNum w:abstractNumId="32" w15:restartNumberingAfterBreak="0">
    <w:nsid w:val="3D4C40FF"/>
    <w:multiLevelType w:val="hybridMultilevel"/>
    <w:tmpl w:val="EAAE981E"/>
    <w:lvl w:ilvl="0" w:tplc="D7601200">
      <w:start w:val="1"/>
      <w:numFmt w:val="decimal"/>
      <w:lvlText w:val="%1."/>
      <w:lvlJc w:val="left"/>
      <w:pPr>
        <w:ind w:left="360" w:hanging="360"/>
      </w:pPr>
      <w:rPr>
        <w:rFonts w:hint="default"/>
      </w:rPr>
    </w:lvl>
    <w:lvl w:ilvl="1" w:tplc="FA10DD94" w:tentative="1">
      <w:start w:val="1"/>
      <w:numFmt w:val="lowerLetter"/>
      <w:lvlText w:val="%2."/>
      <w:lvlJc w:val="left"/>
      <w:pPr>
        <w:ind w:left="1080" w:hanging="360"/>
      </w:pPr>
    </w:lvl>
    <w:lvl w:ilvl="2" w:tplc="F51A6660" w:tentative="1">
      <w:start w:val="1"/>
      <w:numFmt w:val="lowerRoman"/>
      <w:lvlText w:val="%3."/>
      <w:lvlJc w:val="right"/>
      <w:pPr>
        <w:ind w:left="1800" w:hanging="180"/>
      </w:pPr>
    </w:lvl>
    <w:lvl w:ilvl="3" w:tplc="EBFCC46E" w:tentative="1">
      <w:start w:val="1"/>
      <w:numFmt w:val="decimal"/>
      <w:lvlText w:val="%4."/>
      <w:lvlJc w:val="left"/>
      <w:pPr>
        <w:ind w:left="2520" w:hanging="360"/>
      </w:pPr>
    </w:lvl>
    <w:lvl w:ilvl="4" w:tplc="309ACBB4" w:tentative="1">
      <w:start w:val="1"/>
      <w:numFmt w:val="lowerLetter"/>
      <w:lvlText w:val="%5."/>
      <w:lvlJc w:val="left"/>
      <w:pPr>
        <w:ind w:left="3240" w:hanging="360"/>
      </w:pPr>
    </w:lvl>
    <w:lvl w:ilvl="5" w:tplc="61208482" w:tentative="1">
      <w:start w:val="1"/>
      <w:numFmt w:val="lowerRoman"/>
      <w:lvlText w:val="%6."/>
      <w:lvlJc w:val="right"/>
      <w:pPr>
        <w:ind w:left="3960" w:hanging="180"/>
      </w:pPr>
    </w:lvl>
    <w:lvl w:ilvl="6" w:tplc="06483EE0" w:tentative="1">
      <w:start w:val="1"/>
      <w:numFmt w:val="decimal"/>
      <w:lvlText w:val="%7."/>
      <w:lvlJc w:val="left"/>
      <w:pPr>
        <w:ind w:left="4680" w:hanging="360"/>
      </w:pPr>
    </w:lvl>
    <w:lvl w:ilvl="7" w:tplc="A4B43CFA" w:tentative="1">
      <w:start w:val="1"/>
      <w:numFmt w:val="lowerLetter"/>
      <w:lvlText w:val="%8."/>
      <w:lvlJc w:val="left"/>
      <w:pPr>
        <w:ind w:left="5400" w:hanging="360"/>
      </w:pPr>
    </w:lvl>
    <w:lvl w:ilvl="8" w:tplc="9DE85436" w:tentative="1">
      <w:start w:val="1"/>
      <w:numFmt w:val="lowerRoman"/>
      <w:lvlText w:val="%9."/>
      <w:lvlJc w:val="right"/>
      <w:pPr>
        <w:ind w:left="6120" w:hanging="180"/>
      </w:pPr>
    </w:lvl>
  </w:abstractNum>
  <w:abstractNum w:abstractNumId="33" w15:restartNumberingAfterBreak="0">
    <w:nsid w:val="3FB13A6C"/>
    <w:multiLevelType w:val="multilevel"/>
    <w:tmpl w:val="E6ECAF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434A2014"/>
    <w:multiLevelType w:val="multilevel"/>
    <w:tmpl w:val="906AD9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4390520"/>
    <w:multiLevelType w:val="hybridMultilevel"/>
    <w:tmpl w:val="6186BEB2"/>
    <w:lvl w:ilvl="0" w:tplc="60DC7270">
      <w:start w:val="1"/>
      <w:numFmt w:val="decimal"/>
      <w:lvlText w:val="%1."/>
      <w:lvlJc w:val="left"/>
      <w:pPr>
        <w:ind w:left="360" w:hanging="360"/>
      </w:pPr>
      <w:rPr>
        <w:rFonts w:hint="default"/>
      </w:rPr>
    </w:lvl>
    <w:lvl w:ilvl="1" w:tplc="D574854A" w:tentative="1">
      <w:start w:val="1"/>
      <w:numFmt w:val="lowerLetter"/>
      <w:lvlText w:val="%2."/>
      <w:lvlJc w:val="left"/>
      <w:pPr>
        <w:ind w:left="1080" w:hanging="360"/>
      </w:pPr>
    </w:lvl>
    <w:lvl w:ilvl="2" w:tplc="CB840B6C" w:tentative="1">
      <w:start w:val="1"/>
      <w:numFmt w:val="lowerRoman"/>
      <w:lvlText w:val="%3."/>
      <w:lvlJc w:val="right"/>
      <w:pPr>
        <w:ind w:left="1800" w:hanging="180"/>
      </w:pPr>
    </w:lvl>
    <w:lvl w:ilvl="3" w:tplc="8AA2D224" w:tentative="1">
      <w:start w:val="1"/>
      <w:numFmt w:val="decimal"/>
      <w:lvlText w:val="%4."/>
      <w:lvlJc w:val="left"/>
      <w:pPr>
        <w:ind w:left="2520" w:hanging="360"/>
      </w:pPr>
    </w:lvl>
    <w:lvl w:ilvl="4" w:tplc="3C0AD33E" w:tentative="1">
      <w:start w:val="1"/>
      <w:numFmt w:val="lowerLetter"/>
      <w:lvlText w:val="%5."/>
      <w:lvlJc w:val="left"/>
      <w:pPr>
        <w:ind w:left="3240" w:hanging="360"/>
      </w:pPr>
    </w:lvl>
    <w:lvl w:ilvl="5" w:tplc="940CFF32" w:tentative="1">
      <w:start w:val="1"/>
      <w:numFmt w:val="lowerRoman"/>
      <w:lvlText w:val="%6."/>
      <w:lvlJc w:val="right"/>
      <w:pPr>
        <w:ind w:left="3960" w:hanging="180"/>
      </w:pPr>
    </w:lvl>
    <w:lvl w:ilvl="6" w:tplc="EEA85808" w:tentative="1">
      <w:start w:val="1"/>
      <w:numFmt w:val="decimal"/>
      <w:lvlText w:val="%7."/>
      <w:lvlJc w:val="left"/>
      <w:pPr>
        <w:ind w:left="4680" w:hanging="360"/>
      </w:pPr>
    </w:lvl>
    <w:lvl w:ilvl="7" w:tplc="BADAE65E" w:tentative="1">
      <w:start w:val="1"/>
      <w:numFmt w:val="lowerLetter"/>
      <w:lvlText w:val="%8."/>
      <w:lvlJc w:val="left"/>
      <w:pPr>
        <w:ind w:left="5400" w:hanging="360"/>
      </w:pPr>
    </w:lvl>
    <w:lvl w:ilvl="8" w:tplc="667E5796" w:tentative="1">
      <w:start w:val="1"/>
      <w:numFmt w:val="lowerRoman"/>
      <w:lvlText w:val="%9."/>
      <w:lvlJc w:val="right"/>
      <w:pPr>
        <w:ind w:left="6120" w:hanging="180"/>
      </w:pPr>
    </w:lvl>
  </w:abstractNum>
  <w:abstractNum w:abstractNumId="36" w15:restartNumberingAfterBreak="0">
    <w:nsid w:val="47E4451A"/>
    <w:multiLevelType w:val="hybridMultilevel"/>
    <w:tmpl w:val="EBDA8B3C"/>
    <w:lvl w:ilvl="0" w:tplc="685E6678">
      <w:start w:val="1"/>
      <w:numFmt w:val="bullet"/>
      <w:lvlText w:val=""/>
      <w:lvlJc w:val="left"/>
      <w:pPr>
        <w:ind w:left="720" w:hanging="360"/>
      </w:pPr>
      <w:rPr>
        <w:rFonts w:ascii="Wingdings" w:hAnsi="Wingdings" w:hint="default"/>
      </w:rPr>
    </w:lvl>
    <w:lvl w:ilvl="1" w:tplc="A59CE37A">
      <w:start w:val="1"/>
      <w:numFmt w:val="lowerLetter"/>
      <w:lvlText w:val="%2."/>
      <w:lvlJc w:val="left"/>
      <w:pPr>
        <w:ind w:left="360" w:hanging="360"/>
      </w:pPr>
      <w:rPr>
        <w:rFonts w:ascii="Times New Roman" w:eastAsiaTheme="minorHAnsi" w:hAnsi="Times New Roman" w:cs="Times New Roman"/>
      </w:rPr>
    </w:lvl>
    <w:lvl w:ilvl="2" w:tplc="80BC1B9E">
      <w:start w:val="1"/>
      <w:numFmt w:val="decimal"/>
      <w:lvlText w:val="%3."/>
      <w:lvlJc w:val="left"/>
      <w:pPr>
        <w:ind w:left="2340" w:hanging="360"/>
      </w:pPr>
    </w:lvl>
    <w:lvl w:ilvl="3" w:tplc="FF6C63D6" w:tentative="1">
      <w:start w:val="1"/>
      <w:numFmt w:val="decimal"/>
      <w:lvlText w:val="%4."/>
      <w:lvlJc w:val="left"/>
      <w:pPr>
        <w:ind w:left="2880" w:hanging="360"/>
      </w:pPr>
    </w:lvl>
    <w:lvl w:ilvl="4" w:tplc="6778F078" w:tentative="1">
      <w:start w:val="1"/>
      <w:numFmt w:val="lowerLetter"/>
      <w:lvlText w:val="%5."/>
      <w:lvlJc w:val="left"/>
      <w:pPr>
        <w:ind w:left="3600" w:hanging="360"/>
      </w:pPr>
    </w:lvl>
    <w:lvl w:ilvl="5" w:tplc="C5A005AA" w:tentative="1">
      <w:start w:val="1"/>
      <w:numFmt w:val="lowerRoman"/>
      <w:lvlText w:val="%6."/>
      <w:lvlJc w:val="right"/>
      <w:pPr>
        <w:ind w:left="4320" w:hanging="180"/>
      </w:pPr>
    </w:lvl>
    <w:lvl w:ilvl="6" w:tplc="9D0C6C1A" w:tentative="1">
      <w:start w:val="1"/>
      <w:numFmt w:val="decimal"/>
      <w:lvlText w:val="%7."/>
      <w:lvlJc w:val="left"/>
      <w:pPr>
        <w:ind w:left="5040" w:hanging="360"/>
      </w:pPr>
    </w:lvl>
    <w:lvl w:ilvl="7" w:tplc="8B28EB9A" w:tentative="1">
      <w:start w:val="1"/>
      <w:numFmt w:val="lowerLetter"/>
      <w:lvlText w:val="%8."/>
      <w:lvlJc w:val="left"/>
      <w:pPr>
        <w:ind w:left="5760" w:hanging="360"/>
      </w:pPr>
    </w:lvl>
    <w:lvl w:ilvl="8" w:tplc="16A64D50" w:tentative="1">
      <w:start w:val="1"/>
      <w:numFmt w:val="lowerRoman"/>
      <w:lvlText w:val="%9."/>
      <w:lvlJc w:val="right"/>
      <w:pPr>
        <w:ind w:left="6480" w:hanging="180"/>
      </w:pPr>
    </w:lvl>
  </w:abstractNum>
  <w:abstractNum w:abstractNumId="37" w15:restartNumberingAfterBreak="0">
    <w:nsid w:val="4A1B2589"/>
    <w:multiLevelType w:val="hybridMultilevel"/>
    <w:tmpl w:val="5F688E4E"/>
    <w:lvl w:ilvl="0" w:tplc="489E5500">
      <w:start w:val="1"/>
      <w:numFmt w:val="bullet"/>
      <w:lvlText w:val=""/>
      <w:lvlJc w:val="left"/>
      <w:pPr>
        <w:ind w:left="360" w:hanging="360"/>
      </w:pPr>
      <w:rPr>
        <w:rFonts w:ascii="Symbol" w:hAnsi="Symbol" w:hint="default"/>
      </w:rPr>
    </w:lvl>
    <w:lvl w:ilvl="1" w:tplc="79E0F43C" w:tentative="1">
      <w:start w:val="1"/>
      <w:numFmt w:val="bullet"/>
      <w:lvlText w:val="o"/>
      <w:lvlJc w:val="left"/>
      <w:pPr>
        <w:ind w:left="1080" w:hanging="360"/>
      </w:pPr>
      <w:rPr>
        <w:rFonts w:ascii="Courier New" w:hAnsi="Courier New" w:cs="Courier New" w:hint="default"/>
      </w:rPr>
    </w:lvl>
    <w:lvl w:ilvl="2" w:tplc="5C36DCD6" w:tentative="1">
      <w:start w:val="1"/>
      <w:numFmt w:val="bullet"/>
      <w:lvlText w:val=""/>
      <w:lvlJc w:val="left"/>
      <w:pPr>
        <w:ind w:left="1800" w:hanging="360"/>
      </w:pPr>
      <w:rPr>
        <w:rFonts w:ascii="Wingdings" w:hAnsi="Wingdings" w:hint="default"/>
      </w:rPr>
    </w:lvl>
    <w:lvl w:ilvl="3" w:tplc="930E0C44" w:tentative="1">
      <w:start w:val="1"/>
      <w:numFmt w:val="bullet"/>
      <w:lvlText w:val=""/>
      <w:lvlJc w:val="left"/>
      <w:pPr>
        <w:ind w:left="2520" w:hanging="360"/>
      </w:pPr>
      <w:rPr>
        <w:rFonts w:ascii="Symbol" w:hAnsi="Symbol" w:hint="default"/>
      </w:rPr>
    </w:lvl>
    <w:lvl w:ilvl="4" w:tplc="F09C188E" w:tentative="1">
      <w:start w:val="1"/>
      <w:numFmt w:val="bullet"/>
      <w:lvlText w:val="o"/>
      <w:lvlJc w:val="left"/>
      <w:pPr>
        <w:ind w:left="3240" w:hanging="360"/>
      </w:pPr>
      <w:rPr>
        <w:rFonts w:ascii="Courier New" w:hAnsi="Courier New" w:cs="Courier New" w:hint="default"/>
      </w:rPr>
    </w:lvl>
    <w:lvl w:ilvl="5" w:tplc="536CB0CA" w:tentative="1">
      <w:start w:val="1"/>
      <w:numFmt w:val="bullet"/>
      <w:lvlText w:val=""/>
      <w:lvlJc w:val="left"/>
      <w:pPr>
        <w:ind w:left="3960" w:hanging="360"/>
      </w:pPr>
      <w:rPr>
        <w:rFonts w:ascii="Wingdings" w:hAnsi="Wingdings" w:hint="default"/>
      </w:rPr>
    </w:lvl>
    <w:lvl w:ilvl="6" w:tplc="D73CA0F6" w:tentative="1">
      <w:start w:val="1"/>
      <w:numFmt w:val="bullet"/>
      <w:lvlText w:val=""/>
      <w:lvlJc w:val="left"/>
      <w:pPr>
        <w:ind w:left="4680" w:hanging="360"/>
      </w:pPr>
      <w:rPr>
        <w:rFonts w:ascii="Symbol" w:hAnsi="Symbol" w:hint="default"/>
      </w:rPr>
    </w:lvl>
    <w:lvl w:ilvl="7" w:tplc="9A36B856" w:tentative="1">
      <w:start w:val="1"/>
      <w:numFmt w:val="bullet"/>
      <w:lvlText w:val="o"/>
      <w:lvlJc w:val="left"/>
      <w:pPr>
        <w:ind w:left="5400" w:hanging="360"/>
      </w:pPr>
      <w:rPr>
        <w:rFonts w:ascii="Courier New" w:hAnsi="Courier New" w:cs="Courier New" w:hint="default"/>
      </w:rPr>
    </w:lvl>
    <w:lvl w:ilvl="8" w:tplc="57C246B6" w:tentative="1">
      <w:start w:val="1"/>
      <w:numFmt w:val="bullet"/>
      <w:lvlText w:val=""/>
      <w:lvlJc w:val="left"/>
      <w:pPr>
        <w:ind w:left="6120" w:hanging="360"/>
      </w:pPr>
      <w:rPr>
        <w:rFonts w:ascii="Wingdings" w:hAnsi="Wingdings" w:hint="default"/>
      </w:rPr>
    </w:lvl>
  </w:abstractNum>
  <w:abstractNum w:abstractNumId="38" w15:restartNumberingAfterBreak="0">
    <w:nsid w:val="4B9E24B5"/>
    <w:multiLevelType w:val="hybridMultilevel"/>
    <w:tmpl w:val="B7280998"/>
    <w:lvl w:ilvl="0" w:tplc="D75C7804">
      <w:start w:val="1"/>
      <w:numFmt w:val="decimal"/>
      <w:lvlText w:val="%1."/>
      <w:lvlJc w:val="left"/>
      <w:pPr>
        <w:ind w:left="360" w:hanging="360"/>
      </w:pPr>
      <w:rPr>
        <w:rFonts w:hint="default"/>
      </w:rPr>
    </w:lvl>
    <w:lvl w:ilvl="1" w:tplc="A0764CD2" w:tentative="1">
      <w:start w:val="1"/>
      <w:numFmt w:val="lowerLetter"/>
      <w:lvlText w:val="%2."/>
      <w:lvlJc w:val="left"/>
      <w:pPr>
        <w:ind w:left="1080" w:hanging="360"/>
      </w:pPr>
    </w:lvl>
    <w:lvl w:ilvl="2" w:tplc="782817C4" w:tentative="1">
      <w:start w:val="1"/>
      <w:numFmt w:val="lowerRoman"/>
      <w:lvlText w:val="%3."/>
      <w:lvlJc w:val="right"/>
      <w:pPr>
        <w:ind w:left="1800" w:hanging="180"/>
      </w:pPr>
    </w:lvl>
    <w:lvl w:ilvl="3" w:tplc="19E4BB62" w:tentative="1">
      <w:start w:val="1"/>
      <w:numFmt w:val="decimal"/>
      <w:lvlText w:val="%4."/>
      <w:lvlJc w:val="left"/>
      <w:pPr>
        <w:ind w:left="2520" w:hanging="360"/>
      </w:pPr>
    </w:lvl>
    <w:lvl w:ilvl="4" w:tplc="142C5BDC" w:tentative="1">
      <w:start w:val="1"/>
      <w:numFmt w:val="lowerLetter"/>
      <w:lvlText w:val="%5."/>
      <w:lvlJc w:val="left"/>
      <w:pPr>
        <w:ind w:left="3240" w:hanging="360"/>
      </w:pPr>
    </w:lvl>
    <w:lvl w:ilvl="5" w:tplc="873A3E7C" w:tentative="1">
      <w:start w:val="1"/>
      <w:numFmt w:val="lowerRoman"/>
      <w:lvlText w:val="%6."/>
      <w:lvlJc w:val="right"/>
      <w:pPr>
        <w:ind w:left="3960" w:hanging="180"/>
      </w:pPr>
    </w:lvl>
    <w:lvl w:ilvl="6" w:tplc="A8CC42D0" w:tentative="1">
      <w:start w:val="1"/>
      <w:numFmt w:val="decimal"/>
      <w:lvlText w:val="%7."/>
      <w:lvlJc w:val="left"/>
      <w:pPr>
        <w:ind w:left="4680" w:hanging="360"/>
      </w:pPr>
    </w:lvl>
    <w:lvl w:ilvl="7" w:tplc="892E3354" w:tentative="1">
      <w:start w:val="1"/>
      <w:numFmt w:val="lowerLetter"/>
      <w:lvlText w:val="%8."/>
      <w:lvlJc w:val="left"/>
      <w:pPr>
        <w:ind w:left="5400" w:hanging="360"/>
      </w:pPr>
    </w:lvl>
    <w:lvl w:ilvl="8" w:tplc="6D584D40" w:tentative="1">
      <w:start w:val="1"/>
      <w:numFmt w:val="lowerRoman"/>
      <w:lvlText w:val="%9."/>
      <w:lvlJc w:val="right"/>
      <w:pPr>
        <w:ind w:left="6120" w:hanging="180"/>
      </w:pPr>
    </w:lvl>
  </w:abstractNum>
  <w:abstractNum w:abstractNumId="39" w15:restartNumberingAfterBreak="0">
    <w:nsid w:val="4CD3105D"/>
    <w:multiLevelType w:val="hybridMultilevel"/>
    <w:tmpl w:val="FE72276C"/>
    <w:lvl w:ilvl="0" w:tplc="102E0E4E">
      <w:start w:val="1"/>
      <w:numFmt w:val="decimal"/>
      <w:lvlText w:val="%1."/>
      <w:lvlJc w:val="left"/>
      <w:pPr>
        <w:ind w:left="360" w:hanging="360"/>
      </w:pPr>
    </w:lvl>
    <w:lvl w:ilvl="1" w:tplc="369443B4">
      <w:start w:val="1"/>
      <w:numFmt w:val="lowerLetter"/>
      <w:lvlText w:val="%2."/>
      <w:lvlJc w:val="left"/>
      <w:pPr>
        <w:ind w:left="1080" w:hanging="360"/>
      </w:pPr>
    </w:lvl>
    <w:lvl w:ilvl="2" w:tplc="B854F390" w:tentative="1">
      <w:start w:val="1"/>
      <w:numFmt w:val="lowerRoman"/>
      <w:lvlText w:val="%3."/>
      <w:lvlJc w:val="right"/>
      <w:pPr>
        <w:ind w:left="1800" w:hanging="180"/>
      </w:pPr>
    </w:lvl>
    <w:lvl w:ilvl="3" w:tplc="9E640C2E" w:tentative="1">
      <w:start w:val="1"/>
      <w:numFmt w:val="decimal"/>
      <w:lvlText w:val="%4."/>
      <w:lvlJc w:val="left"/>
      <w:pPr>
        <w:ind w:left="2520" w:hanging="360"/>
      </w:pPr>
    </w:lvl>
    <w:lvl w:ilvl="4" w:tplc="8DB6EED6" w:tentative="1">
      <w:start w:val="1"/>
      <w:numFmt w:val="lowerLetter"/>
      <w:lvlText w:val="%5."/>
      <w:lvlJc w:val="left"/>
      <w:pPr>
        <w:ind w:left="3240" w:hanging="360"/>
      </w:pPr>
    </w:lvl>
    <w:lvl w:ilvl="5" w:tplc="0E5AE298" w:tentative="1">
      <w:start w:val="1"/>
      <w:numFmt w:val="lowerRoman"/>
      <w:lvlText w:val="%6."/>
      <w:lvlJc w:val="right"/>
      <w:pPr>
        <w:ind w:left="3960" w:hanging="180"/>
      </w:pPr>
    </w:lvl>
    <w:lvl w:ilvl="6" w:tplc="6602E5AE" w:tentative="1">
      <w:start w:val="1"/>
      <w:numFmt w:val="decimal"/>
      <w:lvlText w:val="%7."/>
      <w:lvlJc w:val="left"/>
      <w:pPr>
        <w:ind w:left="4680" w:hanging="360"/>
      </w:pPr>
    </w:lvl>
    <w:lvl w:ilvl="7" w:tplc="F56AA456" w:tentative="1">
      <w:start w:val="1"/>
      <w:numFmt w:val="lowerLetter"/>
      <w:lvlText w:val="%8."/>
      <w:lvlJc w:val="left"/>
      <w:pPr>
        <w:ind w:left="5400" w:hanging="360"/>
      </w:pPr>
    </w:lvl>
    <w:lvl w:ilvl="8" w:tplc="28D029DC" w:tentative="1">
      <w:start w:val="1"/>
      <w:numFmt w:val="lowerRoman"/>
      <w:lvlText w:val="%9."/>
      <w:lvlJc w:val="right"/>
      <w:pPr>
        <w:ind w:left="6120" w:hanging="180"/>
      </w:pPr>
    </w:lvl>
  </w:abstractNum>
  <w:abstractNum w:abstractNumId="40" w15:restartNumberingAfterBreak="0">
    <w:nsid w:val="4E956BA0"/>
    <w:multiLevelType w:val="hybridMultilevel"/>
    <w:tmpl w:val="6132168E"/>
    <w:lvl w:ilvl="0" w:tplc="9B2453BA">
      <w:start w:val="1"/>
      <w:numFmt w:val="decimal"/>
      <w:lvlText w:val="%1."/>
      <w:lvlJc w:val="left"/>
      <w:pPr>
        <w:ind w:left="720" w:hanging="720"/>
      </w:pPr>
      <w:rPr>
        <w:rFonts w:hint="default"/>
      </w:rPr>
    </w:lvl>
    <w:lvl w:ilvl="1" w:tplc="96F6F220" w:tentative="1">
      <w:start w:val="1"/>
      <w:numFmt w:val="lowerLetter"/>
      <w:lvlText w:val="%2."/>
      <w:lvlJc w:val="left"/>
      <w:pPr>
        <w:ind w:left="1080" w:hanging="360"/>
      </w:pPr>
    </w:lvl>
    <w:lvl w:ilvl="2" w:tplc="40EE381E" w:tentative="1">
      <w:start w:val="1"/>
      <w:numFmt w:val="lowerRoman"/>
      <w:lvlText w:val="%3."/>
      <w:lvlJc w:val="right"/>
      <w:pPr>
        <w:ind w:left="1800" w:hanging="180"/>
      </w:pPr>
    </w:lvl>
    <w:lvl w:ilvl="3" w:tplc="638EC474" w:tentative="1">
      <w:start w:val="1"/>
      <w:numFmt w:val="decimal"/>
      <w:lvlText w:val="%4."/>
      <w:lvlJc w:val="left"/>
      <w:pPr>
        <w:ind w:left="2520" w:hanging="360"/>
      </w:pPr>
    </w:lvl>
    <w:lvl w:ilvl="4" w:tplc="36FA8842" w:tentative="1">
      <w:start w:val="1"/>
      <w:numFmt w:val="lowerLetter"/>
      <w:lvlText w:val="%5."/>
      <w:lvlJc w:val="left"/>
      <w:pPr>
        <w:ind w:left="3240" w:hanging="360"/>
      </w:pPr>
    </w:lvl>
    <w:lvl w:ilvl="5" w:tplc="E69209DE" w:tentative="1">
      <w:start w:val="1"/>
      <w:numFmt w:val="lowerRoman"/>
      <w:lvlText w:val="%6."/>
      <w:lvlJc w:val="right"/>
      <w:pPr>
        <w:ind w:left="3960" w:hanging="180"/>
      </w:pPr>
    </w:lvl>
    <w:lvl w:ilvl="6" w:tplc="D27A3672" w:tentative="1">
      <w:start w:val="1"/>
      <w:numFmt w:val="decimal"/>
      <w:lvlText w:val="%7."/>
      <w:lvlJc w:val="left"/>
      <w:pPr>
        <w:ind w:left="4680" w:hanging="360"/>
      </w:pPr>
    </w:lvl>
    <w:lvl w:ilvl="7" w:tplc="30A20F2A" w:tentative="1">
      <w:start w:val="1"/>
      <w:numFmt w:val="lowerLetter"/>
      <w:lvlText w:val="%8."/>
      <w:lvlJc w:val="left"/>
      <w:pPr>
        <w:ind w:left="5400" w:hanging="360"/>
      </w:pPr>
    </w:lvl>
    <w:lvl w:ilvl="8" w:tplc="362C88C4" w:tentative="1">
      <w:start w:val="1"/>
      <w:numFmt w:val="lowerRoman"/>
      <w:lvlText w:val="%9."/>
      <w:lvlJc w:val="right"/>
      <w:pPr>
        <w:ind w:left="6120" w:hanging="180"/>
      </w:pPr>
    </w:lvl>
  </w:abstractNum>
  <w:abstractNum w:abstractNumId="41" w15:restartNumberingAfterBreak="0">
    <w:nsid w:val="51A314CC"/>
    <w:multiLevelType w:val="hybridMultilevel"/>
    <w:tmpl w:val="DD44FECC"/>
    <w:lvl w:ilvl="0" w:tplc="16C4AA0E">
      <w:start w:val="1"/>
      <w:numFmt w:val="decimal"/>
      <w:lvlText w:val="%1."/>
      <w:lvlJc w:val="left"/>
      <w:pPr>
        <w:ind w:left="360" w:hanging="360"/>
      </w:pPr>
      <w:rPr>
        <w:rFonts w:hint="default"/>
      </w:rPr>
    </w:lvl>
    <w:lvl w:ilvl="1" w:tplc="791A3AE2" w:tentative="1">
      <w:start w:val="1"/>
      <w:numFmt w:val="lowerLetter"/>
      <w:lvlText w:val="%2."/>
      <w:lvlJc w:val="left"/>
      <w:pPr>
        <w:ind w:left="1080" w:hanging="360"/>
      </w:pPr>
    </w:lvl>
    <w:lvl w:ilvl="2" w:tplc="5BA88E44" w:tentative="1">
      <w:start w:val="1"/>
      <w:numFmt w:val="lowerRoman"/>
      <w:lvlText w:val="%3."/>
      <w:lvlJc w:val="right"/>
      <w:pPr>
        <w:ind w:left="1800" w:hanging="180"/>
      </w:pPr>
    </w:lvl>
    <w:lvl w:ilvl="3" w:tplc="47388C2A" w:tentative="1">
      <w:start w:val="1"/>
      <w:numFmt w:val="decimal"/>
      <w:lvlText w:val="%4."/>
      <w:lvlJc w:val="left"/>
      <w:pPr>
        <w:ind w:left="2520" w:hanging="360"/>
      </w:pPr>
    </w:lvl>
    <w:lvl w:ilvl="4" w:tplc="8E2E05B8" w:tentative="1">
      <w:start w:val="1"/>
      <w:numFmt w:val="lowerLetter"/>
      <w:lvlText w:val="%5."/>
      <w:lvlJc w:val="left"/>
      <w:pPr>
        <w:ind w:left="3240" w:hanging="360"/>
      </w:pPr>
    </w:lvl>
    <w:lvl w:ilvl="5" w:tplc="D0422892" w:tentative="1">
      <w:start w:val="1"/>
      <w:numFmt w:val="lowerRoman"/>
      <w:lvlText w:val="%6."/>
      <w:lvlJc w:val="right"/>
      <w:pPr>
        <w:ind w:left="3960" w:hanging="180"/>
      </w:pPr>
    </w:lvl>
    <w:lvl w:ilvl="6" w:tplc="F732CFAA" w:tentative="1">
      <w:start w:val="1"/>
      <w:numFmt w:val="decimal"/>
      <w:lvlText w:val="%7."/>
      <w:lvlJc w:val="left"/>
      <w:pPr>
        <w:ind w:left="4680" w:hanging="360"/>
      </w:pPr>
    </w:lvl>
    <w:lvl w:ilvl="7" w:tplc="5F9A06A4" w:tentative="1">
      <w:start w:val="1"/>
      <w:numFmt w:val="lowerLetter"/>
      <w:lvlText w:val="%8."/>
      <w:lvlJc w:val="left"/>
      <w:pPr>
        <w:ind w:left="5400" w:hanging="360"/>
      </w:pPr>
    </w:lvl>
    <w:lvl w:ilvl="8" w:tplc="38E4CAD4" w:tentative="1">
      <w:start w:val="1"/>
      <w:numFmt w:val="lowerRoman"/>
      <w:lvlText w:val="%9."/>
      <w:lvlJc w:val="right"/>
      <w:pPr>
        <w:ind w:left="6120" w:hanging="180"/>
      </w:pPr>
    </w:lvl>
  </w:abstractNum>
  <w:abstractNum w:abstractNumId="42" w15:restartNumberingAfterBreak="0">
    <w:nsid w:val="53622DC0"/>
    <w:multiLevelType w:val="hybridMultilevel"/>
    <w:tmpl w:val="B7280998"/>
    <w:lvl w:ilvl="0" w:tplc="21A0511A">
      <w:start w:val="1"/>
      <w:numFmt w:val="decimal"/>
      <w:lvlText w:val="%1."/>
      <w:lvlJc w:val="left"/>
      <w:pPr>
        <w:ind w:left="360" w:hanging="360"/>
      </w:pPr>
      <w:rPr>
        <w:rFonts w:hint="default"/>
      </w:rPr>
    </w:lvl>
    <w:lvl w:ilvl="1" w:tplc="B0149E6C" w:tentative="1">
      <w:start w:val="1"/>
      <w:numFmt w:val="lowerLetter"/>
      <w:lvlText w:val="%2."/>
      <w:lvlJc w:val="left"/>
      <w:pPr>
        <w:ind w:left="1080" w:hanging="360"/>
      </w:pPr>
    </w:lvl>
    <w:lvl w:ilvl="2" w:tplc="1FFA2C40" w:tentative="1">
      <w:start w:val="1"/>
      <w:numFmt w:val="lowerRoman"/>
      <w:lvlText w:val="%3."/>
      <w:lvlJc w:val="right"/>
      <w:pPr>
        <w:ind w:left="1800" w:hanging="180"/>
      </w:pPr>
    </w:lvl>
    <w:lvl w:ilvl="3" w:tplc="E216EC4C" w:tentative="1">
      <w:start w:val="1"/>
      <w:numFmt w:val="decimal"/>
      <w:lvlText w:val="%4."/>
      <w:lvlJc w:val="left"/>
      <w:pPr>
        <w:ind w:left="2520" w:hanging="360"/>
      </w:pPr>
    </w:lvl>
    <w:lvl w:ilvl="4" w:tplc="CD2E18B6" w:tentative="1">
      <w:start w:val="1"/>
      <w:numFmt w:val="lowerLetter"/>
      <w:lvlText w:val="%5."/>
      <w:lvlJc w:val="left"/>
      <w:pPr>
        <w:ind w:left="3240" w:hanging="360"/>
      </w:pPr>
    </w:lvl>
    <w:lvl w:ilvl="5" w:tplc="6A2802D2" w:tentative="1">
      <w:start w:val="1"/>
      <w:numFmt w:val="lowerRoman"/>
      <w:lvlText w:val="%6."/>
      <w:lvlJc w:val="right"/>
      <w:pPr>
        <w:ind w:left="3960" w:hanging="180"/>
      </w:pPr>
    </w:lvl>
    <w:lvl w:ilvl="6" w:tplc="A21A280C" w:tentative="1">
      <w:start w:val="1"/>
      <w:numFmt w:val="decimal"/>
      <w:lvlText w:val="%7."/>
      <w:lvlJc w:val="left"/>
      <w:pPr>
        <w:ind w:left="4680" w:hanging="360"/>
      </w:pPr>
    </w:lvl>
    <w:lvl w:ilvl="7" w:tplc="AB04424A" w:tentative="1">
      <w:start w:val="1"/>
      <w:numFmt w:val="lowerLetter"/>
      <w:lvlText w:val="%8."/>
      <w:lvlJc w:val="left"/>
      <w:pPr>
        <w:ind w:left="5400" w:hanging="360"/>
      </w:pPr>
    </w:lvl>
    <w:lvl w:ilvl="8" w:tplc="94364DC4" w:tentative="1">
      <w:start w:val="1"/>
      <w:numFmt w:val="lowerRoman"/>
      <w:lvlText w:val="%9."/>
      <w:lvlJc w:val="right"/>
      <w:pPr>
        <w:ind w:left="6120" w:hanging="180"/>
      </w:pPr>
    </w:lvl>
  </w:abstractNum>
  <w:abstractNum w:abstractNumId="43" w15:restartNumberingAfterBreak="0">
    <w:nsid w:val="570F1396"/>
    <w:multiLevelType w:val="multilevel"/>
    <w:tmpl w:val="207CC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7E81CF3"/>
    <w:multiLevelType w:val="multilevel"/>
    <w:tmpl w:val="ADBA63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59303C74"/>
    <w:multiLevelType w:val="hybridMultilevel"/>
    <w:tmpl w:val="D8BE7C3A"/>
    <w:lvl w:ilvl="0" w:tplc="CE087E9E">
      <w:start w:val="1"/>
      <w:numFmt w:val="bullet"/>
      <w:lvlText w:val=""/>
      <w:lvlJc w:val="left"/>
      <w:pPr>
        <w:ind w:left="360" w:hanging="360"/>
      </w:pPr>
      <w:rPr>
        <w:rFonts w:ascii="Symbol" w:hAnsi="Symbol" w:hint="default"/>
      </w:rPr>
    </w:lvl>
    <w:lvl w:ilvl="1" w:tplc="E7AA0712" w:tentative="1">
      <w:start w:val="1"/>
      <w:numFmt w:val="bullet"/>
      <w:lvlText w:val="o"/>
      <w:lvlJc w:val="left"/>
      <w:pPr>
        <w:ind w:left="1080" w:hanging="360"/>
      </w:pPr>
      <w:rPr>
        <w:rFonts w:ascii="Courier New" w:hAnsi="Courier New" w:cs="Courier New" w:hint="default"/>
      </w:rPr>
    </w:lvl>
    <w:lvl w:ilvl="2" w:tplc="8B54B0CE" w:tentative="1">
      <w:start w:val="1"/>
      <w:numFmt w:val="bullet"/>
      <w:lvlText w:val=""/>
      <w:lvlJc w:val="left"/>
      <w:pPr>
        <w:ind w:left="1800" w:hanging="360"/>
      </w:pPr>
      <w:rPr>
        <w:rFonts w:ascii="Wingdings" w:hAnsi="Wingdings" w:hint="default"/>
      </w:rPr>
    </w:lvl>
    <w:lvl w:ilvl="3" w:tplc="811ED36E" w:tentative="1">
      <w:start w:val="1"/>
      <w:numFmt w:val="bullet"/>
      <w:lvlText w:val=""/>
      <w:lvlJc w:val="left"/>
      <w:pPr>
        <w:ind w:left="2520" w:hanging="360"/>
      </w:pPr>
      <w:rPr>
        <w:rFonts w:ascii="Symbol" w:hAnsi="Symbol" w:hint="default"/>
      </w:rPr>
    </w:lvl>
    <w:lvl w:ilvl="4" w:tplc="DB1EABAA" w:tentative="1">
      <w:start w:val="1"/>
      <w:numFmt w:val="bullet"/>
      <w:lvlText w:val="o"/>
      <w:lvlJc w:val="left"/>
      <w:pPr>
        <w:ind w:left="3240" w:hanging="360"/>
      </w:pPr>
      <w:rPr>
        <w:rFonts w:ascii="Courier New" w:hAnsi="Courier New" w:cs="Courier New" w:hint="default"/>
      </w:rPr>
    </w:lvl>
    <w:lvl w:ilvl="5" w:tplc="4C6C5C02" w:tentative="1">
      <w:start w:val="1"/>
      <w:numFmt w:val="bullet"/>
      <w:lvlText w:val=""/>
      <w:lvlJc w:val="left"/>
      <w:pPr>
        <w:ind w:left="3960" w:hanging="360"/>
      </w:pPr>
      <w:rPr>
        <w:rFonts w:ascii="Wingdings" w:hAnsi="Wingdings" w:hint="default"/>
      </w:rPr>
    </w:lvl>
    <w:lvl w:ilvl="6" w:tplc="3210DEBE" w:tentative="1">
      <w:start w:val="1"/>
      <w:numFmt w:val="bullet"/>
      <w:lvlText w:val=""/>
      <w:lvlJc w:val="left"/>
      <w:pPr>
        <w:ind w:left="4680" w:hanging="360"/>
      </w:pPr>
      <w:rPr>
        <w:rFonts w:ascii="Symbol" w:hAnsi="Symbol" w:hint="default"/>
      </w:rPr>
    </w:lvl>
    <w:lvl w:ilvl="7" w:tplc="BFA6BCCA" w:tentative="1">
      <w:start w:val="1"/>
      <w:numFmt w:val="bullet"/>
      <w:lvlText w:val="o"/>
      <w:lvlJc w:val="left"/>
      <w:pPr>
        <w:ind w:left="5400" w:hanging="360"/>
      </w:pPr>
      <w:rPr>
        <w:rFonts w:ascii="Courier New" w:hAnsi="Courier New" w:cs="Courier New" w:hint="default"/>
      </w:rPr>
    </w:lvl>
    <w:lvl w:ilvl="8" w:tplc="1FCC2B2C" w:tentative="1">
      <w:start w:val="1"/>
      <w:numFmt w:val="bullet"/>
      <w:lvlText w:val=""/>
      <w:lvlJc w:val="left"/>
      <w:pPr>
        <w:ind w:left="6120" w:hanging="360"/>
      </w:pPr>
      <w:rPr>
        <w:rFonts w:ascii="Wingdings" w:hAnsi="Wingdings" w:hint="default"/>
      </w:rPr>
    </w:lvl>
  </w:abstractNum>
  <w:abstractNum w:abstractNumId="46" w15:restartNumberingAfterBreak="0">
    <w:nsid w:val="5AEA7DE0"/>
    <w:multiLevelType w:val="hybridMultilevel"/>
    <w:tmpl w:val="2EA25E36"/>
    <w:lvl w:ilvl="0" w:tplc="B238B4C4">
      <w:start w:val="1"/>
      <w:numFmt w:val="decimal"/>
      <w:lvlText w:val="%1."/>
      <w:lvlJc w:val="left"/>
      <w:pPr>
        <w:ind w:left="360" w:hanging="360"/>
      </w:pPr>
      <w:rPr>
        <w:rFonts w:hint="default"/>
      </w:rPr>
    </w:lvl>
    <w:lvl w:ilvl="1" w:tplc="323EC0A8" w:tentative="1">
      <w:start w:val="1"/>
      <w:numFmt w:val="lowerLetter"/>
      <w:lvlText w:val="%2."/>
      <w:lvlJc w:val="left"/>
      <w:pPr>
        <w:ind w:left="1080" w:hanging="360"/>
      </w:pPr>
    </w:lvl>
    <w:lvl w:ilvl="2" w:tplc="6186E9C8" w:tentative="1">
      <w:start w:val="1"/>
      <w:numFmt w:val="lowerRoman"/>
      <w:lvlText w:val="%3."/>
      <w:lvlJc w:val="right"/>
      <w:pPr>
        <w:ind w:left="1800" w:hanging="180"/>
      </w:pPr>
    </w:lvl>
    <w:lvl w:ilvl="3" w:tplc="28E2E420" w:tentative="1">
      <w:start w:val="1"/>
      <w:numFmt w:val="decimal"/>
      <w:lvlText w:val="%4."/>
      <w:lvlJc w:val="left"/>
      <w:pPr>
        <w:ind w:left="2520" w:hanging="360"/>
      </w:pPr>
    </w:lvl>
    <w:lvl w:ilvl="4" w:tplc="5FD4B722" w:tentative="1">
      <w:start w:val="1"/>
      <w:numFmt w:val="lowerLetter"/>
      <w:lvlText w:val="%5."/>
      <w:lvlJc w:val="left"/>
      <w:pPr>
        <w:ind w:left="3240" w:hanging="360"/>
      </w:pPr>
    </w:lvl>
    <w:lvl w:ilvl="5" w:tplc="2C1C90BE" w:tentative="1">
      <w:start w:val="1"/>
      <w:numFmt w:val="lowerRoman"/>
      <w:lvlText w:val="%6."/>
      <w:lvlJc w:val="right"/>
      <w:pPr>
        <w:ind w:left="3960" w:hanging="180"/>
      </w:pPr>
    </w:lvl>
    <w:lvl w:ilvl="6" w:tplc="41C2322E" w:tentative="1">
      <w:start w:val="1"/>
      <w:numFmt w:val="decimal"/>
      <w:lvlText w:val="%7."/>
      <w:lvlJc w:val="left"/>
      <w:pPr>
        <w:ind w:left="4680" w:hanging="360"/>
      </w:pPr>
    </w:lvl>
    <w:lvl w:ilvl="7" w:tplc="7E64400A" w:tentative="1">
      <w:start w:val="1"/>
      <w:numFmt w:val="lowerLetter"/>
      <w:lvlText w:val="%8."/>
      <w:lvlJc w:val="left"/>
      <w:pPr>
        <w:ind w:left="5400" w:hanging="360"/>
      </w:pPr>
    </w:lvl>
    <w:lvl w:ilvl="8" w:tplc="45A0950A" w:tentative="1">
      <w:start w:val="1"/>
      <w:numFmt w:val="lowerRoman"/>
      <w:lvlText w:val="%9."/>
      <w:lvlJc w:val="right"/>
      <w:pPr>
        <w:ind w:left="6120" w:hanging="180"/>
      </w:pPr>
    </w:lvl>
  </w:abstractNum>
  <w:abstractNum w:abstractNumId="47" w15:restartNumberingAfterBreak="0">
    <w:nsid w:val="5AF238ED"/>
    <w:multiLevelType w:val="hybridMultilevel"/>
    <w:tmpl w:val="32B25ACA"/>
    <w:lvl w:ilvl="0" w:tplc="0736E5AE">
      <w:start w:val="1"/>
      <w:numFmt w:val="decimal"/>
      <w:lvlText w:val="%1."/>
      <w:lvlJc w:val="left"/>
      <w:pPr>
        <w:ind w:left="360" w:hanging="360"/>
      </w:pPr>
    </w:lvl>
    <w:lvl w:ilvl="1" w:tplc="D6AAAFC2" w:tentative="1">
      <w:start w:val="1"/>
      <w:numFmt w:val="lowerLetter"/>
      <w:lvlText w:val="%2."/>
      <w:lvlJc w:val="left"/>
      <w:pPr>
        <w:ind w:left="1080" w:hanging="360"/>
      </w:pPr>
    </w:lvl>
    <w:lvl w:ilvl="2" w:tplc="4FC819A6" w:tentative="1">
      <w:start w:val="1"/>
      <w:numFmt w:val="lowerRoman"/>
      <w:lvlText w:val="%3."/>
      <w:lvlJc w:val="right"/>
      <w:pPr>
        <w:ind w:left="1800" w:hanging="180"/>
      </w:pPr>
    </w:lvl>
    <w:lvl w:ilvl="3" w:tplc="708ADA34" w:tentative="1">
      <w:start w:val="1"/>
      <w:numFmt w:val="decimal"/>
      <w:lvlText w:val="%4."/>
      <w:lvlJc w:val="left"/>
      <w:pPr>
        <w:ind w:left="2520" w:hanging="360"/>
      </w:pPr>
    </w:lvl>
    <w:lvl w:ilvl="4" w:tplc="A2B4798E" w:tentative="1">
      <w:start w:val="1"/>
      <w:numFmt w:val="lowerLetter"/>
      <w:lvlText w:val="%5."/>
      <w:lvlJc w:val="left"/>
      <w:pPr>
        <w:ind w:left="3240" w:hanging="360"/>
      </w:pPr>
    </w:lvl>
    <w:lvl w:ilvl="5" w:tplc="9F946DEA" w:tentative="1">
      <w:start w:val="1"/>
      <w:numFmt w:val="lowerRoman"/>
      <w:lvlText w:val="%6."/>
      <w:lvlJc w:val="right"/>
      <w:pPr>
        <w:ind w:left="3960" w:hanging="180"/>
      </w:pPr>
    </w:lvl>
    <w:lvl w:ilvl="6" w:tplc="323C75FC" w:tentative="1">
      <w:start w:val="1"/>
      <w:numFmt w:val="decimal"/>
      <w:lvlText w:val="%7."/>
      <w:lvlJc w:val="left"/>
      <w:pPr>
        <w:ind w:left="4680" w:hanging="360"/>
      </w:pPr>
    </w:lvl>
    <w:lvl w:ilvl="7" w:tplc="B6BAA81A" w:tentative="1">
      <w:start w:val="1"/>
      <w:numFmt w:val="lowerLetter"/>
      <w:lvlText w:val="%8."/>
      <w:lvlJc w:val="left"/>
      <w:pPr>
        <w:ind w:left="5400" w:hanging="360"/>
      </w:pPr>
    </w:lvl>
    <w:lvl w:ilvl="8" w:tplc="80BAF636" w:tentative="1">
      <w:start w:val="1"/>
      <w:numFmt w:val="lowerRoman"/>
      <w:lvlText w:val="%9."/>
      <w:lvlJc w:val="right"/>
      <w:pPr>
        <w:ind w:left="6120" w:hanging="180"/>
      </w:pPr>
    </w:lvl>
  </w:abstractNum>
  <w:abstractNum w:abstractNumId="48" w15:restartNumberingAfterBreak="0">
    <w:nsid w:val="5B4B12A0"/>
    <w:multiLevelType w:val="multilevel"/>
    <w:tmpl w:val="6E08C2B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5BDB3170"/>
    <w:multiLevelType w:val="hybridMultilevel"/>
    <w:tmpl w:val="759C768A"/>
    <w:lvl w:ilvl="0" w:tplc="0CA681E8">
      <w:start w:val="1"/>
      <w:numFmt w:val="decimal"/>
      <w:lvlText w:val="%1."/>
      <w:lvlJc w:val="left"/>
      <w:pPr>
        <w:ind w:left="360" w:hanging="360"/>
      </w:pPr>
      <w:rPr>
        <w:rFonts w:hint="default"/>
      </w:rPr>
    </w:lvl>
    <w:lvl w:ilvl="1" w:tplc="141E0BF0" w:tentative="1">
      <w:start w:val="1"/>
      <w:numFmt w:val="lowerLetter"/>
      <w:lvlText w:val="%2."/>
      <w:lvlJc w:val="left"/>
      <w:pPr>
        <w:ind w:left="1080" w:hanging="360"/>
      </w:pPr>
    </w:lvl>
    <w:lvl w:ilvl="2" w:tplc="699A98EC" w:tentative="1">
      <w:start w:val="1"/>
      <w:numFmt w:val="lowerRoman"/>
      <w:lvlText w:val="%3."/>
      <w:lvlJc w:val="right"/>
      <w:pPr>
        <w:ind w:left="1800" w:hanging="180"/>
      </w:pPr>
    </w:lvl>
    <w:lvl w:ilvl="3" w:tplc="304C4E38" w:tentative="1">
      <w:start w:val="1"/>
      <w:numFmt w:val="decimal"/>
      <w:lvlText w:val="%4."/>
      <w:lvlJc w:val="left"/>
      <w:pPr>
        <w:ind w:left="2520" w:hanging="360"/>
      </w:pPr>
    </w:lvl>
    <w:lvl w:ilvl="4" w:tplc="16A61E08" w:tentative="1">
      <w:start w:val="1"/>
      <w:numFmt w:val="lowerLetter"/>
      <w:lvlText w:val="%5."/>
      <w:lvlJc w:val="left"/>
      <w:pPr>
        <w:ind w:left="3240" w:hanging="360"/>
      </w:pPr>
    </w:lvl>
    <w:lvl w:ilvl="5" w:tplc="9DF658BA" w:tentative="1">
      <w:start w:val="1"/>
      <w:numFmt w:val="lowerRoman"/>
      <w:lvlText w:val="%6."/>
      <w:lvlJc w:val="right"/>
      <w:pPr>
        <w:ind w:left="3960" w:hanging="180"/>
      </w:pPr>
    </w:lvl>
    <w:lvl w:ilvl="6" w:tplc="4EC66B8A" w:tentative="1">
      <w:start w:val="1"/>
      <w:numFmt w:val="decimal"/>
      <w:lvlText w:val="%7."/>
      <w:lvlJc w:val="left"/>
      <w:pPr>
        <w:ind w:left="4680" w:hanging="360"/>
      </w:pPr>
    </w:lvl>
    <w:lvl w:ilvl="7" w:tplc="0ED08EB8" w:tentative="1">
      <w:start w:val="1"/>
      <w:numFmt w:val="lowerLetter"/>
      <w:lvlText w:val="%8."/>
      <w:lvlJc w:val="left"/>
      <w:pPr>
        <w:ind w:left="5400" w:hanging="360"/>
      </w:pPr>
    </w:lvl>
    <w:lvl w:ilvl="8" w:tplc="9D80DA6A" w:tentative="1">
      <w:start w:val="1"/>
      <w:numFmt w:val="lowerRoman"/>
      <w:lvlText w:val="%9."/>
      <w:lvlJc w:val="right"/>
      <w:pPr>
        <w:ind w:left="6120" w:hanging="180"/>
      </w:pPr>
    </w:lvl>
  </w:abstractNum>
  <w:abstractNum w:abstractNumId="50" w15:restartNumberingAfterBreak="0">
    <w:nsid w:val="6079D238"/>
    <w:multiLevelType w:val="hybridMultilevel"/>
    <w:tmpl w:val="FFFFFFFF"/>
    <w:lvl w:ilvl="0" w:tplc="44EC7A6E">
      <w:start w:val="1"/>
      <w:numFmt w:val="lowerLetter"/>
      <w:lvlText w:val=""/>
      <w:lvlJc w:val="left"/>
    </w:lvl>
    <w:lvl w:ilvl="1" w:tplc="456CCA7A">
      <w:numFmt w:val="decimal"/>
      <w:lvlText w:val=""/>
      <w:lvlJc w:val="left"/>
    </w:lvl>
    <w:lvl w:ilvl="2" w:tplc="3A0A0B0A">
      <w:numFmt w:val="decimal"/>
      <w:lvlText w:val=""/>
      <w:lvlJc w:val="left"/>
    </w:lvl>
    <w:lvl w:ilvl="3" w:tplc="BAFCDA16">
      <w:numFmt w:val="decimal"/>
      <w:lvlText w:val=""/>
      <w:lvlJc w:val="left"/>
    </w:lvl>
    <w:lvl w:ilvl="4" w:tplc="34C00458">
      <w:numFmt w:val="decimal"/>
      <w:lvlText w:val=""/>
      <w:lvlJc w:val="left"/>
    </w:lvl>
    <w:lvl w:ilvl="5" w:tplc="FE965024">
      <w:numFmt w:val="decimal"/>
      <w:lvlText w:val=""/>
      <w:lvlJc w:val="left"/>
    </w:lvl>
    <w:lvl w:ilvl="6" w:tplc="CB806622">
      <w:numFmt w:val="decimal"/>
      <w:lvlText w:val=""/>
      <w:lvlJc w:val="left"/>
    </w:lvl>
    <w:lvl w:ilvl="7" w:tplc="B67AF39C">
      <w:numFmt w:val="decimal"/>
      <w:lvlText w:val=""/>
      <w:lvlJc w:val="left"/>
    </w:lvl>
    <w:lvl w:ilvl="8" w:tplc="3E3C16BC">
      <w:numFmt w:val="decimal"/>
      <w:lvlText w:val=""/>
      <w:lvlJc w:val="left"/>
    </w:lvl>
  </w:abstractNum>
  <w:abstractNum w:abstractNumId="51" w15:restartNumberingAfterBreak="0">
    <w:nsid w:val="63207DE9"/>
    <w:multiLevelType w:val="hybridMultilevel"/>
    <w:tmpl w:val="3258A750"/>
    <w:lvl w:ilvl="0" w:tplc="3D904BA6">
      <w:numFmt w:val="bullet"/>
      <w:lvlText w:val="-"/>
      <w:lvlJc w:val="left"/>
      <w:pPr>
        <w:ind w:left="720" w:hanging="360"/>
      </w:pPr>
      <w:rPr>
        <w:rFonts w:ascii="Arial" w:eastAsiaTheme="minorHAnsi" w:hAnsi="Arial" w:cs="Arial" w:hint="default"/>
      </w:rPr>
    </w:lvl>
    <w:lvl w:ilvl="1" w:tplc="B6A45D62" w:tentative="1">
      <w:start w:val="1"/>
      <w:numFmt w:val="bullet"/>
      <w:lvlText w:val="o"/>
      <w:lvlJc w:val="left"/>
      <w:pPr>
        <w:ind w:left="1440" w:hanging="360"/>
      </w:pPr>
      <w:rPr>
        <w:rFonts w:ascii="Courier New" w:hAnsi="Courier New" w:cs="Courier New" w:hint="default"/>
      </w:rPr>
    </w:lvl>
    <w:lvl w:ilvl="2" w:tplc="16727DF6" w:tentative="1">
      <w:start w:val="1"/>
      <w:numFmt w:val="bullet"/>
      <w:lvlText w:val=""/>
      <w:lvlJc w:val="left"/>
      <w:pPr>
        <w:ind w:left="2160" w:hanging="360"/>
      </w:pPr>
      <w:rPr>
        <w:rFonts w:ascii="Wingdings" w:hAnsi="Wingdings" w:hint="default"/>
      </w:rPr>
    </w:lvl>
    <w:lvl w:ilvl="3" w:tplc="BB149EF0" w:tentative="1">
      <w:start w:val="1"/>
      <w:numFmt w:val="bullet"/>
      <w:lvlText w:val=""/>
      <w:lvlJc w:val="left"/>
      <w:pPr>
        <w:ind w:left="2880" w:hanging="360"/>
      </w:pPr>
      <w:rPr>
        <w:rFonts w:ascii="Symbol" w:hAnsi="Symbol" w:hint="default"/>
      </w:rPr>
    </w:lvl>
    <w:lvl w:ilvl="4" w:tplc="FB28F44A" w:tentative="1">
      <w:start w:val="1"/>
      <w:numFmt w:val="bullet"/>
      <w:lvlText w:val="o"/>
      <w:lvlJc w:val="left"/>
      <w:pPr>
        <w:ind w:left="3600" w:hanging="360"/>
      </w:pPr>
      <w:rPr>
        <w:rFonts w:ascii="Courier New" w:hAnsi="Courier New" w:cs="Courier New" w:hint="default"/>
      </w:rPr>
    </w:lvl>
    <w:lvl w:ilvl="5" w:tplc="6DB89D9E" w:tentative="1">
      <w:start w:val="1"/>
      <w:numFmt w:val="bullet"/>
      <w:lvlText w:val=""/>
      <w:lvlJc w:val="left"/>
      <w:pPr>
        <w:ind w:left="4320" w:hanging="360"/>
      </w:pPr>
      <w:rPr>
        <w:rFonts w:ascii="Wingdings" w:hAnsi="Wingdings" w:hint="default"/>
      </w:rPr>
    </w:lvl>
    <w:lvl w:ilvl="6" w:tplc="3B7A4840" w:tentative="1">
      <w:start w:val="1"/>
      <w:numFmt w:val="bullet"/>
      <w:lvlText w:val=""/>
      <w:lvlJc w:val="left"/>
      <w:pPr>
        <w:ind w:left="5040" w:hanging="360"/>
      </w:pPr>
      <w:rPr>
        <w:rFonts w:ascii="Symbol" w:hAnsi="Symbol" w:hint="default"/>
      </w:rPr>
    </w:lvl>
    <w:lvl w:ilvl="7" w:tplc="23FE1B74" w:tentative="1">
      <w:start w:val="1"/>
      <w:numFmt w:val="bullet"/>
      <w:lvlText w:val="o"/>
      <w:lvlJc w:val="left"/>
      <w:pPr>
        <w:ind w:left="5760" w:hanging="360"/>
      </w:pPr>
      <w:rPr>
        <w:rFonts w:ascii="Courier New" w:hAnsi="Courier New" w:cs="Courier New" w:hint="default"/>
      </w:rPr>
    </w:lvl>
    <w:lvl w:ilvl="8" w:tplc="96BC5098" w:tentative="1">
      <w:start w:val="1"/>
      <w:numFmt w:val="bullet"/>
      <w:lvlText w:val=""/>
      <w:lvlJc w:val="left"/>
      <w:pPr>
        <w:ind w:left="6480" w:hanging="360"/>
      </w:pPr>
      <w:rPr>
        <w:rFonts w:ascii="Wingdings" w:hAnsi="Wingdings" w:hint="default"/>
      </w:rPr>
    </w:lvl>
  </w:abstractNum>
  <w:abstractNum w:abstractNumId="52" w15:restartNumberingAfterBreak="0">
    <w:nsid w:val="64497F9D"/>
    <w:multiLevelType w:val="hybridMultilevel"/>
    <w:tmpl w:val="0DAE074C"/>
    <w:lvl w:ilvl="0" w:tplc="5554EBC0">
      <w:start w:val="1"/>
      <w:numFmt w:val="decimal"/>
      <w:lvlText w:val="%1."/>
      <w:lvlJc w:val="left"/>
      <w:pPr>
        <w:ind w:left="720" w:hanging="360"/>
      </w:pPr>
    </w:lvl>
    <w:lvl w:ilvl="1" w:tplc="B90206C4" w:tentative="1">
      <w:start w:val="1"/>
      <w:numFmt w:val="lowerLetter"/>
      <w:lvlText w:val="%2."/>
      <w:lvlJc w:val="left"/>
      <w:pPr>
        <w:ind w:left="1440" w:hanging="360"/>
      </w:pPr>
    </w:lvl>
    <w:lvl w:ilvl="2" w:tplc="F48AD8AC" w:tentative="1">
      <w:start w:val="1"/>
      <w:numFmt w:val="lowerRoman"/>
      <w:lvlText w:val="%3."/>
      <w:lvlJc w:val="right"/>
      <w:pPr>
        <w:ind w:left="2160" w:hanging="180"/>
      </w:pPr>
    </w:lvl>
    <w:lvl w:ilvl="3" w:tplc="D116DD22" w:tentative="1">
      <w:start w:val="1"/>
      <w:numFmt w:val="decimal"/>
      <w:lvlText w:val="%4."/>
      <w:lvlJc w:val="left"/>
      <w:pPr>
        <w:ind w:left="2880" w:hanging="360"/>
      </w:pPr>
    </w:lvl>
    <w:lvl w:ilvl="4" w:tplc="1270D1D4" w:tentative="1">
      <w:start w:val="1"/>
      <w:numFmt w:val="lowerLetter"/>
      <w:lvlText w:val="%5."/>
      <w:lvlJc w:val="left"/>
      <w:pPr>
        <w:ind w:left="3600" w:hanging="360"/>
      </w:pPr>
    </w:lvl>
    <w:lvl w:ilvl="5" w:tplc="6C904408" w:tentative="1">
      <w:start w:val="1"/>
      <w:numFmt w:val="lowerRoman"/>
      <w:lvlText w:val="%6."/>
      <w:lvlJc w:val="right"/>
      <w:pPr>
        <w:ind w:left="4320" w:hanging="180"/>
      </w:pPr>
    </w:lvl>
    <w:lvl w:ilvl="6" w:tplc="47701538" w:tentative="1">
      <w:start w:val="1"/>
      <w:numFmt w:val="decimal"/>
      <w:lvlText w:val="%7."/>
      <w:lvlJc w:val="left"/>
      <w:pPr>
        <w:ind w:left="5040" w:hanging="360"/>
      </w:pPr>
    </w:lvl>
    <w:lvl w:ilvl="7" w:tplc="814A54B4" w:tentative="1">
      <w:start w:val="1"/>
      <w:numFmt w:val="lowerLetter"/>
      <w:lvlText w:val="%8."/>
      <w:lvlJc w:val="left"/>
      <w:pPr>
        <w:ind w:left="5760" w:hanging="360"/>
      </w:pPr>
    </w:lvl>
    <w:lvl w:ilvl="8" w:tplc="F6E6605A" w:tentative="1">
      <w:start w:val="1"/>
      <w:numFmt w:val="lowerRoman"/>
      <w:lvlText w:val="%9."/>
      <w:lvlJc w:val="right"/>
      <w:pPr>
        <w:ind w:left="6480" w:hanging="180"/>
      </w:pPr>
    </w:lvl>
  </w:abstractNum>
  <w:abstractNum w:abstractNumId="53" w15:restartNumberingAfterBreak="0">
    <w:nsid w:val="67920C95"/>
    <w:multiLevelType w:val="multilevel"/>
    <w:tmpl w:val="C72EE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8B42060"/>
    <w:multiLevelType w:val="hybridMultilevel"/>
    <w:tmpl w:val="9B58FE78"/>
    <w:lvl w:ilvl="0" w:tplc="5914AFD0">
      <w:start w:val="1"/>
      <w:numFmt w:val="decimal"/>
      <w:lvlText w:val="%1."/>
      <w:lvlJc w:val="left"/>
      <w:pPr>
        <w:ind w:left="360" w:hanging="360"/>
      </w:pPr>
      <w:rPr>
        <w:rFonts w:hint="default"/>
      </w:rPr>
    </w:lvl>
    <w:lvl w:ilvl="1" w:tplc="6166FD12" w:tentative="1">
      <w:start w:val="1"/>
      <w:numFmt w:val="lowerLetter"/>
      <w:lvlText w:val="%2."/>
      <w:lvlJc w:val="left"/>
      <w:pPr>
        <w:ind w:left="1080" w:hanging="360"/>
      </w:pPr>
    </w:lvl>
    <w:lvl w:ilvl="2" w:tplc="3184E0FE" w:tentative="1">
      <w:start w:val="1"/>
      <w:numFmt w:val="lowerRoman"/>
      <w:lvlText w:val="%3."/>
      <w:lvlJc w:val="right"/>
      <w:pPr>
        <w:ind w:left="1800" w:hanging="180"/>
      </w:pPr>
    </w:lvl>
    <w:lvl w:ilvl="3" w:tplc="EFA4F294" w:tentative="1">
      <w:start w:val="1"/>
      <w:numFmt w:val="decimal"/>
      <w:lvlText w:val="%4."/>
      <w:lvlJc w:val="left"/>
      <w:pPr>
        <w:ind w:left="2520" w:hanging="360"/>
      </w:pPr>
    </w:lvl>
    <w:lvl w:ilvl="4" w:tplc="CE169DEC" w:tentative="1">
      <w:start w:val="1"/>
      <w:numFmt w:val="lowerLetter"/>
      <w:lvlText w:val="%5."/>
      <w:lvlJc w:val="left"/>
      <w:pPr>
        <w:ind w:left="3240" w:hanging="360"/>
      </w:pPr>
    </w:lvl>
    <w:lvl w:ilvl="5" w:tplc="EA183E6C" w:tentative="1">
      <w:start w:val="1"/>
      <w:numFmt w:val="lowerRoman"/>
      <w:lvlText w:val="%6."/>
      <w:lvlJc w:val="right"/>
      <w:pPr>
        <w:ind w:left="3960" w:hanging="180"/>
      </w:pPr>
    </w:lvl>
    <w:lvl w:ilvl="6" w:tplc="30BCEA74" w:tentative="1">
      <w:start w:val="1"/>
      <w:numFmt w:val="decimal"/>
      <w:lvlText w:val="%7."/>
      <w:lvlJc w:val="left"/>
      <w:pPr>
        <w:ind w:left="4680" w:hanging="360"/>
      </w:pPr>
    </w:lvl>
    <w:lvl w:ilvl="7" w:tplc="24BC9F44" w:tentative="1">
      <w:start w:val="1"/>
      <w:numFmt w:val="lowerLetter"/>
      <w:lvlText w:val="%8."/>
      <w:lvlJc w:val="left"/>
      <w:pPr>
        <w:ind w:left="5400" w:hanging="360"/>
      </w:pPr>
    </w:lvl>
    <w:lvl w:ilvl="8" w:tplc="9AF089A4" w:tentative="1">
      <w:start w:val="1"/>
      <w:numFmt w:val="lowerRoman"/>
      <w:lvlText w:val="%9."/>
      <w:lvlJc w:val="right"/>
      <w:pPr>
        <w:ind w:left="6120" w:hanging="180"/>
      </w:pPr>
    </w:lvl>
  </w:abstractNum>
  <w:abstractNum w:abstractNumId="55" w15:restartNumberingAfterBreak="0">
    <w:nsid w:val="6D505D6C"/>
    <w:multiLevelType w:val="hybridMultilevel"/>
    <w:tmpl w:val="82AECC42"/>
    <w:lvl w:ilvl="0" w:tplc="E702E304">
      <w:start w:val="1"/>
      <w:numFmt w:val="decimal"/>
      <w:lvlText w:val="%1."/>
      <w:lvlJc w:val="left"/>
      <w:pPr>
        <w:ind w:left="720" w:hanging="360"/>
      </w:pPr>
    </w:lvl>
    <w:lvl w:ilvl="1" w:tplc="99ACD000" w:tentative="1">
      <w:start w:val="1"/>
      <w:numFmt w:val="lowerLetter"/>
      <w:lvlText w:val="%2."/>
      <w:lvlJc w:val="left"/>
      <w:pPr>
        <w:ind w:left="1440" w:hanging="360"/>
      </w:pPr>
    </w:lvl>
    <w:lvl w:ilvl="2" w:tplc="06ECCF7E" w:tentative="1">
      <w:start w:val="1"/>
      <w:numFmt w:val="lowerRoman"/>
      <w:lvlText w:val="%3."/>
      <w:lvlJc w:val="right"/>
      <w:pPr>
        <w:ind w:left="2160" w:hanging="180"/>
      </w:pPr>
    </w:lvl>
    <w:lvl w:ilvl="3" w:tplc="B23E772A" w:tentative="1">
      <w:start w:val="1"/>
      <w:numFmt w:val="decimal"/>
      <w:lvlText w:val="%4."/>
      <w:lvlJc w:val="left"/>
      <w:pPr>
        <w:ind w:left="2880" w:hanging="360"/>
      </w:pPr>
    </w:lvl>
    <w:lvl w:ilvl="4" w:tplc="EC1214E8" w:tentative="1">
      <w:start w:val="1"/>
      <w:numFmt w:val="lowerLetter"/>
      <w:lvlText w:val="%5."/>
      <w:lvlJc w:val="left"/>
      <w:pPr>
        <w:ind w:left="3600" w:hanging="360"/>
      </w:pPr>
    </w:lvl>
    <w:lvl w:ilvl="5" w:tplc="6942A654" w:tentative="1">
      <w:start w:val="1"/>
      <w:numFmt w:val="lowerRoman"/>
      <w:lvlText w:val="%6."/>
      <w:lvlJc w:val="right"/>
      <w:pPr>
        <w:ind w:left="4320" w:hanging="180"/>
      </w:pPr>
    </w:lvl>
    <w:lvl w:ilvl="6" w:tplc="564ACF5C" w:tentative="1">
      <w:start w:val="1"/>
      <w:numFmt w:val="decimal"/>
      <w:lvlText w:val="%7."/>
      <w:lvlJc w:val="left"/>
      <w:pPr>
        <w:ind w:left="5040" w:hanging="360"/>
      </w:pPr>
    </w:lvl>
    <w:lvl w:ilvl="7" w:tplc="9FA4F5F0" w:tentative="1">
      <w:start w:val="1"/>
      <w:numFmt w:val="lowerLetter"/>
      <w:lvlText w:val="%8."/>
      <w:lvlJc w:val="left"/>
      <w:pPr>
        <w:ind w:left="5760" w:hanging="360"/>
      </w:pPr>
    </w:lvl>
    <w:lvl w:ilvl="8" w:tplc="A2C4E4E2" w:tentative="1">
      <w:start w:val="1"/>
      <w:numFmt w:val="lowerRoman"/>
      <w:lvlText w:val="%9."/>
      <w:lvlJc w:val="right"/>
      <w:pPr>
        <w:ind w:left="6480" w:hanging="180"/>
      </w:pPr>
    </w:lvl>
  </w:abstractNum>
  <w:abstractNum w:abstractNumId="56" w15:restartNumberingAfterBreak="0">
    <w:nsid w:val="6F1D09E6"/>
    <w:multiLevelType w:val="hybridMultilevel"/>
    <w:tmpl w:val="84146E0A"/>
    <w:lvl w:ilvl="0" w:tplc="386AA9DA">
      <w:start w:val="1"/>
      <w:numFmt w:val="decimal"/>
      <w:lvlText w:val="%1."/>
      <w:lvlJc w:val="left"/>
      <w:pPr>
        <w:ind w:left="360" w:hanging="360"/>
      </w:pPr>
      <w:rPr>
        <w:rFonts w:hint="default"/>
      </w:rPr>
    </w:lvl>
    <w:lvl w:ilvl="1" w:tplc="A17C9A24" w:tentative="1">
      <w:start w:val="1"/>
      <w:numFmt w:val="lowerLetter"/>
      <w:lvlText w:val="%2."/>
      <w:lvlJc w:val="left"/>
      <w:pPr>
        <w:ind w:left="1080" w:hanging="360"/>
      </w:pPr>
    </w:lvl>
    <w:lvl w:ilvl="2" w:tplc="D6226E54" w:tentative="1">
      <w:start w:val="1"/>
      <w:numFmt w:val="lowerRoman"/>
      <w:lvlText w:val="%3."/>
      <w:lvlJc w:val="right"/>
      <w:pPr>
        <w:ind w:left="1800" w:hanging="180"/>
      </w:pPr>
    </w:lvl>
    <w:lvl w:ilvl="3" w:tplc="014874F2" w:tentative="1">
      <w:start w:val="1"/>
      <w:numFmt w:val="decimal"/>
      <w:lvlText w:val="%4."/>
      <w:lvlJc w:val="left"/>
      <w:pPr>
        <w:ind w:left="2520" w:hanging="360"/>
      </w:pPr>
    </w:lvl>
    <w:lvl w:ilvl="4" w:tplc="073CCAA4" w:tentative="1">
      <w:start w:val="1"/>
      <w:numFmt w:val="lowerLetter"/>
      <w:lvlText w:val="%5."/>
      <w:lvlJc w:val="left"/>
      <w:pPr>
        <w:ind w:left="3240" w:hanging="360"/>
      </w:pPr>
    </w:lvl>
    <w:lvl w:ilvl="5" w:tplc="73AE3C34" w:tentative="1">
      <w:start w:val="1"/>
      <w:numFmt w:val="lowerRoman"/>
      <w:lvlText w:val="%6."/>
      <w:lvlJc w:val="right"/>
      <w:pPr>
        <w:ind w:left="3960" w:hanging="180"/>
      </w:pPr>
    </w:lvl>
    <w:lvl w:ilvl="6" w:tplc="2B2C8820" w:tentative="1">
      <w:start w:val="1"/>
      <w:numFmt w:val="decimal"/>
      <w:lvlText w:val="%7."/>
      <w:lvlJc w:val="left"/>
      <w:pPr>
        <w:ind w:left="4680" w:hanging="360"/>
      </w:pPr>
    </w:lvl>
    <w:lvl w:ilvl="7" w:tplc="CA14E60A" w:tentative="1">
      <w:start w:val="1"/>
      <w:numFmt w:val="lowerLetter"/>
      <w:lvlText w:val="%8."/>
      <w:lvlJc w:val="left"/>
      <w:pPr>
        <w:ind w:left="5400" w:hanging="360"/>
      </w:pPr>
    </w:lvl>
    <w:lvl w:ilvl="8" w:tplc="91D061CA" w:tentative="1">
      <w:start w:val="1"/>
      <w:numFmt w:val="lowerRoman"/>
      <w:lvlText w:val="%9."/>
      <w:lvlJc w:val="right"/>
      <w:pPr>
        <w:ind w:left="6120" w:hanging="180"/>
      </w:pPr>
    </w:lvl>
  </w:abstractNum>
  <w:abstractNum w:abstractNumId="57" w15:restartNumberingAfterBreak="0">
    <w:nsid w:val="6F8E5A20"/>
    <w:multiLevelType w:val="hybridMultilevel"/>
    <w:tmpl w:val="EA5435F0"/>
    <w:lvl w:ilvl="0" w:tplc="CE6EEF0A">
      <w:start w:val="1"/>
      <w:numFmt w:val="decimal"/>
      <w:lvlText w:val="%1."/>
      <w:lvlJc w:val="left"/>
      <w:pPr>
        <w:ind w:left="360" w:hanging="360"/>
      </w:pPr>
      <w:rPr>
        <w:rFonts w:hint="default"/>
      </w:rPr>
    </w:lvl>
    <w:lvl w:ilvl="1" w:tplc="FAFEA43E" w:tentative="1">
      <w:start w:val="1"/>
      <w:numFmt w:val="lowerLetter"/>
      <w:lvlText w:val="%2."/>
      <w:lvlJc w:val="left"/>
      <w:pPr>
        <w:ind w:left="1080" w:hanging="360"/>
      </w:pPr>
    </w:lvl>
    <w:lvl w:ilvl="2" w:tplc="640A5CC6" w:tentative="1">
      <w:start w:val="1"/>
      <w:numFmt w:val="lowerRoman"/>
      <w:lvlText w:val="%3."/>
      <w:lvlJc w:val="right"/>
      <w:pPr>
        <w:ind w:left="1800" w:hanging="180"/>
      </w:pPr>
    </w:lvl>
    <w:lvl w:ilvl="3" w:tplc="AE1CD5AE" w:tentative="1">
      <w:start w:val="1"/>
      <w:numFmt w:val="decimal"/>
      <w:lvlText w:val="%4."/>
      <w:lvlJc w:val="left"/>
      <w:pPr>
        <w:ind w:left="2520" w:hanging="360"/>
      </w:pPr>
    </w:lvl>
    <w:lvl w:ilvl="4" w:tplc="FCDAE9BE" w:tentative="1">
      <w:start w:val="1"/>
      <w:numFmt w:val="lowerLetter"/>
      <w:lvlText w:val="%5."/>
      <w:lvlJc w:val="left"/>
      <w:pPr>
        <w:ind w:left="3240" w:hanging="360"/>
      </w:pPr>
    </w:lvl>
    <w:lvl w:ilvl="5" w:tplc="C14C0590" w:tentative="1">
      <w:start w:val="1"/>
      <w:numFmt w:val="lowerRoman"/>
      <w:lvlText w:val="%6."/>
      <w:lvlJc w:val="right"/>
      <w:pPr>
        <w:ind w:left="3960" w:hanging="180"/>
      </w:pPr>
    </w:lvl>
    <w:lvl w:ilvl="6" w:tplc="C420A6FA" w:tentative="1">
      <w:start w:val="1"/>
      <w:numFmt w:val="decimal"/>
      <w:lvlText w:val="%7."/>
      <w:lvlJc w:val="left"/>
      <w:pPr>
        <w:ind w:left="4680" w:hanging="360"/>
      </w:pPr>
    </w:lvl>
    <w:lvl w:ilvl="7" w:tplc="36A81A84" w:tentative="1">
      <w:start w:val="1"/>
      <w:numFmt w:val="lowerLetter"/>
      <w:lvlText w:val="%8."/>
      <w:lvlJc w:val="left"/>
      <w:pPr>
        <w:ind w:left="5400" w:hanging="360"/>
      </w:pPr>
    </w:lvl>
    <w:lvl w:ilvl="8" w:tplc="897E359E" w:tentative="1">
      <w:start w:val="1"/>
      <w:numFmt w:val="lowerRoman"/>
      <w:lvlText w:val="%9."/>
      <w:lvlJc w:val="right"/>
      <w:pPr>
        <w:ind w:left="6120" w:hanging="180"/>
      </w:pPr>
    </w:lvl>
  </w:abstractNum>
  <w:abstractNum w:abstractNumId="58" w15:restartNumberingAfterBreak="0">
    <w:nsid w:val="715E6943"/>
    <w:multiLevelType w:val="hybridMultilevel"/>
    <w:tmpl w:val="EC7E2E14"/>
    <w:lvl w:ilvl="0" w:tplc="C5CA8740">
      <w:start w:val="1"/>
      <w:numFmt w:val="decimal"/>
      <w:lvlText w:val="%1."/>
      <w:lvlJc w:val="left"/>
      <w:pPr>
        <w:ind w:left="360" w:hanging="360"/>
      </w:pPr>
      <w:rPr>
        <w:rFonts w:hint="default"/>
      </w:rPr>
    </w:lvl>
    <w:lvl w:ilvl="1" w:tplc="04F2FCEA" w:tentative="1">
      <w:start w:val="1"/>
      <w:numFmt w:val="lowerLetter"/>
      <w:lvlText w:val="%2."/>
      <w:lvlJc w:val="left"/>
      <w:pPr>
        <w:ind w:left="1080" w:hanging="360"/>
      </w:pPr>
    </w:lvl>
    <w:lvl w:ilvl="2" w:tplc="369090E2" w:tentative="1">
      <w:start w:val="1"/>
      <w:numFmt w:val="lowerRoman"/>
      <w:lvlText w:val="%3."/>
      <w:lvlJc w:val="right"/>
      <w:pPr>
        <w:ind w:left="1800" w:hanging="180"/>
      </w:pPr>
    </w:lvl>
    <w:lvl w:ilvl="3" w:tplc="93EAF1E8" w:tentative="1">
      <w:start w:val="1"/>
      <w:numFmt w:val="decimal"/>
      <w:lvlText w:val="%4."/>
      <w:lvlJc w:val="left"/>
      <w:pPr>
        <w:ind w:left="2520" w:hanging="360"/>
      </w:pPr>
    </w:lvl>
    <w:lvl w:ilvl="4" w:tplc="D8A4A90C" w:tentative="1">
      <w:start w:val="1"/>
      <w:numFmt w:val="lowerLetter"/>
      <w:lvlText w:val="%5."/>
      <w:lvlJc w:val="left"/>
      <w:pPr>
        <w:ind w:left="3240" w:hanging="360"/>
      </w:pPr>
    </w:lvl>
    <w:lvl w:ilvl="5" w:tplc="E110DDE6" w:tentative="1">
      <w:start w:val="1"/>
      <w:numFmt w:val="lowerRoman"/>
      <w:lvlText w:val="%6."/>
      <w:lvlJc w:val="right"/>
      <w:pPr>
        <w:ind w:left="3960" w:hanging="180"/>
      </w:pPr>
    </w:lvl>
    <w:lvl w:ilvl="6" w:tplc="6A0CBE06" w:tentative="1">
      <w:start w:val="1"/>
      <w:numFmt w:val="decimal"/>
      <w:lvlText w:val="%7."/>
      <w:lvlJc w:val="left"/>
      <w:pPr>
        <w:ind w:left="4680" w:hanging="360"/>
      </w:pPr>
    </w:lvl>
    <w:lvl w:ilvl="7" w:tplc="64D24DC2" w:tentative="1">
      <w:start w:val="1"/>
      <w:numFmt w:val="lowerLetter"/>
      <w:lvlText w:val="%8."/>
      <w:lvlJc w:val="left"/>
      <w:pPr>
        <w:ind w:left="5400" w:hanging="360"/>
      </w:pPr>
    </w:lvl>
    <w:lvl w:ilvl="8" w:tplc="A0B85F86" w:tentative="1">
      <w:start w:val="1"/>
      <w:numFmt w:val="lowerRoman"/>
      <w:lvlText w:val="%9."/>
      <w:lvlJc w:val="right"/>
      <w:pPr>
        <w:ind w:left="6120" w:hanging="180"/>
      </w:pPr>
    </w:lvl>
  </w:abstractNum>
  <w:abstractNum w:abstractNumId="59" w15:restartNumberingAfterBreak="0">
    <w:nsid w:val="725F03D3"/>
    <w:multiLevelType w:val="hybridMultilevel"/>
    <w:tmpl w:val="B4604052"/>
    <w:lvl w:ilvl="0" w:tplc="FE2CAA00">
      <w:start w:val="1"/>
      <w:numFmt w:val="decimal"/>
      <w:lvlText w:val="%1."/>
      <w:lvlJc w:val="left"/>
      <w:pPr>
        <w:ind w:left="360" w:hanging="360"/>
      </w:pPr>
      <w:rPr>
        <w:rFonts w:hint="default"/>
      </w:rPr>
    </w:lvl>
    <w:lvl w:ilvl="1" w:tplc="71A64A20" w:tentative="1">
      <w:start w:val="1"/>
      <w:numFmt w:val="lowerLetter"/>
      <w:lvlText w:val="%2."/>
      <w:lvlJc w:val="left"/>
      <w:pPr>
        <w:ind w:left="1440" w:hanging="360"/>
      </w:pPr>
    </w:lvl>
    <w:lvl w:ilvl="2" w:tplc="2D1E4BAE" w:tentative="1">
      <w:start w:val="1"/>
      <w:numFmt w:val="lowerRoman"/>
      <w:lvlText w:val="%3."/>
      <w:lvlJc w:val="right"/>
      <w:pPr>
        <w:ind w:left="2160" w:hanging="180"/>
      </w:pPr>
    </w:lvl>
    <w:lvl w:ilvl="3" w:tplc="E64EDF18" w:tentative="1">
      <w:start w:val="1"/>
      <w:numFmt w:val="decimal"/>
      <w:lvlText w:val="%4."/>
      <w:lvlJc w:val="left"/>
      <w:pPr>
        <w:ind w:left="2880" w:hanging="360"/>
      </w:pPr>
    </w:lvl>
    <w:lvl w:ilvl="4" w:tplc="45F42B28" w:tentative="1">
      <w:start w:val="1"/>
      <w:numFmt w:val="lowerLetter"/>
      <w:lvlText w:val="%5."/>
      <w:lvlJc w:val="left"/>
      <w:pPr>
        <w:ind w:left="3600" w:hanging="360"/>
      </w:pPr>
    </w:lvl>
    <w:lvl w:ilvl="5" w:tplc="EBE43BD6" w:tentative="1">
      <w:start w:val="1"/>
      <w:numFmt w:val="lowerRoman"/>
      <w:lvlText w:val="%6."/>
      <w:lvlJc w:val="right"/>
      <w:pPr>
        <w:ind w:left="4320" w:hanging="180"/>
      </w:pPr>
    </w:lvl>
    <w:lvl w:ilvl="6" w:tplc="C8DEA302" w:tentative="1">
      <w:start w:val="1"/>
      <w:numFmt w:val="decimal"/>
      <w:lvlText w:val="%7."/>
      <w:lvlJc w:val="left"/>
      <w:pPr>
        <w:ind w:left="5040" w:hanging="360"/>
      </w:pPr>
    </w:lvl>
    <w:lvl w:ilvl="7" w:tplc="0EB48B90" w:tentative="1">
      <w:start w:val="1"/>
      <w:numFmt w:val="lowerLetter"/>
      <w:lvlText w:val="%8."/>
      <w:lvlJc w:val="left"/>
      <w:pPr>
        <w:ind w:left="5760" w:hanging="360"/>
      </w:pPr>
    </w:lvl>
    <w:lvl w:ilvl="8" w:tplc="88943494" w:tentative="1">
      <w:start w:val="1"/>
      <w:numFmt w:val="lowerRoman"/>
      <w:lvlText w:val="%9."/>
      <w:lvlJc w:val="right"/>
      <w:pPr>
        <w:ind w:left="6480" w:hanging="180"/>
      </w:pPr>
    </w:lvl>
  </w:abstractNum>
  <w:abstractNum w:abstractNumId="60" w15:restartNumberingAfterBreak="0">
    <w:nsid w:val="72B55369"/>
    <w:multiLevelType w:val="hybridMultilevel"/>
    <w:tmpl w:val="51441D90"/>
    <w:lvl w:ilvl="0" w:tplc="78FE2362">
      <w:start w:val="1"/>
      <w:numFmt w:val="decimal"/>
      <w:lvlText w:val="%1."/>
      <w:lvlJc w:val="left"/>
      <w:pPr>
        <w:ind w:left="360" w:hanging="360"/>
      </w:pPr>
      <w:rPr>
        <w:rFonts w:hint="default"/>
      </w:rPr>
    </w:lvl>
    <w:lvl w:ilvl="1" w:tplc="F00CA72A" w:tentative="1">
      <w:start w:val="1"/>
      <w:numFmt w:val="lowerLetter"/>
      <w:lvlText w:val="%2."/>
      <w:lvlJc w:val="left"/>
      <w:pPr>
        <w:ind w:left="1080" w:hanging="360"/>
      </w:pPr>
    </w:lvl>
    <w:lvl w:ilvl="2" w:tplc="87FE952C" w:tentative="1">
      <w:start w:val="1"/>
      <w:numFmt w:val="lowerRoman"/>
      <w:lvlText w:val="%3."/>
      <w:lvlJc w:val="right"/>
      <w:pPr>
        <w:ind w:left="1800" w:hanging="180"/>
      </w:pPr>
    </w:lvl>
    <w:lvl w:ilvl="3" w:tplc="20140AF2" w:tentative="1">
      <w:start w:val="1"/>
      <w:numFmt w:val="decimal"/>
      <w:lvlText w:val="%4."/>
      <w:lvlJc w:val="left"/>
      <w:pPr>
        <w:ind w:left="2520" w:hanging="360"/>
      </w:pPr>
    </w:lvl>
    <w:lvl w:ilvl="4" w:tplc="2AAA1AB4" w:tentative="1">
      <w:start w:val="1"/>
      <w:numFmt w:val="lowerLetter"/>
      <w:lvlText w:val="%5."/>
      <w:lvlJc w:val="left"/>
      <w:pPr>
        <w:ind w:left="3240" w:hanging="360"/>
      </w:pPr>
    </w:lvl>
    <w:lvl w:ilvl="5" w:tplc="D7662212" w:tentative="1">
      <w:start w:val="1"/>
      <w:numFmt w:val="lowerRoman"/>
      <w:lvlText w:val="%6."/>
      <w:lvlJc w:val="right"/>
      <w:pPr>
        <w:ind w:left="3960" w:hanging="180"/>
      </w:pPr>
    </w:lvl>
    <w:lvl w:ilvl="6" w:tplc="510A5E1C" w:tentative="1">
      <w:start w:val="1"/>
      <w:numFmt w:val="decimal"/>
      <w:lvlText w:val="%7."/>
      <w:lvlJc w:val="left"/>
      <w:pPr>
        <w:ind w:left="4680" w:hanging="360"/>
      </w:pPr>
    </w:lvl>
    <w:lvl w:ilvl="7" w:tplc="C92C142E" w:tentative="1">
      <w:start w:val="1"/>
      <w:numFmt w:val="lowerLetter"/>
      <w:lvlText w:val="%8."/>
      <w:lvlJc w:val="left"/>
      <w:pPr>
        <w:ind w:left="5400" w:hanging="360"/>
      </w:pPr>
    </w:lvl>
    <w:lvl w:ilvl="8" w:tplc="680060EC" w:tentative="1">
      <w:start w:val="1"/>
      <w:numFmt w:val="lowerRoman"/>
      <w:lvlText w:val="%9."/>
      <w:lvlJc w:val="right"/>
      <w:pPr>
        <w:ind w:left="6120" w:hanging="180"/>
      </w:pPr>
    </w:lvl>
  </w:abstractNum>
  <w:abstractNum w:abstractNumId="61" w15:restartNumberingAfterBreak="0">
    <w:nsid w:val="73960035"/>
    <w:multiLevelType w:val="hybridMultilevel"/>
    <w:tmpl w:val="CDD283B8"/>
    <w:lvl w:ilvl="0" w:tplc="FB14B3CC">
      <w:start w:val="1"/>
      <w:numFmt w:val="decimal"/>
      <w:lvlText w:val="%1."/>
      <w:lvlJc w:val="left"/>
      <w:pPr>
        <w:ind w:left="360" w:hanging="360"/>
      </w:pPr>
      <w:rPr>
        <w:rFonts w:hint="default"/>
      </w:rPr>
    </w:lvl>
    <w:lvl w:ilvl="1" w:tplc="12826D90" w:tentative="1">
      <w:start w:val="1"/>
      <w:numFmt w:val="lowerLetter"/>
      <w:lvlText w:val="%2."/>
      <w:lvlJc w:val="left"/>
      <w:pPr>
        <w:ind w:left="1080" w:hanging="360"/>
      </w:pPr>
    </w:lvl>
    <w:lvl w:ilvl="2" w:tplc="B0D218E0" w:tentative="1">
      <w:start w:val="1"/>
      <w:numFmt w:val="lowerRoman"/>
      <w:lvlText w:val="%3."/>
      <w:lvlJc w:val="right"/>
      <w:pPr>
        <w:ind w:left="1800" w:hanging="180"/>
      </w:pPr>
    </w:lvl>
    <w:lvl w:ilvl="3" w:tplc="B4DCD5B6" w:tentative="1">
      <w:start w:val="1"/>
      <w:numFmt w:val="decimal"/>
      <w:lvlText w:val="%4."/>
      <w:lvlJc w:val="left"/>
      <w:pPr>
        <w:ind w:left="2520" w:hanging="360"/>
      </w:pPr>
    </w:lvl>
    <w:lvl w:ilvl="4" w:tplc="32B00FF4" w:tentative="1">
      <w:start w:val="1"/>
      <w:numFmt w:val="lowerLetter"/>
      <w:lvlText w:val="%5."/>
      <w:lvlJc w:val="left"/>
      <w:pPr>
        <w:ind w:left="3240" w:hanging="360"/>
      </w:pPr>
    </w:lvl>
    <w:lvl w:ilvl="5" w:tplc="80D4B912" w:tentative="1">
      <w:start w:val="1"/>
      <w:numFmt w:val="lowerRoman"/>
      <w:lvlText w:val="%6."/>
      <w:lvlJc w:val="right"/>
      <w:pPr>
        <w:ind w:left="3960" w:hanging="180"/>
      </w:pPr>
    </w:lvl>
    <w:lvl w:ilvl="6" w:tplc="6B561C92" w:tentative="1">
      <w:start w:val="1"/>
      <w:numFmt w:val="decimal"/>
      <w:lvlText w:val="%7."/>
      <w:lvlJc w:val="left"/>
      <w:pPr>
        <w:ind w:left="4680" w:hanging="360"/>
      </w:pPr>
    </w:lvl>
    <w:lvl w:ilvl="7" w:tplc="4E9C0C94" w:tentative="1">
      <w:start w:val="1"/>
      <w:numFmt w:val="lowerLetter"/>
      <w:lvlText w:val="%8."/>
      <w:lvlJc w:val="left"/>
      <w:pPr>
        <w:ind w:left="5400" w:hanging="360"/>
      </w:pPr>
    </w:lvl>
    <w:lvl w:ilvl="8" w:tplc="D3E8E546" w:tentative="1">
      <w:start w:val="1"/>
      <w:numFmt w:val="lowerRoman"/>
      <w:lvlText w:val="%9."/>
      <w:lvlJc w:val="right"/>
      <w:pPr>
        <w:ind w:left="6120" w:hanging="180"/>
      </w:pPr>
    </w:lvl>
  </w:abstractNum>
  <w:abstractNum w:abstractNumId="62" w15:restartNumberingAfterBreak="0">
    <w:nsid w:val="7A7122F7"/>
    <w:multiLevelType w:val="hybridMultilevel"/>
    <w:tmpl w:val="4C6089F2"/>
    <w:lvl w:ilvl="0" w:tplc="C368EED4">
      <w:start w:val="1"/>
      <w:numFmt w:val="decimal"/>
      <w:lvlText w:val="%1."/>
      <w:lvlJc w:val="left"/>
      <w:pPr>
        <w:ind w:left="360" w:hanging="360"/>
      </w:pPr>
      <w:rPr>
        <w:rFonts w:hint="default"/>
      </w:rPr>
    </w:lvl>
    <w:lvl w:ilvl="1" w:tplc="CE52AB7A" w:tentative="1">
      <w:start w:val="1"/>
      <w:numFmt w:val="lowerLetter"/>
      <w:lvlText w:val="%2."/>
      <w:lvlJc w:val="left"/>
      <w:pPr>
        <w:ind w:left="1080" w:hanging="360"/>
      </w:pPr>
    </w:lvl>
    <w:lvl w:ilvl="2" w:tplc="F8A0D0F6" w:tentative="1">
      <w:start w:val="1"/>
      <w:numFmt w:val="lowerRoman"/>
      <w:lvlText w:val="%3."/>
      <w:lvlJc w:val="right"/>
      <w:pPr>
        <w:ind w:left="1800" w:hanging="180"/>
      </w:pPr>
    </w:lvl>
    <w:lvl w:ilvl="3" w:tplc="0E4E0354" w:tentative="1">
      <w:start w:val="1"/>
      <w:numFmt w:val="decimal"/>
      <w:lvlText w:val="%4."/>
      <w:lvlJc w:val="left"/>
      <w:pPr>
        <w:ind w:left="2520" w:hanging="360"/>
      </w:pPr>
    </w:lvl>
    <w:lvl w:ilvl="4" w:tplc="F4A282EE" w:tentative="1">
      <w:start w:val="1"/>
      <w:numFmt w:val="lowerLetter"/>
      <w:lvlText w:val="%5."/>
      <w:lvlJc w:val="left"/>
      <w:pPr>
        <w:ind w:left="3240" w:hanging="360"/>
      </w:pPr>
    </w:lvl>
    <w:lvl w:ilvl="5" w:tplc="4F920DE6" w:tentative="1">
      <w:start w:val="1"/>
      <w:numFmt w:val="lowerRoman"/>
      <w:lvlText w:val="%6."/>
      <w:lvlJc w:val="right"/>
      <w:pPr>
        <w:ind w:left="3960" w:hanging="180"/>
      </w:pPr>
    </w:lvl>
    <w:lvl w:ilvl="6" w:tplc="76CABE8E" w:tentative="1">
      <w:start w:val="1"/>
      <w:numFmt w:val="decimal"/>
      <w:lvlText w:val="%7."/>
      <w:lvlJc w:val="left"/>
      <w:pPr>
        <w:ind w:left="4680" w:hanging="360"/>
      </w:pPr>
    </w:lvl>
    <w:lvl w:ilvl="7" w:tplc="C9682E54" w:tentative="1">
      <w:start w:val="1"/>
      <w:numFmt w:val="lowerLetter"/>
      <w:lvlText w:val="%8."/>
      <w:lvlJc w:val="left"/>
      <w:pPr>
        <w:ind w:left="5400" w:hanging="360"/>
      </w:pPr>
    </w:lvl>
    <w:lvl w:ilvl="8" w:tplc="9426E2A2" w:tentative="1">
      <w:start w:val="1"/>
      <w:numFmt w:val="lowerRoman"/>
      <w:lvlText w:val="%9."/>
      <w:lvlJc w:val="right"/>
      <w:pPr>
        <w:ind w:left="6120" w:hanging="180"/>
      </w:pPr>
    </w:lvl>
  </w:abstractNum>
  <w:abstractNum w:abstractNumId="63" w15:restartNumberingAfterBreak="0">
    <w:nsid w:val="7BBA5FDC"/>
    <w:multiLevelType w:val="hybridMultilevel"/>
    <w:tmpl w:val="82825E7C"/>
    <w:lvl w:ilvl="0" w:tplc="BD562AFA">
      <w:start w:val="1"/>
      <w:numFmt w:val="decimal"/>
      <w:lvlText w:val="%1."/>
      <w:lvlJc w:val="left"/>
      <w:pPr>
        <w:ind w:left="720" w:hanging="360"/>
      </w:pPr>
      <w:rPr>
        <w:rFonts w:hint="default"/>
      </w:rPr>
    </w:lvl>
    <w:lvl w:ilvl="1" w:tplc="41CA3E56" w:tentative="1">
      <w:start w:val="1"/>
      <w:numFmt w:val="lowerLetter"/>
      <w:lvlText w:val="%2."/>
      <w:lvlJc w:val="left"/>
      <w:pPr>
        <w:ind w:left="1440" w:hanging="360"/>
      </w:pPr>
    </w:lvl>
    <w:lvl w:ilvl="2" w:tplc="D92E6BAA" w:tentative="1">
      <w:start w:val="1"/>
      <w:numFmt w:val="lowerRoman"/>
      <w:lvlText w:val="%3."/>
      <w:lvlJc w:val="right"/>
      <w:pPr>
        <w:ind w:left="2160" w:hanging="180"/>
      </w:pPr>
    </w:lvl>
    <w:lvl w:ilvl="3" w:tplc="C15EA490" w:tentative="1">
      <w:start w:val="1"/>
      <w:numFmt w:val="decimal"/>
      <w:lvlText w:val="%4."/>
      <w:lvlJc w:val="left"/>
      <w:pPr>
        <w:ind w:left="2880" w:hanging="360"/>
      </w:pPr>
    </w:lvl>
    <w:lvl w:ilvl="4" w:tplc="958EFDE2" w:tentative="1">
      <w:start w:val="1"/>
      <w:numFmt w:val="lowerLetter"/>
      <w:lvlText w:val="%5."/>
      <w:lvlJc w:val="left"/>
      <w:pPr>
        <w:ind w:left="3600" w:hanging="360"/>
      </w:pPr>
    </w:lvl>
    <w:lvl w:ilvl="5" w:tplc="552602F2" w:tentative="1">
      <w:start w:val="1"/>
      <w:numFmt w:val="lowerRoman"/>
      <w:lvlText w:val="%6."/>
      <w:lvlJc w:val="right"/>
      <w:pPr>
        <w:ind w:left="4320" w:hanging="180"/>
      </w:pPr>
    </w:lvl>
    <w:lvl w:ilvl="6" w:tplc="495CBB40" w:tentative="1">
      <w:start w:val="1"/>
      <w:numFmt w:val="decimal"/>
      <w:lvlText w:val="%7."/>
      <w:lvlJc w:val="left"/>
      <w:pPr>
        <w:ind w:left="5040" w:hanging="360"/>
      </w:pPr>
    </w:lvl>
    <w:lvl w:ilvl="7" w:tplc="36223E9E" w:tentative="1">
      <w:start w:val="1"/>
      <w:numFmt w:val="lowerLetter"/>
      <w:lvlText w:val="%8."/>
      <w:lvlJc w:val="left"/>
      <w:pPr>
        <w:ind w:left="5760" w:hanging="360"/>
      </w:pPr>
    </w:lvl>
    <w:lvl w:ilvl="8" w:tplc="9A5A0C10" w:tentative="1">
      <w:start w:val="1"/>
      <w:numFmt w:val="lowerRoman"/>
      <w:lvlText w:val="%9."/>
      <w:lvlJc w:val="right"/>
      <w:pPr>
        <w:ind w:left="6480" w:hanging="180"/>
      </w:pPr>
    </w:lvl>
  </w:abstractNum>
  <w:abstractNum w:abstractNumId="64" w15:restartNumberingAfterBreak="0">
    <w:nsid w:val="7C0E69E6"/>
    <w:multiLevelType w:val="multilevel"/>
    <w:tmpl w:val="E5B05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E3A595B"/>
    <w:multiLevelType w:val="multilevel"/>
    <w:tmpl w:val="62C0D9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46091146">
    <w:abstractNumId w:val="25"/>
  </w:num>
  <w:num w:numId="2" w16cid:durableId="786658134">
    <w:abstractNumId w:val="37"/>
  </w:num>
  <w:num w:numId="3" w16cid:durableId="880479148">
    <w:abstractNumId w:val="51"/>
  </w:num>
  <w:num w:numId="4" w16cid:durableId="1027097093">
    <w:abstractNumId w:val="32"/>
  </w:num>
  <w:num w:numId="5" w16cid:durableId="1181701956">
    <w:abstractNumId w:val="14"/>
  </w:num>
  <w:num w:numId="6" w16cid:durableId="1416628020">
    <w:abstractNumId w:val="54"/>
  </w:num>
  <w:num w:numId="7" w16cid:durableId="671107971">
    <w:abstractNumId w:val="19"/>
  </w:num>
  <w:num w:numId="8" w16cid:durableId="1077900427">
    <w:abstractNumId w:val="57"/>
  </w:num>
  <w:num w:numId="9" w16cid:durableId="379329305">
    <w:abstractNumId w:val="9"/>
  </w:num>
  <w:num w:numId="10" w16cid:durableId="1340892222">
    <w:abstractNumId w:val="12"/>
  </w:num>
  <w:num w:numId="11" w16cid:durableId="719086453">
    <w:abstractNumId w:val="62"/>
  </w:num>
  <w:num w:numId="12" w16cid:durableId="61222204">
    <w:abstractNumId w:val="58"/>
  </w:num>
  <w:num w:numId="13" w16cid:durableId="1913155593">
    <w:abstractNumId w:val="15"/>
  </w:num>
  <w:num w:numId="14" w16cid:durableId="1779371244">
    <w:abstractNumId w:val="35"/>
  </w:num>
  <w:num w:numId="15" w16cid:durableId="24410939">
    <w:abstractNumId w:val="38"/>
  </w:num>
  <w:num w:numId="16" w16cid:durableId="477185890">
    <w:abstractNumId w:val="56"/>
  </w:num>
  <w:num w:numId="17" w16cid:durableId="818885117">
    <w:abstractNumId w:val="46"/>
  </w:num>
  <w:num w:numId="18" w16cid:durableId="1649477295">
    <w:abstractNumId w:val="17"/>
  </w:num>
  <w:num w:numId="19" w16cid:durableId="1173490373">
    <w:abstractNumId w:val="20"/>
  </w:num>
  <w:num w:numId="20" w16cid:durableId="359166412">
    <w:abstractNumId w:val="13"/>
  </w:num>
  <w:num w:numId="21" w16cid:durableId="1279609079">
    <w:abstractNumId w:val="61"/>
  </w:num>
  <w:num w:numId="22" w16cid:durableId="940800955">
    <w:abstractNumId w:val="16"/>
  </w:num>
  <w:num w:numId="23" w16cid:durableId="2015959147">
    <w:abstractNumId w:val="10"/>
  </w:num>
  <w:num w:numId="24" w16cid:durableId="1279021224">
    <w:abstractNumId w:val="30"/>
  </w:num>
  <w:num w:numId="25" w16cid:durableId="1453548298">
    <w:abstractNumId w:val="31"/>
  </w:num>
  <w:num w:numId="26" w16cid:durableId="1221819106">
    <w:abstractNumId w:val="59"/>
  </w:num>
  <w:num w:numId="27" w16cid:durableId="726029639">
    <w:abstractNumId w:val="41"/>
  </w:num>
  <w:num w:numId="28" w16cid:durableId="688675278">
    <w:abstractNumId w:val="3"/>
  </w:num>
  <w:num w:numId="29" w16cid:durableId="250048530">
    <w:abstractNumId w:val="24"/>
  </w:num>
  <w:num w:numId="30" w16cid:durableId="1048534155">
    <w:abstractNumId w:val="42"/>
  </w:num>
  <w:num w:numId="31" w16cid:durableId="1243830142">
    <w:abstractNumId w:val="52"/>
  </w:num>
  <w:num w:numId="32" w16cid:durableId="497769414">
    <w:abstractNumId w:val="40"/>
  </w:num>
  <w:num w:numId="33" w16cid:durableId="288780736">
    <w:abstractNumId w:val="36"/>
  </w:num>
  <w:num w:numId="34" w16cid:durableId="1914899309">
    <w:abstractNumId w:val="8"/>
  </w:num>
  <w:num w:numId="35" w16cid:durableId="573589870">
    <w:abstractNumId w:val="55"/>
  </w:num>
  <w:num w:numId="36" w16cid:durableId="1316186373">
    <w:abstractNumId w:val="7"/>
  </w:num>
  <w:num w:numId="37" w16cid:durableId="124350184">
    <w:abstractNumId w:val="4"/>
  </w:num>
  <w:num w:numId="38" w16cid:durableId="76631255">
    <w:abstractNumId w:val="60"/>
  </w:num>
  <w:num w:numId="39" w16cid:durableId="1580211516">
    <w:abstractNumId w:val="18"/>
  </w:num>
  <w:num w:numId="40" w16cid:durableId="934048856">
    <w:abstractNumId w:val="49"/>
  </w:num>
  <w:num w:numId="41" w16cid:durableId="2015262373">
    <w:abstractNumId w:val="34"/>
  </w:num>
  <w:num w:numId="42" w16cid:durableId="607657537">
    <w:abstractNumId w:val="6"/>
  </w:num>
  <w:num w:numId="43" w16cid:durableId="548305493">
    <w:abstractNumId w:val="39"/>
  </w:num>
  <w:num w:numId="44" w16cid:durableId="909078270">
    <w:abstractNumId w:val="1"/>
  </w:num>
  <w:num w:numId="45" w16cid:durableId="1674334224">
    <w:abstractNumId w:val="5"/>
  </w:num>
  <w:num w:numId="46" w16cid:durableId="1306004650">
    <w:abstractNumId w:val="0"/>
  </w:num>
  <w:num w:numId="47" w16cid:durableId="51120087">
    <w:abstractNumId w:val="21"/>
  </w:num>
  <w:num w:numId="48" w16cid:durableId="610941722">
    <w:abstractNumId w:val="27"/>
  </w:num>
  <w:num w:numId="49" w16cid:durableId="1824465005">
    <w:abstractNumId w:val="26"/>
  </w:num>
  <w:num w:numId="50" w16cid:durableId="174661401">
    <w:abstractNumId w:val="50"/>
  </w:num>
  <w:num w:numId="51" w16cid:durableId="1882011920">
    <w:abstractNumId w:val="47"/>
  </w:num>
  <w:num w:numId="52" w16cid:durableId="527454773">
    <w:abstractNumId w:val="28"/>
  </w:num>
  <w:num w:numId="53" w16cid:durableId="1774284471">
    <w:abstractNumId w:val="11"/>
  </w:num>
  <w:num w:numId="54" w16cid:durableId="499349899">
    <w:abstractNumId w:val="2"/>
  </w:num>
  <w:num w:numId="55" w16cid:durableId="309091000">
    <w:abstractNumId w:val="29"/>
  </w:num>
  <w:num w:numId="56" w16cid:durableId="465044959">
    <w:abstractNumId w:val="63"/>
  </w:num>
  <w:num w:numId="57" w16cid:durableId="1710252823">
    <w:abstractNumId w:val="64"/>
  </w:num>
  <w:num w:numId="58" w16cid:durableId="142433300">
    <w:abstractNumId w:val="65"/>
  </w:num>
  <w:num w:numId="59" w16cid:durableId="1158886229">
    <w:abstractNumId w:val="44"/>
  </w:num>
  <w:num w:numId="60" w16cid:durableId="1453090846">
    <w:abstractNumId w:val="53"/>
  </w:num>
  <w:num w:numId="61" w16cid:durableId="28189412">
    <w:abstractNumId w:val="43"/>
  </w:num>
  <w:num w:numId="62" w16cid:durableId="1331786075">
    <w:abstractNumId w:val="22"/>
  </w:num>
  <w:num w:numId="63" w16cid:durableId="1769764828">
    <w:abstractNumId w:val="33"/>
  </w:num>
  <w:num w:numId="64" w16cid:durableId="472871627">
    <w:abstractNumId w:val="48"/>
  </w:num>
  <w:num w:numId="65" w16cid:durableId="184947853">
    <w:abstractNumId w:val="45"/>
  </w:num>
  <w:num w:numId="66" w16cid:durableId="64469787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8E1"/>
    <w:rsid w:val="000F4C0A"/>
    <w:rsid w:val="002978F5"/>
    <w:rsid w:val="003852CF"/>
    <w:rsid w:val="004E780C"/>
    <w:rsid w:val="008F5223"/>
    <w:rsid w:val="00B548E1"/>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A04B7"/>
  <w15:chartTrackingRefBased/>
  <w15:docId w15:val="{BB56A78A-8666-481E-A2B3-C0493C5D8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48E1"/>
    <w:pPr>
      <w:spacing w:line="259" w:lineRule="auto"/>
    </w:pPr>
    <w:rPr>
      <w:sz w:val="22"/>
      <w:szCs w:val="22"/>
    </w:rPr>
  </w:style>
  <w:style w:type="paragraph" w:styleId="Heading1">
    <w:name w:val="heading 1"/>
    <w:basedOn w:val="Normal"/>
    <w:next w:val="Normal"/>
    <w:link w:val="Heading1Char"/>
    <w:uiPriority w:val="9"/>
    <w:qFormat/>
    <w:rsid w:val="00B548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548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548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B548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B548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B548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48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48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48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48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548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548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B548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B548E1"/>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B548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48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48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48E1"/>
    <w:rPr>
      <w:rFonts w:eastAsiaTheme="majorEastAsia" w:cstheme="majorBidi"/>
      <w:color w:val="272727" w:themeColor="text1" w:themeTint="D8"/>
    </w:rPr>
  </w:style>
  <w:style w:type="paragraph" w:styleId="Title">
    <w:name w:val="Title"/>
    <w:basedOn w:val="Normal"/>
    <w:next w:val="Normal"/>
    <w:link w:val="TitleChar"/>
    <w:uiPriority w:val="10"/>
    <w:qFormat/>
    <w:rsid w:val="00B548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48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48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48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48E1"/>
    <w:pPr>
      <w:spacing w:before="160"/>
      <w:jc w:val="center"/>
    </w:pPr>
    <w:rPr>
      <w:i/>
      <w:iCs/>
      <w:color w:val="404040" w:themeColor="text1" w:themeTint="BF"/>
    </w:rPr>
  </w:style>
  <w:style w:type="character" w:customStyle="1" w:styleId="QuoteChar">
    <w:name w:val="Quote Char"/>
    <w:basedOn w:val="DefaultParagraphFont"/>
    <w:link w:val="Quote"/>
    <w:uiPriority w:val="29"/>
    <w:rsid w:val="00B548E1"/>
    <w:rPr>
      <w:i/>
      <w:iCs/>
      <w:color w:val="404040" w:themeColor="text1" w:themeTint="BF"/>
    </w:rPr>
  </w:style>
  <w:style w:type="paragraph" w:styleId="ListParagraph">
    <w:name w:val="List Paragraph"/>
    <w:basedOn w:val="Normal"/>
    <w:uiPriority w:val="34"/>
    <w:qFormat/>
    <w:rsid w:val="00B548E1"/>
    <w:pPr>
      <w:ind w:left="720"/>
      <w:contextualSpacing/>
    </w:pPr>
  </w:style>
  <w:style w:type="character" w:styleId="IntenseEmphasis">
    <w:name w:val="Intense Emphasis"/>
    <w:basedOn w:val="DefaultParagraphFont"/>
    <w:uiPriority w:val="21"/>
    <w:qFormat/>
    <w:rsid w:val="00B548E1"/>
    <w:rPr>
      <w:i/>
      <w:iCs/>
      <w:color w:val="0F4761" w:themeColor="accent1" w:themeShade="BF"/>
    </w:rPr>
  </w:style>
  <w:style w:type="paragraph" w:styleId="IntenseQuote">
    <w:name w:val="Intense Quote"/>
    <w:basedOn w:val="Normal"/>
    <w:next w:val="Normal"/>
    <w:link w:val="IntenseQuoteChar"/>
    <w:uiPriority w:val="30"/>
    <w:qFormat/>
    <w:rsid w:val="00B548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48E1"/>
    <w:rPr>
      <w:i/>
      <w:iCs/>
      <w:color w:val="0F4761" w:themeColor="accent1" w:themeShade="BF"/>
    </w:rPr>
  </w:style>
  <w:style w:type="character" w:styleId="IntenseReference">
    <w:name w:val="Intense Reference"/>
    <w:basedOn w:val="DefaultParagraphFont"/>
    <w:uiPriority w:val="32"/>
    <w:qFormat/>
    <w:rsid w:val="00B548E1"/>
    <w:rPr>
      <w:b/>
      <w:bCs/>
      <w:smallCaps/>
      <w:color w:val="0F4761" w:themeColor="accent1" w:themeShade="BF"/>
      <w:spacing w:val="5"/>
    </w:rPr>
  </w:style>
  <w:style w:type="character" w:styleId="Emphasis">
    <w:name w:val="Emphasis"/>
    <w:basedOn w:val="DefaultParagraphFont"/>
    <w:uiPriority w:val="20"/>
    <w:qFormat/>
    <w:rsid w:val="00B548E1"/>
    <w:rPr>
      <w:i/>
      <w:iCs/>
    </w:rPr>
  </w:style>
  <w:style w:type="character" w:styleId="CommentReference">
    <w:name w:val="annotation reference"/>
    <w:basedOn w:val="DefaultParagraphFont"/>
    <w:uiPriority w:val="99"/>
    <w:semiHidden/>
    <w:unhideWhenUsed/>
    <w:rsid w:val="00B548E1"/>
    <w:rPr>
      <w:sz w:val="16"/>
      <w:szCs w:val="16"/>
    </w:rPr>
  </w:style>
  <w:style w:type="paragraph" w:styleId="CommentText">
    <w:name w:val="annotation text"/>
    <w:basedOn w:val="Normal"/>
    <w:link w:val="CommentTextChar"/>
    <w:uiPriority w:val="99"/>
    <w:unhideWhenUsed/>
    <w:rsid w:val="00B548E1"/>
    <w:pPr>
      <w:spacing w:line="240" w:lineRule="auto"/>
    </w:pPr>
    <w:rPr>
      <w:sz w:val="20"/>
      <w:szCs w:val="20"/>
    </w:rPr>
  </w:style>
  <w:style w:type="character" w:customStyle="1" w:styleId="CommentTextChar">
    <w:name w:val="Comment Text Char"/>
    <w:basedOn w:val="DefaultParagraphFont"/>
    <w:link w:val="CommentText"/>
    <w:uiPriority w:val="99"/>
    <w:rsid w:val="00B548E1"/>
    <w:rPr>
      <w:sz w:val="20"/>
      <w:szCs w:val="20"/>
    </w:rPr>
  </w:style>
  <w:style w:type="paragraph" w:styleId="BodyText2">
    <w:name w:val="Body Text 2"/>
    <w:basedOn w:val="Normal"/>
    <w:link w:val="BodyText2Char"/>
    <w:uiPriority w:val="99"/>
    <w:unhideWhenUsed/>
    <w:rsid w:val="00B548E1"/>
    <w:pPr>
      <w:spacing w:line="360" w:lineRule="auto"/>
      <w:jc w:val="center"/>
    </w:pPr>
    <w:rPr>
      <w:rFonts w:ascii="Times New Roman" w:hAnsi="Times New Roman" w:cs="Times New Roman"/>
      <w:b/>
      <w:bCs/>
      <w:sz w:val="28"/>
      <w:szCs w:val="28"/>
      <w:shd w:val="clear" w:color="auto" w:fill="FFFFFF"/>
    </w:rPr>
  </w:style>
  <w:style w:type="character" w:customStyle="1" w:styleId="BodyText2Char">
    <w:name w:val="Body Text 2 Char"/>
    <w:basedOn w:val="DefaultParagraphFont"/>
    <w:link w:val="BodyText2"/>
    <w:uiPriority w:val="99"/>
    <w:rsid w:val="00B548E1"/>
    <w:rPr>
      <w:rFonts w:ascii="Times New Roman" w:hAnsi="Times New Roman" w:cs="Times New Roman"/>
      <w:b/>
      <w:bCs/>
      <w:sz w:val="28"/>
      <w:szCs w:val="28"/>
    </w:rPr>
  </w:style>
  <w:style w:type="paragraph" w:customStyle="1" w:styleId="Default">
    <w:name w:val="Default"/>
    <w:rsid w:val="00B548E1"/>
    <w:pPr>
      <w:autoSpaceDE w:val="0"/>
      <w:autoSpaceDN w:val="0"/>
      <w:adjustRightInd w:val="0"/>
      <w:spacing w:after="0" w:line="240" w:lineRule="auto"/>
    </w:pPr>
    <w:rPr>
      <w:rFonts w:ascii="Calibri" w:hAnsi="Calibri" w:cs="Calibri"/>
      <w:color w:val="000000"/>
      <w:kern w:val="0"/>
    </w:rPr>
  </w:style>
  <w:style w:type="paragraph" w:customStyle="1" w:styleId="attribute">
    <w:name w:val="attribute"/>
    <w:basedOn w:val="Normal"/>
    <w:rsid w:val="00B548E1"/>
    <w:pPr>
      <w:spacing w:after="0" w:line="240" w:lineRule="auto"/>
    </w:pPr>
    <w:rPr>
      <w:rFonts w:ascii="Arial" w:eastAsia="Arial" w:hAnsi="Arial" w:cs="Arial"/>
      <w:kern w:val="0"/>
      <w:sz w:val="24"/>
      <w:szCs w:val="24"/>
      <w:lang w:eastAsia="en-ZA"/>
      <w14:ligatures w14:val="none"/>
    </w:rPr>
  </w:style>
  <w:style w:type="paragraph" w:customStyle="1" w:styleId="groupingentityh2">
    <w:name w:val="grouping_entity_h2"/>
    <w:basedOn w:val="Normal"/>
    <w:rsid w:val="00B548E1"/>
    <w:pPr>
      <w:spacing w:after="0" w:line="240" w:lineRule="auto"/>
    </w:pPr>
    <w:rPr>
      <w:rFonts w:ascii="Arial" w:eastAsia="Arial" w:hAnsi="Arial" w:cs="Arial"/>
      <w:kern w:val="0"/>
      <w:sz w:val="28"/>
      <w:szCs w:val="28"/>
      <w:lang w:eastAsia="en-ZA"/>
      <w14:ligatures w14:val="none"/>
    </w:rPr>
  </w:style>
  <w:style w:type="character" w:customStyle="1" w:styleId="colorIndicator">
    <w:name w:val="colorIndicator"/>
    <w:basedOn w:val="DefaultParagraphFont"/>
    <w:rsid w:val="00B548E1"/>
    <w:rPr>
      <w:sz w:val="36"/>
      <w:szCs w:val="36"/>
    </w:rPr>
  </w:style>
  <w:style w:type="paragraph" w:customStyle="1" w:styleId="normalentityh3">
    <w:name w:val="normal_entity_h3"/>
    <w:basedOn w:val="Normal"/>
    <w:rsid w:val="00B548E1"/>
    <w:pPr>
      <w:spacing w:after="0" w:line="240" w:lineRule="auto"/>
    </w:pPr>
    <w:rPr>
      <w:rFonts w:ascii="Arial" w:eastAsia="Arial" w:hAnsi="Arial" w:cs="Arial"/>
      <w:kern w:val="0"/>
      <w:sz w:val="24"/>
      <w:szCs w:val="24"/>
      <w:lang w:eastAsia="en-ZA"/>
      <w14:ligatures w14:val="none"/>
    </w:rPr>
  </w:style>
  <w:style w:type="paragraph" w:customStyle="1" w:styleId="divreferencedContentp">
    <w:name w:val="div_referencedContent_p"/>
    <w:basedOn w:val="Normal"/>
    <w:rsid w:val="00B548E1"/>
    <w:pPr>
      <w:pBdr>
        <w:left w:val="none" w:sz="0" w:space="10" w:color="auto"/>
      </w:pBdr>
      <w:spacing w:after="0" w:line="240" w:lineRule="auto"/>
    </w:pPr>
    <w:rPr>
      <w:rFonts w:ascii="Times New Roman" w:eastAsia="Times New Roman" w:hAnsi="Times New Roman" w:cs="Times New Roman"/>
      <w:kern w:val="0"/>
      <w:sz w:val="24"/>
      <w:szCs w:val="24"/>
      <w:lang w:eastAsia="en-ZA"/>
      <w14:ligatures w14:val="none"/>
    </w:rPr>
  </w:style>
  <w:style w:type="character" w:customStyle="1" w:styleId="commentAttribute">
    <w:name w:val="commentAttribute"/>
    <w:basedOn w:val="DefaultParagraphFont"/>
    <w:rsid w:val="00B548E1"/>
    <w:rPr>
      <w:b w:val="0"/>
      <w:bCs w:val="0"/>
      <w:sz w:val="18"/>
      <w:szCs w:val="18"/>
    </w:rPr>
  </w:style>
  <w:style w:type="paragraph" w:customStyle="1" w:styleId="divreferencedCommentp">
    <w:name w:val="div_referencedComment_p"/>
    <w:basedOn w:val="Normal"/>
    <w:rsid w:val="00B548E1"/>
    <w:pPr>
      <w:pBdr>
        <w:left w:val="single" w:sz="8" w:space="10" w:color="0000FF"/>
      </w:pBdr>
      <w:spacing w:after="0" w:line="240" w:lineRule="auto"/>
    </w:pPr>
    <w:rPr>
      <w:rFonts w:ascii="Times New Roman" w:eastAsia="Times New Roman" w:hAnsi="Times New Roman" w:cs="Times New Roman"/>
      <w:i/>
      <w:iCs/>
      <w:kern w:val="0"/>
      <w:sz w:val="24"/>
      <w:szCs w:val="24"/>
      <w:lang w:eastAsia="en-ZA"/>
      <w14:ligatures w14:val="none"/>
    </w:rPr>
  </w:style>
  <w:style w:type="paragraph" w:customStyle="1" w:styleId="Header1">
    <w:name w:val="Header1"/>
    <w:basedOn w:val="Normal"/>
    <w:rsid w:val="00B548E1"/>
    <w:pPr>
      <w:spacing w:after="0" w:line="240" w:lineRule="auto"/>
    </w:pPr>
    <w:rPr>
      <w:rFonts w:ascii="Arial" w:eastAsia="Arial" w:hAnsi="Arial" w:cs="Arial"/>
      <w:kern w:val="0"/>
      <w:sz w:val="18"/>
      <w:szCs w:val="18"/>
      <w:lang w:eastAsia="en-ZA"/>
      <w14:ligatures w14:val="none"/>
    </w:rPr>
  </w:style>
  <w:style w:type="paragraph" w:customStyle="1" w:styleId="headerh2">
    <w:name w:val="header_h2"/>
    <w:basedOn w:val="Normal"/>
    <w:rsid w:val="00B548E1"/>
    <w:pPr>
      <w:spacing w:after="0" w:line="240" w:lineRule="auto"/>
    </w:pPr>
    <w:rPr>
      <w:rFonts w:ascii="Arial" w:eastAsia="Arial" w:hAnsi="Arial" w:cs="Arial"/>
      <w:kern w:val="0"/>
      <w:sz w:val="28"/>
      <w:szCs w:val="28"/>
      <w:lang w:eastAsia="en-ZA"/>
      <w14:ligatures w14:val="none"/>
    </w:rPr>
  </w:style>
  <w:style w:type="paragraph" w:customStyle="1" w:styleId="filterdiv">
    <w:name w:val="filter_div"/>
    <w:basedOn w:val="Normal"/>
    <w:rsid w:val="00B548E1"/>
    <w:pPr>
      <w:spacing w:after="0" w:line="240" w:lineRule="auto"/>
    </w:pPr>
    <w:rPr>
      <w:rFonts w:ascii="Arial" w:eastAsia="Arial" w:hAnsi="Arial" w:cs="Arial"/>
      <w:kern w:val="0"/>
      <w:sz w:val="24"/>
      <w:szCs w:val="24"/>
      <w:lang w:eastAsia="en-ZA"/>
      <w14:ligatures w14:val="none"/>
    </w:rPr>
  </w:style>
  <w:style w:type="paragraph" w:customStyle="1" w:styleId="divfilterp">
    <w:name w:val="div_filter_p"/>
    <w:basedOn w:val="Normal"/>
    <w:rsid w:val="00B548E1"/>
    <w:pPr>
      <w:spacing w:after="0" w:line="240" w:lineRule="auto"/>
    </w:pPr>
    <w:rPr>
      <w:rFonts w:ascii="Arial" w:eastAsia="Arial" w:hAnsi="Arial" w:cs="Arial"/>
      <w:kern w:val="0"/>
      <w:sz w:val="28"/>
      <w:szCs w:val="28"/>
      <w:lang w:eastAsia="en-ZA"/>
      <w14:ligatures w14:val="none"/>
    </w:rPr>
  </w:style>
  <w:style w:type="paragraph" w:customStyle="1" w:styleId="subCaption">
    <w:name w:val="subCaption"/>
    <w:basedOn w:val="Normal"/>
    <w:rsid w:val="00B548E1"/>
    <w:pPr>
      <w:spacing w:after="0" w:line="240" w:lineRule="auto"/>
    </w:pPr>
    <w:rPr>
      <w:rFonts w:ascii="Arial" w:eastAsia="Arial" w:hAnsi="Arial" w:cs="Arial"/>
      <w:b/>
      <w:bCs/>
      <w:kern w:val="0"/>
      <w:sz w:val="28"/>
      <w:szCs w:val="28"/>
      <w:lang w:eastAsia="en-ZA"/>
      <w14:ligatures w14:val="none"/>
    </w:rPr>
  </w:style>
  <w:style w:type="paragraph" w:customStyle="1" w:styleId="codes">
    <w:name w:val="codes"/>
    <w:basedOn w:val="Normal"/>
    <w:rsid w:val="00B548E1"/>
    <w:pPr>
      <w:pBdr>
        <w:left w:val="none" w:sz="0" w:space="10" w:color="auto"/>
      </w:pBdr>
      <w:spacing w:after="0" w:line="240" w:lineRule="auto"/>
    </w:pPr>
    <w:rPr>
      <w:rFonts w:ascii="Arial" w:eastAsia="Arial" w:hAnsi="Arial" w:cs="Arial"/>
      <w:kern w:val="0"/>
      <w:sz w:val="18"/>
      <w:szCs w:val="18"/>
      <w:lang w:eastAsia="en-ZA"/>
      <w14:ligatures w14:val="none"/>
    </w:rPr>
  </w:style>
  <w:style w:type="character" w:styleId="Hyperlink">
    <w:name w:val="Hyperlink"/>
    <w:basedOn w:val="DefaultParagraphFont"/>
    <w:uiPriority w:val="99"/>
    <w:unhideWhenUsed/>
    <w:rsid w:val="00B548E1"/>
    <w:rPr>
      <w:color w:val="467886" w:themeColor="hyperlink"/>
      <w:u w:val="single"/>
    </w:rPr>
  </w:style>
  <w:style w:type="character" w:customStyle="1" w:styleId="UnresolvedMention1">
    <w:name w:val="Unresolved Mention1"/>
    <w:basedOn w:val="DefaultParagraphFont"/>
    <w:uiPriority w:val="99"/>
    <w:semiHidden/>
    <w:unhideWhenUsed/>
    <w:rsid w:val="00B548E1"/>
    <w:rPr>
      <w:color w:val="605E5C"/>
      <w:shd w:val="clear" w:color="auto" w:fill="E1DFDD"/>
    </w:rPr>
  </w:style>
  <w:style w:type="paragraph" w:styleId="FootnoteText">
    <w:name w:val="footnote text"/>
    <w:basedOn w:val="Normal"/>
    <w:link w:val="FootnoteTextChar"/>
    <w:uiPriority w:val="99"/>
    <w:semiHidden/>
    <w:unhideWhenUsed/>
    <w:rsid w:val="00B548E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548E1"/>
    <w:rPr>
      <w:sz w:val="20"/>
      <w:szCs w:val="20"/>
    </w:rPr>
  </w:style>
  <w:style w:type="character" w:styleId="FootnoteReference">
    <w:name w:val="footnote reference"/>
    <w:basedOn w:val="DefaultParagraphFont"/>
    <w:uiPriority w:val="99"/>
    <w:semiHidden/>
    <w:unhideWhenUsed/>
    <w:rsid w:val="00B548E1"/>
    <w:rPr>
      <w:vertAlign w:val="superscript"/>
    </w:rPr>
  </w:style>
  <w:style w:type="paragraph" w:styleId="Header">
    <w:name w:val="header"/>
    <w:basedOn w:val="Normal"/>
    <w:link w:val="HeaderChar"/>
    <w:uiPriority w:val="99"/>
    <w:unhideWhenUsed/>
    <w:rsid w:val="00B548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48E1"/>
    <w:rPr>
      <w:sz w:val="22"/>
      <w:szCs w:val="22"/>
    </w:rPr>
  </w:style>
  <w:style w:type="paragraph" w:styleId="Footer">
    <w:name w:val="footer"/>
    <w:basedOn w:val="Normal"/>
    <w:link w:val="FooterChar"/>
    <w:uiPriority w:val="99"/>
    <w:unhideWhenUsed/>
    <w:rsid w:val="00B548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48E1"/>
    <w:rPr>
      <w:sz w:val="22"/>
      <w:szCs w:val="22"/>
    </w:rPr>
  </w:style>
  <w:style w:type="paragraph" w:customStyle="1" w:styleId="groupingentityh3">
    <w:name w:val="grouping_entity_h3"/>
    <w:basedOn w:val="Normal"/>
    <w:rsid w:val="00B548E1"/>
    <w:pPr>
      <w:spacing w:after="0" w:line="240" w:lineRule="auto"/>
    </w:pPr>
    <w:rPr>
      <w:rFonts w:ascii="Arial" w:eastAsia="Arial" w:hAnsi="Arial" w:cs="Arial"/>
      <w:kern w:val="0"/>
      <w:sz w:val="24"/>
      <w:szCs w:val="24"/>
      <w:lang w:eastAsia="en-ZA"/>
      <w14:ligatures w14:val="none"/>
    </w:rPr>
  </w:style>
  <w:style w:type="paragraph" w:styleId="Bibliography">
    <w:name w:val="Bibliography"/>
    <w:basedOn w:val="Normal"/>
    <w:next w:val="Normal"/>
    <w:uiPriority w:val="37"/>
    <w:unhideWhenUsed/>
    <w:rsid w:val="00B548E1"/>
    <w:pPr>
      <w:tabs>
        <w:tab w:val="left" w:pos="504"/>
      </w:tabs>
      <w:spacing w:after="240" w:line="240" w:lineRule="auto"/>
      <w:ind w:left="504" w:hanging="504"/>
    </w:pPr>
  </w:style>
  <w:style w:type="table" w:styleId="TableGrid">
    <w:name w:val="Table Grid"/>
    <w:basedOn w:val="TableNormal"/>
    <w:uiPriority w:val="39"/>
    <w:rsid w:val="00B548E1"/>
    <w:pPr>
      <w:spacing w:after="0" w:line="240" w:lineRule="auto"/>
    </w:pPr>
    <w:rPr>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548E1"/>
    <w:pPr>
      <w:spacing w:after="0" w:line="240" w:lineRule="auto"/>
    </w:pPr>
    <w:rPr>
      <w:sz w:val="22"/>
      <w:szCs w:val="22"/>
      <w:lang w:val="en-ZA"/>
    </w:rPr>
  </w:style>
  <w:style w:type="paragraph" w:styleId="TOC1">
    <w:name w:val="toc 1"/>
    <w:basedOn w:val="Normal"/>
    <w:next w:val="Normal"/>
    <w:uiPriority w:val="39"/>
    <w:unhideWhenUsed/>
    <w:rsid w:val="00B548E1"/>
    <w:pPr>
      <w:spacing w:after="100"/>
    </w:pPr>
  </w:style>
  <w:style w:type="paragraph" w:styleId="TOC2">
    <w:name w:val="toc 2"/>
    <w:basedOn w:val="Normal"/>
    <w:next w:val="Normal"/>
    <w:uiPriority w:val="39"/>
    <w:unhideWhenUsed/>
    <w:rsid w:val="00B548E1"/>
    <w:pPr>
      <w:spacing w:after="100"/>
      <w:ind w:left="220"/>
    </w:pPr>
  </w:style>
  <w:style w:type="paragraph" w:styleId="TableofFigures">
    <w:name w:val="table of figures"/>
    <w:aliases w:val="Annex"/>
    <w:basedOn w:val="Normal"/>
    <w:next w:val="Normal"/>
    <w:uiPriority w:val="99"/>
    <w:unhideWhenUsed/>
    <w:qFormat/>
    <w:rsid w:val="00B548E1"/>
    <w:pPr>
      <w:spacing w:after="0"/>
      <w:ind w:left="440" w:hanging="440"/>
    </w:pPr>
    <w:rPr>
      <w:smallCaps/>
      <w:sz w:val="20"/>
      <w:szCs w:val="20"/>
    </w:rPr>
  </w:style>
  <w:style w:type="character" w:styleId="PlaceholderText">
    <w:name w:val="Placeholder Text"/>
    <w:basedOn w:val="DefaultParagraphFont"/>
    <w:uiPriority w:val="99"/>
    <w:semiHidden/>
    <w:rsid w:val="00B548E1"/>
    <w:rPr>
      <w:color w:val="808080"/>
    </w:rPr>
  </w:style>
  <w:style w:type="table" w:customStyle="1" w:styleId="TableGridLight1">
    <w:name w:val="Table Grid Light1"/>
    <w:basedOn w:val="TableNormal"/>
    <w:uiPriority w:val="40"/>
    <w:rsid w:val="00B548E1"/>
    <w:pPr>
      <w:spacing w:after="0" w:line="240" w:lineRule="auto"/>
    </w:pPr>
    <w:rPr>
      <w:kern w:val="0"/>
      <w:sz w:val="22"/>
      <w:szCs w:val="22"/>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OC3">
    <w:name w:val="toc 3"/>
    <w:basedOn w:val="Normal"/>
    <w:next w:val="Normal"/>
    <w:uiPriority w:val="39"/>
    <w:unhideWhenUsed/>
    <w:rsid w:val="00B548E1"/>
    <w:pPr>
      <w:spacing w:after="100"/>
      <w:ind w:left="440"/>
    </w:pPr>
  </w:style>
  <w:style w:type="character" w:styleId="FollowedHyperlink">
    <w:name w:val="FollowedHyperlink"/>
    <w:basedOn w:val="DefaultParagraphFont"/>
    <w:uiPriority w:val="99"/>
    <w:semiHidden/>
    <w:unhideWhenUsed/>
    <w:rsid w:val="00B548E1"/>
    <w:rPr>
      <w:color w:val="96607D" w:themeColor="followedHyperlink"/>
      <w:u w:val="single"/>
    </w:rPr>
  </w:style>
  <w:style w:type="paragraph" w:styleId="BalloonText">
    <w:name w:val="Balloon Text"/>
    <w:basedOn w:val="Normal"/>
    <w:link w:val="BalloonTextChar"/>
    <w:uiPriority w:val="99"/>
    <w:semiHidden/>
    <w:unhideWhenUsed/>
    <w:rsid w:val="00B548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48E1"/>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B548E1"/>
    <w:rPr>
      <w:b/>
      <w:bCs/>
    </w:rPr>
  </w:style>
  <w:style w:type="character" w:customStyle="1" w:styleId="CommentSubjectChar">
    <w:name w:val="Comment Subject Char"/>
    <w:basedOn w:val="CommentTextChar"/>
    <w:link w:val="CommentSubject"/>
    <w:uiPriority w:val="99"/>
    <w:semiHidden/>
    <w:rsid w:val="00B548E1"/>
    <w:rPr>
      <w:b/>
      <w:bCs/>
      <w:sz w:val="20"/>
      <w:szCs w:val="20"/>
    </w:rPr>
  </w:style>
  <w:style w:type="paragraph" w:customStyle="1" w:styleId="pf0">
    <w:name w:val="pf0"/>
    <w:basedOn w:val="Normal"/>
    <w:rsid w:val="00B548E1"/>
    <w:pPr>
      <w:spacing w:before="100" w:beforeAutospacing="1" w:after="100" w:afterAutospacing="1" w:line="240" w:lineRule="auto"/>
      <w:ind w:left="300"/>
    </w:pPr>
    <w:rPr>
      <w:rFonts w:ascii="Times New Roman" w:eastAsia="Times New Roman" w:hAnsi="Times New Roman" w:cs="Times New Roman"/>
      <w:kern w:val="0"/>
      <w:sz w:val="24"/>
      <w:szCs w:val="24"/>
      <w:lang w:eastAsia="en-ZA"/>
      <w14:ligatures w14:val="none"/>
    </w:rPr>
  </w:style>
  <w:style w:type="character" w:customStyle="1" w:styleId="cf01">
    <w:name w:val="cf01"/>
    <w:basedOn w:val="DefaultParagraphFont"/>
    <w:rsid w:val="00B548E1"/>
    <w:rPr>
      <w:rFonts w:ascii="Segoe UI" w:hAnsi="Segoe UI" w:cs="Segoe UI" w:hint="default"/>
      <w:sz w:val="18"/>
      <w:szCs w:val="18"/>
    </w:rPr>
  </w:style>
  <w:style w:type="paragraph" w:styleId="NormalWeb">
    <w:name w:val="Normal (Web)"/>
    <w:basedOn w:val="Normal"/>
    <w:uiPriority w:val="99"/>
    <w:semiHidden/>
    <w:unhideWhenUsed/>
    <w:rsid w:val="00B548E1"/>
    <w:pPr>
      <w:spacing w:before="100" w:beforeAutospacing="1" w:after="100" w:afterAutospacing="1" w:line="240" w:lineRule="auto"/>
    </w:pPr>
    <w:rPr>
      <w:rFonts w:ascii="Times New Roman" w:eastAsia="Times New Roman" w:hAnsi="Times New Roman" w:cs="Times New Roman"/>
      <w:kern w:val="0"/>
      <w:sz w:val="24"/>
      <w:szCs w:val="24"/>
      <w:lang w:eastAsia="en-ZA"/>
      <w14:ligatures w14:val="none"/>
    </w:rPr>
  </w:style>
  <w:style w:type="character" w:customStyle="1" w:styleId="UnresolvedMention2">
    <w:name w:val="Unresolved Mention2"/>
    <w:basedOn w:val="DefaultParagraphFont"/>
    <w:uiPriority w:val="99"/>
    <w:semiHidden/>
    <w:unhideWhenUsed/>
    <w:rsid w:val="00B548E1"/>
    <w:rPr>
      <w:color w:val="605E5C"/>
      <w:shd w:val="clear" w:color="auto" w:fill="E1DFDD"/>
    </w:rPr>
  </w:style>
  <w:style w:type="character" w:styleId="LineNumber">
    <w:name w:val="line number"/>
    <w:basedOn w:val="DefaultParagraphFont"/>
    <w:uiPriority w:val="99"/>
    <w:semiHidden/>
    <w:unhideWhenUsed/>
    <w:rsid w:val="00B548E1"/>
  </w:style>
  <w:style w:type="character" w:styleId="UnresolvedMention">
    <w:name w:val="Unresolved Mention"/>
    <w:basedOn w:val="DefaultParagraphFont"/>
    <w:uiPriority w:val="99"/>
    <w:semiHidden/>
    <w:unhideWhenUsed/>
    <w:rsid w:val="00B548E1"/>
    <w:rPr>
      <w:color w:val="605E5C"/>
      <w:shd w:val="clear" w:color="auto" w:fill="E1DFDD"/>
    </w:rPr>
  </w:style>
  <w:style w:type="paragraph" w:styleId="Caption">
    <w:name w:val="caption"/>
    <w:basedOn w:val="Normal"/>
    <w:next w:val="Normal"/>
    <w:uiPriority w:val="35"/>
    <w:unhideWhenUsed/>
    <w:qFormat/>
    <w:rsid w:val="00B548E1"/>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9209</Words>
  <Characters>52497</Characters>
  <Application>Microsoft Office Word</Application>
  <DocSecurity>0</DocSecurity>
  <Lines>437</Lines>
  <Paragraphs>123</Paragraphs>
  <ScaleCrop>false</ScaleCrop>
  <Company/>
  <LinksUpToDate>false</LinksUpToDate>
  <CharactersWithSpaces>61583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2025-09-01T13:23:00Z</dcterms:created>
  <dcterms:modified xsi:type="dcterms:W3CDTF">2025-09-01T13:23:00Z</dcterms:modified>
</cp:coreProperties>
</file>