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1F510" w14:textId="00AB07B0" w:rsidR="00FF14FD" w:rsidRDefault="00741DB9" w:rsidP="00970FD0">
      <w:pPr>
        <w:jc w:val="center"/>
        <w:rPr>
          <w:rFonts w:asciiTheme="majorBidi" w:hAnsiTheme="majorBidi" w:cstheme="majorBidi"/>
          <w:b/>
          <w:bCs/>
        </w:rPr>
      </w:pPr>
      <w:r>
        <w:rPr>
          <w:rFonts w:asciiTheme="majorBidi" w:hAnsiTheme="majorBidi" w:cstheme="majorBidi"/>
          <w:b/>
          <w:bCs/>
        </w:rPr>
        <w:t>Supplementary</w:t>
      </w:r>
      <w:r w:rsidR="00FF14FD">
        <w:rPr>
          <w:rFonts w:asciiTheme="majorBidi" w:hAnsiTheme="majorBidi" w:cstheme="majorBidi"/>
          <w:b/>
          <w:bCs/>
        </w:rPr>
        <w:t xml:space="preserve"> material</w:t>
      </w:r>
    </w:p>
    <w:p w14:paraId="1ADD67B5" w14:textId="774056C4" w:rsidR="00FF14FD" w:rsidRDefault="00B80DAE" w:rsidP="00970FD0">
      <w:pPr>
        <w:jc w:val="center"/>
        <w:rPr>
          <w:rFonts w:asciiTheme="majorBidi" w:hAnsiTheme="majorBidi" w:cstheme="majorBidi"/>
          <w:b/>
          <w:bCs/>
        </w:rPr>
      </w:pPr>
      <w:r>
        <w:rPr>
          <w:noProof/>
        </w:rPr>
        <w:drawing>
          <wp:inline distT="0" distB="0" distL="0" distR="0" wp14:anchorId="3FAFAD4C" wp14:editId="3B3D430B">
            <wp:extent cx="5943600" cy="2809240"/>
            <wp:effectExtent l="0" t="0" r="0" b="0"/>
            <wp:docPr id="15104459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4599" name="Picture 1" descr="A diagram of a flowchart&#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09240"/>
                    </a:xfrm>
                    <a:prstGeom prst="rect">
                      <a:avLst/>
                    </a:prstGeom>
                    <a:noFill/>
                    <a:ln>
                      <a:noFill/>
                    </a:ln>
                  </pic:spPr>
                </pic:pic>
              </a:graphicData>
            </a:graphic>
          </wp:inline>
        </w:drawing>
      </w:r>
    </w:p>
    <w:p w14:paraId="0E484E18" w14:textId="3ABCEB15" w:rsidR="00B80DAE" w:rsidRPr="00FF14FD" w:rsidRDefault="00B80DAE" w:rsidP="00B80DAE">
      <w:pPr>
        <w:jc w:val="both"/>
        <w:rPr>
          <w:rFonts w:asciiTheme="majorBidi" w:hAnsiTheme="majorBidi" w:cstheme="majorBidi"/>
          <w:b/>
          <w:bCs/>
        </w:rPr>
      </w:pPr>
      <w:r>
        <w:rPr>
          <w:rFonts w:asciiTheme="majorBidi" w:hAnsiTheme="majorBidi" w:cstheme="majorBidi"/>
          <w:b/>
          <w:bCs/>
        </w:rPr>
        <w:t xml:space="preserve">Figure S1. </w:t>
      </w:r>
      <w:r w:rsidRPr="00B80DAE">
        <w:rPr>
          <w:rFonts w:asciiTheme="majorBidi" w:hAnsiTheme="majorBidi" w:cstheme="majorBidi"/>
        </w:rPr>
        <w:t>Bioinformatic pipeline for the identification of selection signatures and Random Forest (RF) model training (A), and valiant calling and imputation using the Practical Haplotype Graph (PHG) for the MAGIC population (B).</w:t>
      </w:r>
      <w:r>
        <w:rPr>
          <w:rFonts w:asciiTheme="majorBidi" w:hAnsiTheme="majorBidi" w:cstheme="majorBidi"/>
        </w:rPr>
        <w:t xml:space="preserve"> WT: Wild type, SIFT: </w:t>
      </w:r>
      <w:r w:rsidRPr="00B80DAE">
        <w:rPr>
          <w:rFonts w:asciiTheme="majorBidi" w:hAnsiTheme="majorBidi" w:cstheme="majorBidi"/>
        </w:rPr>
        <w:t>Sorting Intolerant from Tolerant</w:t>
      </w:r>
      <w:r>
        <w:rPr>
          <w:rFonts w:asciiTheme="majorBidi" w:hAnsiTheme="majorBidi" w:cstheme="majorBidi"/>
        </w:rPr>
        <w:t xml:space="preserve">. MAGIC: Multiparent Advanced Generation Inter-cross. </w:t>
      </w:r>
    </w:p>
    <w:p w14:paraId="7A6C1840" w14:textId="34D571D0" w:rsidR="00CD3367" w:rsidRDefault="006316AA" w:rsidP="00970FD0">
      <w:pPr>
        <w:jc w:val="both"/>
        <w:rPr>
          <w:rFonts w:asciiTheme="majorBidi" w:hAnsiTheme="majorBidi" w:cstheme="majorBidi"/>
        </w:rPr>
      </w:pPr>
      <w:r>
        <w:rPr>
          <w:rFonts w:asciiTheme="majorBidi" w:hAnsiTheme="majorBidi" w:cstheme="majorBidi"/>
          <w:noProof/>
        </w:rPr>
        <w:drawing>
          <wp:inline distT="0" distB="0" distL="0" distR="0" wp14:anchorId="44A0E69C" wp14:editId="7B7322AB">
            <wp:extent cx="5760000" cy="3044992"/>
            <wp:effectExtent l="0" t="0" r="0" b="3175"/>
            <wp:docPr id="817384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00" cy="3044992"/>
                    </a:xfrm>
                    <a:prstGeom prst="rect">
                      <a:avLst/>
                    </a:prstGeom>
                    <a:noFill/>
                  </pic:spPr>
                </pic:pic>
              </a:graphicData>
            </a:graphic>
          </wp:inline>
        </w:drawing>
      </w:r>
    </w:p>
    <w:p w14:paraId="3A4D460E" w14:textId="5C94E5ED" w:rsidR="006316AA" w:rsidRDefault="006316AA" w:rsidP="00970FD0">
      <w:pPr>
        <w:jc w:val="both"/>
        <w:rPr>
          <w:rFonts w:asciiTheme="majorBidi" w:hAnsiTheme="majorBidi" w:cstheme="majorBidi"/>
        </w:rPr>
      </w:pPr>
      <w:r>
        <w:rPr>
          <w:rFonts w:asciiTheme="majorBidi" w:hAnsiTheme="majorBidi" w:cstheme="majorBidi"/>
          <w:b/>
          <w:bCs/>
        </w:rPr>
        <w:t>Figure S</w:t>
      </w:r>
      <w:r w:rsidR="00E00C93">
        <w:rPr>
          <w:rFonts w:asciiTheme="majorBidi" w:hAnsiTheme="majorBidi" w:cstheme="majorBidi"/>
          <w:b/>
          <w:bCs/>
        </w:rPr>
        <w:t>2</w:t>
      </w:r>
      <w:r>
        <w:rPr>
          <w:rFonts w:asciiTheme="majorBidi" w:hAnsiTheme="majorBidi" w:cstheme="majorBidi"/>
          <w:b/>
          <w:bCs/>
        </w:rPr>
        <w:t xml:space="preserve">. </w:t>
      </w:r>
      <w:r>
        <w:rPr>
          <w:rFonts w:asciiTheme="majorBidi" w:hAnsiTheme="majorBidi" w:cstheme="majorBidi"/>
        </w:rPr>
        <w:t>Schematic representation of the crossing scheme for the black bean MAGIC population. The two-way crosses were multi-funnel (diallelic) having all the parental combinations. Crosses with the same parents either as female or male were considered reciprocal.</w:t>
      </w:r>
    </w:p>
    <w:p w14:paraId="410F1A5C" w14:textId="77777777" w:rsidR="006316AA" w:rsidRPr="006316AA" w:rsidRDefault="006316AA" w:rsidP="00970FD0">
      <w:pPr>
        <w:jc w:val="both"/>
        <w:rPr>
          <w:rFonts w:asciiTheme="majorBidi" w:hAnsiTheme="majorBidi" w:cstheme="majorBidi"/>
        </w:rPr>
      </w:pPr>
    </w:p>
    <w:p w14:paraId="263108F8" w14:textId="08407057" w:rsidR="00970FD0" w:rsidRDefault="00C85E51" w:rsidP="00970FD0">
      <w:pPr>
        <w:jc w:val="center"/>
        <w:rPr>
          <w:rFonts w:asciiTheme="majorBidi" w:hAnsiTheme="majorBidi" w:cstheme="majorBidi"/>
          <w:b/>
          <w:bCs/>
        </w:rPr>
      </w:pPr>
      <w:r>
        <w:rPr>
          <w:rFonts w:asciiTheme="majorBidi" w:hAnsiTheme="majorBidi" w:cstheme="majorBidi"/>
          <w:b/>
          <w:bCs/>
          <w:noProof/>
        </w:rPr>
        <w:lastRenderedPageBreak/>
        <w:drawing>
          <wp:inline distT="0" distB="0" distL="0" distR="0" wp14:anchorId="7002FA7E" wp14:editId="7C935553">
            <wp:extent cx="4005557" cy="2886189"/>
            <wp:effectExtent l="0" t="0" r="0" b="0"/>
            <wp:docPr id="130150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17573" cy="2894847"/>
                    </a:xfrm>
                    <a:prstGeom prst="rect">
                      <a:avLst/>
                    </a:prstGeom>
                    <a:noFill/>
                  </pic:spPr>
                </pic:pic>
              </a:graphicData>
            </a:graphic>
          </wp:inline>
        </w:drawing>
      </w:r>
    </w:p>
    <w:p w14:paraId="269016C6" w14:textId="260756A4" w:rsidR="00C85E51" w:rsidRDefault="00C85E51" w:rsidP="00C85E51">
      <w:pPr>
        <w:jc w:val="both"/>
        <w:rPr>
          <w:rFonts w:asciiTheme="majorBidi" w:hAnsiTheme="majorBidi" w:cstheme="majorBidi"/>
        </w:rPr>
      </w:pPr>
      <w:r>
        <w:rPr>
          <w:rFonts w:asciiTheme="majorBidi" w:hAnsiTheme="majorBidi" w:cstheme="majorBidi"/>
          <w:b/>
          <w:bCs/>
        </w:rPr>
        <w:t>Figure S</w:t>
      </w:r>
      <w:r w:rsidR="00E00C93">
        <w:rPr>
          <w:rFonts w:asciiTheme="majorBidi" w:hAnsiTheme="majorBidi" w:cstheme="majorBidi"/>
          <w:b/>
          <w:bCs/>
        </w:rPr>
        <w:t>3</w:t>
      </w:r>
      <w:r>
        <w:rPr>
          <w:rFonts w:asciiTheme="majorBidi" w:hAnsiTheme="majorBidi" w:cstheme="majorBidi"/>
          <w:b/>
          <w:bCs/>
        </w:rPr>
        <w:t xml:space="preserve">. </w:t>
      </w:r>
      <w:r w:rsidRPr="00C85E51">
        <w:rPr>
          <w:rFonts w:asciiTheme="majorBidi" w:hAnsiTheme="majorBidi" w:cstheme="majorBidi"/>
        </w:rPr>
        <w:t xml:space="preserve">Distribution of </w:t>
      </w:r>
      <w:r>
        <w:rPr>
          <w:rFonts w:asciiTheme="majorBidi" w:hAnsiTheme="majorBidi" w:cstheme="majorBidi"/>
        </w:rPr>
        <w:t xml:space="preserve">deleterious scores per chromosome based on the sequencing of the eight </w:t>
      </w:r>
      <w:r w:rsidRPr="00434472">
        <w:rPr>
          <w:rFonts w:asciiTheme="majorBidi" w:hAnsiTheme="majorBidi" w:cstheme="majorBidi"/>
          <w:i/>
          <w:iCs/>
        </w:rPr>
        <w:t>parents</w:t>
      </w:r>
      <w:r>
        <w:rPr>
          <w:rFonts w:asciiTheme="majorBidi" w:hAnsiTheme="majorBidi" w:cstheme="majorBidi"/>
        </w:rPr>
        <w:t xml:space="preserve"> of the black bean MAGIC population.</w:t>
      </w:r>
    </w:p>
    <w:p w14:paraId="0B94B6C8" w14:textId="261B346F" w:rsidR="00970FD0" w:rsidRPr="00544168" w:rsidRDefault="00C85E51" w:rsidP="00970FD0">
      <w:pPr>
        <w:jc w:val="center"/>
        <w:rPr>
          <w:rFonts w:asciiTheme="majorBidi" w:hAnsiTheme="majorBidi" w:cstheme="majorBidi"/>
          <w:b/>
          <w:bCs/>
        </w:rPr>
      </w:pPr>
      <w:r>
        <w:rPr>
          <w:rFonts w:asciiTheme="majorBidi" w:hAnsiTheme="majorBidi" w:cstheme="majorBidi"/>
          <w:b/>
          <w:bCs/>
          <w:noProof/>
        </w:rPr>
        <w:drawing>
          <wp:inline distT="0" distB="0" distL="0" distR="0" wp14:anchorId="7B433C86" wp14:editId="60C3BEF7">
            <wp:extent cx="5400000" cy="2775254"/>
            <wp:effectExtent l="0" t="0" r="0" b="6350"/>
            <wp:docPr id="1600128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2775254"/>
                    </a:xfrm>
                    <a:prstGeom prst="rect">
                      <a:avLst/>
                    </a:prstGeom>
                    <a:noFill/>
                  </pic:spPr>
                </pic:pic>
              </a:graphicData>
            </a:graphic>
          </wp:inline>
        </w:drawing>
      </w:r>
    </w:p>
    <w:p w14:paraId="1B6D4CDB" w14:textId="73B9F558" w:rsidR="00CD3367" w:rsidRPr="00CD3367" w:rsidRDefault="00970FD0" w:rsidP="00CD3367">
      <w:pPr>
        <w:jc w:val="both"/>
        <w:rPr>
          <w:rFonts w:asciiTheme="majorBidi" w:hAnsiTheme="majorBidi" w:cstheme="majorBidi"/>
        </w:rPr>
      </w:pPr>
      <w:r w:rsidRPr="00544168">
        <w:rPr>
          <w:rFonts w:asciiTheme="majorBidi" w:hAnsiTheme="majorBidi" w:cstheme="majorBidi"/>
          <w:b/>
          <w:bCs/>
        </w:rPr>
        <w:t>Figure S</w:t>
      </w:r>
      <w:r w:rsidR="00E00C93">
        <w:rPr>
          <w:rFonts w:asciiTheme="majorBidi" w:hAnsiTheme="majorBidi" w:cstheme="majorBidi"/>
          <w:b/>
          <w:bCs/>
        </w:rPr>
        <w:t>4</w:t>
      </w:r>
      <w:r w:rsidRPr="00544168">
        <w:rPr>
          <w:rFonts w:asciiTheme="majorBidi" w:hAnsiTheme="majorBidi" w:cstheme="majorBidi"/>
          <w:b/>
          <w:bCs/>
        </w:rPr>
        <w:t>.</w:t>
      </w:r>
      <w:r w:rsidR="00CD3367">
        <w:rPr>
          <w:rFonts w:asciiTheme="majorBidi" w:hAnsiTheme="majorBidi" w:cstheme="majorBidi"/>
          <w:b/>
          <w:bCs/>
        </w:rPr>
        <w:t xml:space="preserve"> </w:t>
      </w:r>
      <w:r w:rsidR="00CD3367">
        <w:rPr>
          <w:rFonts w:asciiTheme="majorBidi" w:hAnsiTheme="majorBidi" w:cstheme="majorBidi"/>
        </w:rPr>
        <w:t xml:space="preserve">Correlation between the number of deleterious alleles </w:t>
      </w:r>
      <w:r w:rsidR="009B27B4">
        <w:rPr>
          <w:rFonts w:asciiTheme="majorBidi" w:hAnsiTheme="majorBidi" w:cstheme="majorBidi"/>
        </w:rPr>
        <w:t xml:space="preserve">with </w:t>
      </w:r>
      <w:r w:rsidR="00CD3367">
        <w:rPr>
          <w:rFonts w:asciiTheme="majorBidi" w:hAnsiTheme="majorBidi" w:cstheme="majorBidi"/>
        </w:rPr>
        <w:t>score &gt;</w:t>
      </w:r>
      <w:r w:rsidR="009B27B4">
        <w:rPr>
          <w:rFonts w:asciiTheme="majorBidi" w:hAnsiTheme="majorBidi" w:cstheme="majorBidi"/>
        </w:rPr>
        <w:t xml:space="preserve"> </w:t>
      </w:r>
      <w:r w:rsidR="00CD3367">
        <w:rPr>
          <w:rFonts w:asciiTheme="majorBidi" w:hAnsiTheme="majorBidi" w:cstheme="majorBidi"/>
        </w:rPr>
        <w:t>0.</w:t>
      </w:r>
      <w:r w:rsidR="009B27B4">
        <w:rPr>
          <w:rFonts w:asciiTheme="majorBidi" w:hAnsiTheme="majorBidi" w:cstheme="majorBidi"/>
        </w:rPr>
        <w:t>7</w:t>
      </w:r>
      <w:r w:rsidR="00CD3367">
        <w:rPr>
          <w:rFonts w:asciiTheme="majorBidi" w:hAnsiTheme="majorBidi" w:cstheme="majorBidi"/>
        </w:rPr>
        <w:t xml:space="preserve">0 </w:t>
      </w:r>
      <w:r w:rsidR="00C85E51">
        <w:rPr>
          <w:rFonts w:asciiTheme="majorBidi" w:hAnsiTheme="majorBidi" w:cstheme="majorBidi"/>
        </w:rPr>
        <w:t xml:space="preserve">(A) and &gt; 0.80 (B) </w:t>
      </w:r>
      <w:r w:rsidR="00CD3367">
        <w:rPr>
          <w:rFonts w:asciiTheme="majorBidi" w:hAnsiTheme="majorBidi" w:cstheme="majorBidi"/>
        </w:rPr>
        <w:t xml:space="preserve">and </w:t>
      </w:r>
      <w:r w:rsidR="009B27B4">
        <w:rPr>
          <w:rFonts w:asciiTheme="majorBidi" w:hAnsiTheme="majorBidi" w:cstheme="majorBidi"/>
        </w:rPr>
        <w:t xml:space="preserve">genome-wise </w:t>
      </w:r>
      <w:r w:rsidR="00C85E51">
        <w:rPr>
          <w:rFonts w:asciiTheme="majorBidi" w:hAnsiTheme="majorBidi" w:cstheme="majorBidi"/>
        </w:rPr>
        <w:t>g</w:t>
      </w:r>
      <w:r w:rsidR="00CD3367">
        <w:rPr>
          <w:rFonts w:asciiTheme="majorBidi" w:hAnsiTheme="majorBidi" w:cstheme="majorBidi"/>
        </w:rPr>
        <w:t xml:space="preserve">enetic load in MAGIC population RILs. Pearson’s correlation coefficient – R is indicated with the p-value of the test. </w:t>
      </w:r>
    </w:p>
    <w:p w14:paraId="40BC4A13" w14:textId="6522EF19" w:rsidR="00970FD0" w:rsidRPr="00CD3367" w:rsidRDefault="00CD3367" w:rsidP="009B27B4">
      <w:pPr>
        <w:jc w:val="both"/>
        <w:rPr>
          <w:rFonts w:asciiTheme="majorBidi" w:hAnsiTheme="majorBidi" w:cstheme="majorBidi"/>
        </w:rPr>
      </w:pPr>
      <w:r>
        <w:rPr>
          <w:rFonts w:asciiTheme="majorBidi" w:hAnsiTheme="majorBidi" w:cstheme="majorBidi"/>
        </w:rPr>
        <w:t xml:space="preserve"> </w:t>
      </w:r>
    </w:p>
    <w:p w14:paraId="682DA402" w14:textId="79553405" w:rsidR="00AA39A1" w:rsidRDefault="00CD3367" w:rsidP="00AA39A1">
      <w:pPr>
        <w:ind w:left="-284"/>
        <w:jc w:val="both"/>
        <w:rPr>
          <w:rFonts w:asciiTheme="majorBidi" w:hAnsiTheme="majorBidi" w:cstheme="majorBidi"/>
          <w:b/>
          <w:bCs/>
          <w:iCs/>
        </w:rPr>
      </w:pPr>
      <w:r>
        <w:rPr>
          <w:rFonts w:asciiTheme="majorBidi" w:hAnsiTheme="majorBidi" w:cstheme="majorBidi"/>
          <w:b/>
          <w:bCs/>
          <w:iCs/>
          <w:noProof/>
        </w:rPr>
        <w:lastRenderedPageBreak/>
        <w:drawing>
          <wp:inline distT="0" distB="0" distL="0" distR="0" wp14:anchorId="785B578A" wp14:editId="2FC77BF6">
            <wp:extent cx="6289410" cy="3005597"/>
            <wp:effectExtent l="0" t="0" r="0" b="4445"/>
            <wp:docPr id="1891972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988" cy="3009219"/>
                    </a:xfrm>
                    <a:prstGeom prst="rect">
                      <a:avLst/>
                    </a:prstGeom>
                    <a:noFill/>
                  </pic:spPr>
                </pic:pic>
              </a:graphicData>
            </a:graphic>
          </wp:inline>
        </w:drawing>
      </w:r>
    </w:p>
    <w:p w14:paraId="39F9C8F4" w14:textId="4914E82C" w:rsidR="00AA39A1" w:rsidRPr="00AC7306" w:rsidRDefault="00AA39A1" w:rsidP="00AA39A1">
      <w:pPr>
        <w:ind w:left="-284"/>
        <w:jc w:val="both"/>
        <w:rPr>
          <w:rFonts w:asciiTheme="majorBidi" w:hAnsiTheme="majorBidi" w:cstheme="majorBidi"/>
          <w:b/>
          <w:bCs/>
          <w:iCs/>
        </w:rPr>
      </w:pPr>
      <w:r>
        <w:rPr>
          <w:rFonts w:asciiTheme="majorBidi" w:hAnsiTheme="majorBidi" w:cstheme="majorBidi"/>
          <w:b/>
          <w:bCs/>
          <w:iCs/>
        </w:rPr>
        <w:t>Figure S</w:t>
      </w:r>
      <w:r w:rsidR="00E00C93">
        <w:rPr>
          <w:rFonts w:asciiTheme="majorBidi" w:hAnsiTheme="majorBidi" w:cstheme="majorBidi"/>
          <w:b/>
          <w:bCs/>
          <w:iCs/>
        </w:rPr>
        <w:t>5</w:t>
      </w:r>
      <w:r>
        <w:rPr>
          <w:rFonts w:asciiTheme="majorBidi" w:hAnsiTheme="majorBidi" w:cstheme="majorBidi"/>
          <w:b/>
          <w:bCs/>
          <w:iCs/>
        </w:rPr>
        <w:t>.</w:t>
      </w:r>
      <w:r w:rsidR="00CD3367">
        <w:rPr>
          <w:rFonts w:asciiTheme="majorBidi" w:hAnsiTheme="majorBidi" w:cstheme="majorBidi"/>
          <w:b/>
          <w:bCs/>
          <w:iCs/>
        </w:rPr>
        <w:t xml:space="preserve"> </w:t>
      </w:r>
      <w:r w:rsidR="00CD3367" w:rsidRPr="00F81F77">
        <w:rPr>
          <w:rFonts w:asciiTheme="majorBidi" w:hAnsiTheme="majorBidi" w:cstheme="majorBidi"/>
          <w:iCs/>
        </w:rPr>
        <w:t xml:space="preserve">Predicted tertiary structure (A) and multiple sequence alignment (B) of the </w:t>
      </w:r>
      <w:r w:rsidR="00CD3367" w:rsidRPr="00F81F77">
        <w:rPr>
          <w:rFonts w:asciiTheme="majorBidi" w:hAnsiTheme="majorBidi" w:cstheme="majorBidi"/>
          <w:i/>
        </w:rPr>
        <w:t>P. vulgaris</w:t>
      </w:r>
      <w:r w:rsidR="00CD3367" w:rsidRPr="00F81F77">
        <w:rPr>
          <w:rFonts w:asciiTheme="majorBidi" w:hAnsiTheme="majorBidi" w:cstheme="majorBidi"/>
          <w:iCs/>
        </w:rPr>
        <w:t xml:space="preserve"> UI111 </w:t>
      </w:r>
      <w:r w:rsidR="00CD3367" w:rsidRPr="00F81F77">
        <w:rPr>
          <w:rFonts w:asciiTheme="majorBidi" w:hAnsiTheme="majorBidi" w:cstheme="majorBidi"/>
        </w:rPr>
        <w:t>Carboxylesterase 9-related protein (</w:t>
      </w:r>
      <w:r w:rsidR="00CD3367" w:rsidRPr="00F81F77">
        <w:rPr>
          <w:rFonts w:asciiTheme="majorBidi" w:hAnsiTheme="majorBidi" w:cstheme="majorBidi"/>
          <w:i/>
          <w:iCs/>
        </w:rPr>
        <w:t>PvUI111.04G120200</w:t>
      </w:r>
      <w:r w:rsidR="00CD3367" w:rsidRPr="00F81F77">
        <w:rPr>
          <w:rFonts w:asciiTheme="majorBidi" w:hAnsiTheme="majorBidi" w:cstheme="majorBidi"/>
        </w:rPr>
        <w:t xml:space="preserve">). Amino acid substitution predicted as deleterious in the </w:t>
      </w:r>
      <w:r w:rsidR="00CD3367">
        <w:rPr>
          <w:rFonts w:asciiTheme="majorBidi" w:hAnsiTheme="majorBidi" w:cstheme="majorBidi"/>
        </w:rPr>
        <w:t>A</w:t>
      </w:r>
      <w:r w:rsidR="00CD3367" w:rsidRPr="00F81F77">
        <w:rPr>
          <w:rFonts w:asciiTheme="majorBidi" w:hAnsiTheme="majorBidi" w:cstheme="majorBidi"/>
        </w:rPr>
        <w:t>B</w:t>
      </w:r>
      <w:r w:rsidR="00CD3367">
        <w:rPr>
          <w:rFonts w:asciiTheme="majorBidi" w:hAnsiTheme="majorBidi" w:cstheme="majorBidi"/>
        </w:rPr>
        <w:t xml:space="preserve"> hydrolase-3 </w:t>
      </w:r>
      <w:r w:rsidR="00CD3367" w:rsidRPr="00F81F77">
        <w:rPr>
          <w:rFonts w:asciiTheme="majorBidi" w:hAnsiTheme="majorBidi" w:cstheme="majorBidi"/>
        </w:rPr>
        <w:t>protein domain (C).</w:t>
      </w:r>
    </w:p>
    <w:p w14:paraId="51136726" w14:textId="77777777" w:rsidR="00970FD0" w:rsidRDefault="00970FD0" w:rsidP="00CD3367">
      <w:pPr>
        <w:jc w:val="both"/>
        <w:rPr>
          <w:rFonts w:asciiTheme="majorBidi" w:hAnsiTheme="majorBidi" w:cstheme="majorBidi"/>
          <w:b/>
          <w:bCs/>
        </w:rPr>
      </w:pPr>
    </w:p>
    <w:p w14:paraId="0F5C17F5" w14:textId="55F4EA25" w:rsidR="00CD3367" w:rsidRPr="00544168" w:rsidRDefault="00CD3367" w:rsidP="00CD3367">
      <w:pPr>
        <w:jc w:val="both"/>
        <w:rPr>
          <w:rFonts w:asciiTheme="majorBidi" w:hAnsiTheme="majorBidi" w:cstheme="majorBidi"/>
          <w:b/>
          <w:bCs/>
        </w:rPr>
      </w:pPr>
      <w:r>
        <w:rPr>
          <w:rFonts w:asciiTheme="majorBidi" w:hAnsiTheme="majorBidi" w:cstheme="majorBidi"/>
          <w:b/>
          <w:bCs/>
        </w:rPr>
        <w:t>References for Table S1</w:t>
      </w:r>
    </w:p>
    <w:p w14:paraId="6F28B328" w14:textId="0BB511E5" w:rsidR="00064245" w:rsidRPr="00544168" w:rsidRDefault="00064245" w:rsidP="00064245">
      <w:pPr>
        <w:jc w:val="both"/>
        <w:rPr>
          <w:rFonts w:asciiTheme="majorBidi" w:hAnsiTheme="majorBidi" w:cstheme="majorBidi"/>
        </w:rPr>
      </w:pPr>
      <w:r w:rsidRPr="00544168">
        <w:rPr>
          <w:rFonts w:asciiTheme="majorBidi" w:hAnsiTheme="majorBidi" w:cstheme="majorBidi"/>
        </w:rPr>
        <w:t xml:space="preserve">Espina, M.J.C., Lovell, J.T., Jenkins, J., Shu, S., Sreedasyam, A., Jordan, B.D., Webber, J., Boston, L.B., Brůna, T., Talag, J., Goodstein, D., Grimwood, J., Stacey, G., Cannon, S.B., Lorenz, A.J., Schmutz, J., Stupar, R.M., 2024. Assembly, comparative analysis, and utilization of a single haplotype reference genome for soybean. The Plant Journal 120, 1221–1235. </w:t>
      </w:r>
      <w:hyperlink r:id="rId9" w:history="1">
        <w:r w:rsidRPr="00544168">
          <w:rPr>
            <w:rStyle w:val="Hyperlink"/>
            <w:rFonts w:asciiTheme="majorBidi" w:hAnsiTheme="majorBidi" w:cstheme="majorBidi"/>
          </w:rPr>
          <w:t>https://doi.org/10.1111/TPJ.17026</w:t>
        </w:r>
      </w:hyperlink>
    </w:p>
    <w:p w14:paraId="3C7C4633" w14:textId="77777777" w:rsidR="00064245" w:rsidRPr="00544168" w:rsidRDefault="00064245" w:rsidP="00064245">
      <w:pPr>
        <w:jc w:val="both"/>
        <w:rPr>
          <w:rFonts w:asciiTheme="majorBidi" w:hAnsiTheme="majorBidi" w:cstheme="majorBidi"/>
        </w:rPr>
      </w:pPr>
      <w:r w:rsidRPr="00544168">
        <w:rPr>
          <w:rFonts w:asciiTheme="majorBidi" w:hAnsiTheme="majorBidi" w:cstheme="majorBidi"/>
        </w:rPr>
        <w:t>Sanderson, L.A., Caron, C.T., Tan, R., Shen, Y., Liu, R., Bett, K. 2019. KnowPulse: A Web-Resource Focused on Diversity Data for Pulse Crop Improvement. Front. Plant Sci, 10. https://doi.org/10.3389/fpls.2019.00965.</w:t>
      </w:r>
    </w:p>
    <w:p w14:paraId="076E000B" w14:textId="0A44110D" w:rsidR="00064245" w:rsidRPr="00544168" w:rsidRDefault="00064245" w:rsidP="00064245">
      <w:pPr>
        <w:jc w:val="both"/>
        <w:rPr>
          <w:rFonts w:asciiTheme="majorBidi" w:hAnsiTheme="majorBidi" w:cstheme="majorBidi"/>
        </w:rPr>
      </w:pPr>
      <w:r w:rsidRPr="00544168">
        <w:rPr>
          <w:rFonts w:asciiTheme="majorBidi" w:hAnsiTheme="majorBidi" w:cstheme="majorBidi"/>
        </w:rPr>
        <w:t xml:space="preserve">Sato, S., Nakamura, Y., Kaneko, T., Asamizu, E., Kato, T., Nakao, M., Sasamoto, S., Watanabe, A., Ono, A., Kawashima, K., Fujishiro, T., Katoh, M., Kohara, M., Kishida, Y., Minami, C., Nakayama, S., Nakazaki, N., Shimizu, Y., Shinpo, S., Takahashi, C., Wada, T., Yamada, M., Ohmido, N., Hayashi, M., Fukui, K., Baba, T., Nakamichi, T., Mori, H., Tabata, S., 2008. Genome Structure of the Legume, Lotus japonicus. DNA Research 15, 227–239. </w:t>
      </w:r>
      <w:hyperlink r:id="rId10" w:history="1">
        <w:r w:rsidRPr="00544168">
          <w:rPr>
            <w:rStyle w:val="Hyperlink"/>
            <w:rFonts w:asciiTheme="majorBidi" w:hAnsiTheme="majorBidi" w:cstheme="majorBidi"/>
          </w:rPr>
          <w:t>https://doi.org/10.1093/DNARES/DSN008</w:t>
        </w:r>
      </w:hyperlink>
    </w:p>
    <w:p w14:paraId="704EE3E8" w14:textId="77777777" w:rsidR="00064245" w:rsidRPr="00544168" w:rsidRDefault="00064245" w:rsidP="00064245">
      <w:pPr>
        <w:jc w:val="both"/>
        <w:rPr>
          <w:rFonts w:asciiTheme="majorBidi" w:hAnsiTheme="majorBidi" w:cstheme="majorBidi"/>
        </w:rPr>
      </w:pPr>
      <w:r w:rsidRPr="00544168">
        <w:rPr>
          <w:rFonts w:asciiTheme="majorBidi" w:hAnsiTheme="majorBidi" w:cstheme="majorBidi"/>
        </w:rPr>
        <w:t xml:space="preserve">Tang, H., Krishnakumar, V., Bidwell, S., Rosen, B., Chan, A., Zhou, S., Gentzbittel, L., Childs, K., Yandell, M., Gundlach, H., Mayer, K., Zchwartz, D., Town, C. 2014. An improved genome release </w:t>
      </w:r>
      <w:r w:rsidRPr="00544168">
        <w:rPr>
          <w:rFonts w:asciiTheme="majorBidi" w:hAnsiTheme="majorBidi" w:cstheme="majorBidi"/>
        </w:rPr>
        <w:lastRenderedPageBreak/>
        <w:t>(version Mt4.0) for the model legume Medicago truncatula. BMC Genomics 15, 312. https://doi.org/10.1186/1471-2164-15-312.</w:t>
      </w:r>
    </w:p>
    <w:p w14:paraId="24BB2B8F" w14:textId="77777777" w:rsidR="00064245" w:rsidRPr="00544168" w:rsidRDefault="00064245" w:rsidP="00064245">
      <w:pPr>
        <w:jc w:val="both"/>
        <w:rPr>
          <w:rFonts w:asciiTheme="majorBidi" w:hAnsiTheme="majorBidi" w:cstheme="majorBidi"/>
        </w:rPr>
      </w:pPr>
    </w:p>
    <w:p w14:paraId="17A7E415" w14:textId="77777777" w:rsidR="00970FD0" w:rsidRPr="00544168" w:rsidRDefault="00970FD0" w:rsidP="00970FD0">
      <w:pPr>
        <w:jc w:val="center"/>
        <w:rPr>
          <w:rFonts w:asciiTheme="majorBidi" w:hAnsiTheme="majorBidi" w:cstheme="majorBidi"/>
          <w:b/>
          <w:bCs/>
        </w:rPr>
      </w:pPr>
    </w:p>
    <w:sectPr w:rsidR="00970FD0" w:rsidRPr="0054416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1M7U0NzMBsiwMLZV0lIJTi4sz8/NACkxrAbTFF/IsAAAA"/>
  </w:docVars>
  <w:rsids>
    <w:rsidRoot w:val="00970FD0"/>
    <w:rsid w:val="00064245"/>
    <w:rsid w:val="000B08D3"/>
    <w:rsid w:val="002D3BC4"/>
    <w:rsid w:val="003022F4"/>
    <w:rsid w:val="00434472"/>
    <w:rsid w:val="00544168"/>
    <w:rsid w:val="006316AA"/>
    <w:rsid w:val="00741DB9"/>
    <w:rsid w:val="008F7C18"/>
    <w:rsid w:val="00970FD0"/>
    <w:rsid w:val="009B27B4"/>
    <w:rsid w:val="00AA39A1"/>
    <w:rsid w:val="00B80DAE"/>
    <w:rsid w:val="00BF208F"/>
    <w:rsid w:val="00C85E51"/>
    <w:rsid w:val="00CD3367"/>
    <w:rsid w:val="00E00C93"/>
    <w:rsid w:val="00EE701F"/>
    <w:rsid w:val="00FF14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63A0C6"/>
  <w15:chartTrackingRefBased/>
  <w15:docId w15:val="{4AAB34DC-B914-49B5-875C-74885346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AE"/>
  </w:style>
  <w:style w:type="paragraph" w:styleId="Heading1">
    <w:name w:val="heading 1"/>
    <w:basedOn w:val="Normal"/>
    <w:next w:val="Normal"/>
    <w:link w:val="Heading1Char"/>
    <w:uiPriority w:val="9"/>
    <w:qFormat/>
    <w:rsid w:val="00970F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F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F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F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F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F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F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F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F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F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F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F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F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0F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0F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F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F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FD0"/>
    <w:rPr>
      <w:rFonts w:eastAsiaTheme="majorEastAsia" w:cstheme="majorBidi"/>
      <w:color w:val="272727" w:themeColor="text1" w:themeTint="D8"/>
    </w:rPr>
  </w:style>
  <w:style w:type="paragraph" w:styleId="Title">
    <w:name w:val="Title"/>
    <w:basedOn w:val="Normal"/>
    <w:next w:val="Normal"/>
    <w:link w:val="TitleChar"/>
    <w:uiPriority w:val="10"/>
    <w:qFormat/>
    <w:rsid w:val="00970F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F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F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F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FD0"/>
    <w:pPr>
      <w:spacing w:before="160"/>
      <w:jc w:val="center"/>
    </w:pPr>
    <w:rPr>
      <w:i/>
      <w:iCs/>
      <w:color w:val="404040" w:themeColor="text1" w:themeTint="BF"/>
    </w:rPr>
  </w:style>
  <w:style w:type="character" w:customStyle="1" w:styleId="QuoteChar">
    <w:name w:val="Quote Char"/>
    <w:basedOn w:val="DefaultParagraphFont"/>
    <w:link w:val="Quote"/>
    <w:uiPriority w:val="29"/>
    <w:rsid w:val="00970FD0"/>
    <w:rPr>
      <w:i/>
      <w:iCs/>
      <w:color w:val="404040" w:themeColor="text1" w:themeTint="BF"/>
    </w:rPr>
  </w:style>
  <w:style w:type="paragraph" w:styleId="ListParagraph">
    <w:name w:val="List Paragraph"/>
    <w:basedOn w:val="Normal"/>
    <w:uiPriority w:val="34"/>
    <w:qFormat/>
    <w:rsid w:val="00970FD0"/>
    <w:pPr>
      <w:ind w:left="720"/>
      <w:contextualSpacing/>
    </w:pPr>
  </w:style>
  <w:style w:type="character" w:styleId="IntenseEmphasis">
    <w:name w:val="Intense Emphasis"/>
    <w:basedOn w:val="DefaultParagraphFont"/>
    <w:uiPriority w:val="21"/>
    <w:qFormat/>
    <w:rsid w:val="00970FD0"/>
    <w:rPr>
      <w:i/>
      <w:iCs/>
      <w:color w:val="0F4761" w:themeColor="accent1" w:themeShade="BF"/>
    </w:rPr>
  </w:style>
  <w:style w:type="paragraph" w:styleId="IntenseQuote">
    <w:name w:val="Intense Quote"/>
    <w:basedOn w:val="Normal"/>
    <w:next w:val="Normal"/>
    <w:link w:val="IntenseQuoteChar"/>
    <w:uiPriority w:val="30"/>
    <w:qFormat/>
    <w:rsid w:val="00970F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FD0"/>
    <w:rPr>
      <w:i/>
      <w:iCs/>
      <w:color w:val="0F4761" w:themeColor="accent1" w:themeShade="BF"/>
    </w:rPr>
  </w:style>
  <w:style w:type="character" w:styleId="IntenseReference">
    <w:name w:val="Intense Reference"/>
    <w:basedOn w:val="DefaultParagraphFont"/>
    <w:uiPriority w:val="32"/>
    <w:qFormat/>
    <w:rsid w:val="00970FD0"/>
    <w:rPr>
      <w:b/>
      <w:bCs/>
      <w:smallCaps/>
      <w:color w:val="0F4761" w:themeColor="accent1" w:themeShade="BF"/>
      <w:spacing w:val="5"/>
    </w:rPr>
  </w:style>
  <w:style w:type="character" w:styleId="Hyperlink">
    <w:name w:val="Hyperlink"/>
    <w:basedOn w:val="DefaultParagraphFont"/>
    <w:uiPriority w:val="99"/>
    <w:unhideWhenUsed/>
    <w:rsid w:val="00064245"/>
    <w:rPr>
      <w:color w:val="467886" w:themeColor="hyperlink"/>
      <w:u w:val="single"/>
    </w:rPr>
  </w:style>
  <w:style w:type="character" w:styleId="UnresolvedMention">
    <w:name w:val="Unresolved Mention"/>
    <w:basedOn w:val="DefaultParagraphFont"/>
    <w:uiPriority w:val="99"/>
    <w:semiHidden/>
    <w:unhideWhenUsed/>
    <w:rsid w:val="00064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doi.org/10.1093/DNARES/DSN008" TargetMode="External"/><Relationship Id="rId4" Type="http://schemas.openxmlformats.org/officeDocument/2006/relationships/image" Target="media/image1.jpeg"/><Relationship Id="rId9" Type="http://schemas.openxmlformats.org/officeDocument/2006/relationships/hyperlink" Target="https://doi.org/10.1111/TPJ.17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4</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A Cordoba</dc:creator>
  <cp:keywords/>
  <dc:description/>
  <cp:lastModifiedBy>Henry A Cordoba</cp:lastModifiedBy>
  <cp:revision>12</cp:revision>
  <dcterms:created xsi:type="dcterms:W3CDTF">2025-01-28T19:26:00Z</dcterms:created>
  <dcterms:modified xsi:type="dcterms:W3CDTF">2025-07-09T19:07:00Z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f70291fb-7000-4a42-8182-8691d6e592a4</vt:lpwstr>
  </property>
</Properties>
</file>