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0D171" w14:textId="0CAFF364" w:rsidR="00BC0790" w:rsidRDefault="00000000">
      <w:pPr>
        <w:widowControl/>
        <w:shd w:val="clear" w:color="auto" w:fill="FFFFFF"/>
        <w:spacing w:before="100" w:beforeAutospacing="1" w:after="100" w:afterAutospacing="1" w:line="360" w:lineRule="auto"/>
        <w:ind w:right="119"/>
        <w:jc w:val="left"/>
        <w:rPr>
          <w:rFonts w:eastAsia="宋体" w:cs="Times New Roman"/>
          <w:b/>
          <w:bCs/>
          <w:color w:val="222222"/>
          <w:kern w:val="36"/>
          <w:sz w:val="48"/>
          <w:szCs w:val="48"/>
        </w:rPr>
      </w:pPr>
      <w:r>
        <w:rPr>
          <w:rFonts w:eastAsia="宋体" w:cs="Times New Roman" w:hint="eastAsia"/>
          <w:b/>
          <w:bCs/>
          <w:color w:val="222222"/>
          <w:kern w:val="36"/>
          <w:sz w:val="48"/>
          <w:szCs w:val="48"/>
        </w:rPr>
        <w:t>Breaking Dense Integration Limits: Inverse-Designed Lithium Niobate Multimode Photonic Circuits</w:t>
      </w:r>
    </w:p>
    <w:p w14:paraId="170FAF60" w14:textId="5803BD86" w:rsidR="00BC0790" w:rsidRDefault="00000000">
      <w:pPr>
        <w:widowControl/>
        <w:shd w:val="clear" w:color="auto" w:fill="FFFFFF"/>
        <w:spacing w:before="100" w:beforeAutospacing="1" w:after="100" w:afterAutospacing="1" w:line="360" w:lineRule="auto"/>
        <w:ind w:right="119"/>
        <w:jc w:val="left"/>
        <w:rPr>
          <w:rFonts w:eastAsia="宋体" w:cs="Times New Roman"/>
          <w:i/>
          <w:iCs/>
          <w:color w:val="222222"/>
          <w:kern w:val="0"/>
        </w:rPr>
      </w:pPr>
      <w:r>
        <w:rPr>
          <w:rFonts w:eastAsia="宋体" w:cs="Times New Roman" w:hint="eastAsia"/>
          <w:i/>
          <w:iCs/>
          <w:color w:val="222222"/>
          <w:kern w:val="0"/>
        </w:rPr>
        <w:t>Xu Han</w:t>
      </w:r>
      <w:r>
        <w:rPr>
          <w:rFonts w:eastAsia="宋体" w:cs="Times New Roman" w:hint="eastAsia"/>
          <w:i/>
          <w:iCs/>
          <w:color w:val="222222"/>
          <w:kern w:val="0"/>
          <w:vertAlign w:val="superscript"/>
        </w:rPr>
        <w:t>1,2</w:t>
      </w:r>
      <w:r>
        <w:rPr>
          <w:rFonts w:eastAsia="宋体" w:cs="Times New Roman" w:hint="eastAsia"/>
          <w:color w:val="222222"/>
          <w:kern w:val="0"/>
          <w:vertAlign w:val="superscript"/>
        </w:rPr>
        <w:t>†</w:t>
      </w:r>
      <w:r>
        <w:rPr>
          <w:rFonts w:eastAsia="宋体" w:cs="Times New Roman"/>
          <w:i/>
          <w:iCs/>
          <w:color w:val="222222"/>
          <w:kern w:val="0"/>
        </w:rPr>
        <w:t>,</w:t>
      </w:r>
      <w:r>
        <w:rPr>
          <w:rFonts w:eastAsia="宋体" w:cs="Times New Roman" w:hint="eastAsia"/>
          <w:i/>
          <w:iCs/>
          <w:color w:val="222222"/>
          <w:kern w:val="0"/>
        </w:rPr>
        <w:t xml:space="preserve"> Hu Jiang</w:t>
      </w:r>
      <w:r>
        <w:rPr>
          <w:rFonts w:eastAsia="宋体" w:cs="Times New Roman" w:hint="eastAsia"/>
          <w:i/>
          <w:iCs/>
          <w:color w:val="222222"/>
          <w:kern w:val="0"/>
          <w:vertAlign w:val="superscript"/>
        </w:rPr>
        <w:t>1</w:t>
      </w:r>
      <w:r>
        <w:rPr>
          <w:rFonts w:eastAsia="宋体" w:cs="Times New Roman" w:hint="eastAsia"/>
          <w:color w:val="222222"/>
          <w:kern w:val="0"/>
          <w:vertAlign w:val="superscript"/>
        </w:rPr>
        <w:t>†</w:t>
      </w:r>
      <w:r>
        <w:rPr>
          <w:rFonts w:eastAsia="宋体" w:cs="Times New Roman" w:hint="eastAsia"/>
          <w:i/>
          <w:iCs/>
          <w:color w:val="222222"/>
          <w:kern w:val="0"/>
        </w:rPr>
        <w:t>, Jie He</w:t>
      </w:r>
      <w:r>
        <w:rPr>
          <w:rFonts w:eastAsia="宋体" w:cs="Times New Roman" w:hint="eastAsia"/>
          <w:i/>
          <w:iCs/>
          <w:color w:val="222222"/>
          <w:kern w:val="0"/>
          <w:vertAlign w:val="superscript"/>
        </w:rPr>
        <w:t>1</w:t>
      </w:r>
      <w:r>
        <w:rPr>
          <w:rFonts w:eastAsia="宋体" w:cs="Times New Roman" w:hint="eastAsia"/>
          <w:i/>
          <w:iCs/>
          <w:color w:val="222222"/>
          <w:kern w:val="0"/>
        </w:rPr>
        <w:t>, Zixu Zhu</w:t>
      </w:r>
      <w:r>
        <w:rPr>
          <w:rFonts w:eastAsia="宋体" w:cs="Times New Roman" w:hint="eastAsia"/>
          <w:i/>
          <w:iCs/>
          <w:color w:val="222222"/>
          <w:kern w:val="0"/>
          <w:vertAlign w:val="superscript"/>
        </w:rPr>
        <w:t>1</w:t>
      </w:r>
      <w:r>
        <w:rPr>
          <w:rFonts w:eastAsia="宋体" w:cs="Times New Roman" w:hint="eastAsia"/>
          <w:i/>
          <w:iCs/>
          <w:color w:val="222222"/>
          <w:kern w:val="0"/>
        </w:rPr>
        <w:t xml:space="preserve">, </w:t>
      </w:r>
      <w:r w:rsidR="00D738D5">
        <w:rPr>
          <w:rFonts w:eastAsia="宋体" w:cs="Times New Roman" w:hint="eastAsia"/>
          <w:i/>
          <w:iCs/>
          <w:color w:val="222222"/>
          <w:kern w:val="0"/>
        </w:rPr>
        <w:t>Jiahui Su</w:t>
      </w:r>
      <w:r w:rsidR="00D738D5" w:rsidRPr="00D738D5">
        <w:rPr>
          <w:rFonts w:eastAsia="宋体" w:cs="Times New Roman" w:hint="eastAsia"/>
          <w:i/>
          <w:iCs/>
          <w:color w:val="222222"/>
          <w:kern w:val="0"/>
          <w:vertAlign w:val="superscript"/>
        </w:rPr>
        <w:t>1</w:t>
      </w:r>
      <w:r w:rsidR="00D738D5">
        <w:rPr>
          <w:rFonts w:eastAsia="宋体" w:cs="Times New Roman" w:hint="eastAsia"/>
          <w:i/>
          <w:iCs/>
          <w:color w:val="222222"/>
          <w:kern w:val="0"/>
        </w:rPr>
        <w:t xml:space="preserve">, </w:t>
      </w:r>
      <w:r w:rsidR="000E63E3">
        <w:rPr>
          <w:rFonts w:cs="Times New Roman" w:hint="eastAsia"/>
          <w:i/>
          <w:iCs/>
          <w:color w:val="222222"/>
        </w:rPr>
        <w:t>Mei Xian Low</w:t>
      </w:r>
      <w:r w:rsidR="000E63E3" w:rsidRPr="006D469F">
        <w:rPr>
          <w:rFonts w:cs="Times New Roman"/>
          <w:i/>
          <w:iCs/>
          <w:color w:val="222222"/>
          <w:vertAlign w:val="superscript"/>
        </w:rPr>
        <w:t>2</w:t>
      </w:r>
      <w:r w:rsidR="000E63E3">
        <w:rPr>
          <w:rFonts w:cs="Times New Roman" w:hint="eastAsia"/>
          <w:i/>
          <w:iCs/>
          <w:color w:val="222222"/>
        </w:rPr>
        <w:t xml:space="preserve">, </w:t>
      </w:r>
      <w:r>
        <w:rPr>
          <w:rFonts w:eastAsia="宋体" w:cs="Times New Roman" w:hint="eastAsia"/>
          <w:i/>
          <w:iCs/>
          <w:color w:val="222222"/>
          <w:kern w:val="0"/>
        </w:rPr>
        <w:t>Yongheng Jiang</w:t>
      </w:r>
      <w:r>
        <w:rPr>
          <w:rFonts w:eastAsia="宋体" w:cs="Times New Roman" w:hint="eastAsia"/>
          <w:i/>
          <w:iCs/>
          <w:color w:val="222222"/>
          <w:kern w:val="0"/>
          <w:vertAlign w:val="superscript"/>
        </w:rPr>
        <w:t>3</w:t>
      </w:r>
      <w:r>
        <w:rPr>
          <w:rFonts w:eastAsia="宋体" w:cs="Times New Roman" w:hint="eastAsia"/>
          <w:i/>
          <w:iCs/>
          <w:color w:val="222222"/>
          <w:kern w:val="0"/>
        </w:rPr>
        <w:t>, Yu He</w:t>
      </w:r>
      <w:r>
        <w:rPr>
          <w:rFonts w:eastAsia="宋体" w:cs="Times New Roman" w:hint="eastAsia"/>
          <w:i/>
          <w:iCs/>
          <w:color w:val="222222"/>
          <w:kern w:val="0"/>
          <w:vertAlign w:val="superscript"/>
        </w:rPr>
        <w:t>4</w:t>
      </w:r>
      <w:r>
        <w:rPr>
          <w:rFonts w:eastAsia="宋体" w:cs="Times New Roman" w:hint="eastAsia"/>
          <w:i/>
          <w:iCs/>
          <w:color w:val="222222"/>
          <w:kern w:val="0"/>
        </w:rPr>
        <w:t>, Lantian Feng</w:t>
      </w:r>
      <w:r>
        <w:rPr>
          <w:rFonts w:eastAsia="宋体" w:cs="Times New Roman" w:hint="eastAsia"/>
          <w:i/>
          <w:iCs/>
          <w:color w:val="222222"/>
          <w:kern w:val="0"/>
          <w:vertAlign w:val="superscript"/>
        </w:rPr>
        <w:t>5</w:t>
      </w:r>
      <w:r>
        <w:rPr>
          <w:rFonts w:eastAsia="宋体" w:cs="Times New Roman" w:hint="eastAsia"/>
          <w:i/>
          <w:iCs/>
          <w:color w:val="222222"/>
          <w:kern w:val="0"/>
        </w:rPr>
        <w:t>, Thach. G. Nguyen</w:t>
      </w:r>
      <w:r>
        <w:rPr>
          <w:rFonts w:eastAsia="宋体" w:cs="Times New Roman" w:hint="eastAsia"/>
          <w:i/>
          <w:iCs/>
          <w:color w:val="222222"/>
          <w:kern w:val="0"/>
          <w:vertAlign w:val="superscript"/>
        </w:rPr>
        <w:t>2</w:t>
      </w:r>
      <w:r>
        <w:rPr>
          <w:rFonts w:eastAsia="宋体" w:cs="Times New Roman" w:hint="eastAsia"/>
          <w:i/>
          <w:iCs/>
          <w:color w:val="222222"/>
          <w:kern w:val="0"/>
        </w:rPr>
        <w:t>, Andreas Boes</w:t>
      </w:r>
      <w:r>
        <w:rPr>
          <w:rFonts w:eastAsia="宋体" w:cs="Times New Roman" w:hint="eastAsia"/>
          <w:i/>
          <w:iCs/>
          <w:color w:val="222222"/>
          <w:kern w:val="0"/>
          <w:vertAlign w:val="superscript"/>
        </w:rPr>
        <w:t>6</w:t>
      </w:r>
      <w:r>
        <w:rPr>
          <w:rFonts w:eastAsia="宋体" w:cs="Times New Roman" w:hint="eastAsia"/>
          <w:i/>
          <w:iCs/>
          <w:color w:val="222222"/>
          <w:kern w:val="0"/>
        </w:rPr>
        <w:t>, Chengliang Pan</w:t>
      </w:r>
      <w:r>
        <w:rPr>
          <w:rFonts w:eastAsia="宋体" w:cs="Times New Roman" w:hint="eastAsia"/>
          <w:i/>
          <w:iCs/>
          <w:color w:val="222222"/>
          <w:kern w:val="0"/>
          <w:vertAlign w:val="superscript"/>
        </w:rPr>
        <w:t>1</w:t>
      </w:r>
      <w:r>
        <w:rPr>
          <w:rFonts w:eastAsia="宋体" w:cs="Times New Roman" w:hint="eastAsia"/>
          <w:i/>
          <w:iCs/>
          <w:color w:val="222222"/>
          <w:kern w:val="0"/>
        </w:rPr>
        <w:t>, Guanghui Ren</w:t>
      </w:r>
      <w:r>
        <w:rPr>
          <w:rFonts w:eastAsia="宋体" w:cs="Times New Roman" w:hint="eastAsia"/>
          <w:i/>
          <w:iCs/>
          <w:color w:val="222222"/>
          <w:kern w:val="0"/>
          <w:vertAlign w:val="superscript"/>
        </w:rPr>
        <w:t>2,</w:t>
      </w:r>
      <w:r>
        <w:rPr>
          <w:rFonts w:eastAsia="宋体" w:cs="Times New Roman" w:hint="eastAsia"/>
          <w:i/>
          <w:iCs/>
          <w:color w:val="222222"/>
          <w:kern w:val="0"/>
        </w:rPr>
        <w:t>*, Yong Zhang</w:t>
      </w:r>
      <w:r>
        <w:rPr>
          <w:rFonts w:eastAsia="宋体" w:cs="Times New Roman" w:hint="eastAsia"/>
          <w:i/>
          <w:iCs/>
          <w:color w:val="222222"/>
          <w:kern w:val="0"/>
          <w:vertAlign w:val="superscript"/>
        </w:rPr>
        <w:t>4</w:t>
      </w:r>
      <w:r>
        <w:rPr>
          <w:rFonts w:eastAsia="宋体" w:cs="Times New Roman" w:hint="eastAsia"/>
          <w:i/>
          <w:iCs/>
          <w:color w:val="222222"/>
          <w:kern w:val="0"/>
        </w:rPr>
        <w:t>, Xifeng Ren</w:t>
      </w:r>
      <w:r>
        <w:rPr>
          <w:rFonts w:eastAsia="宋体" w:cs="Times New Roman" w:hint="eastAsia"/>
          <w:i/>
          <w:iCs/>
          <w:color w:val="222222"/>
          <w:kern w:val="0"/>
          <w:vertAlign w:val="superscript"/>
        </w:rPr>
        <w:t>5</w:t>
      </w:r>
      <w:r>
        <w:rPr>
          <w:rFonts w:eastAsia="宋体" w:cs="Times New Roman" w:hint="eastAsia"/>
          <w:i/>
          <w:iCs/>
          <w:color w:val="222222"/>
          <w:kern w:val="0"/>
        </w:rPr>
        <w:t>, Yonghui Tian</w:t>
      </w:r>
      <w:r>
        <w:rPr>
          <w:rFonts w:eastAsia="宋体" w:cs="Times New Roman" w:hint="eastAsia"/>
          <w:i/>
          <w:iCs/>
          <w:color w:val="222222"/>
          <w:kern w:val="0"/>
          <w:vertAlign w:val="superscript"/>
        </w:rPr>
        <w:t>3,</w:t>
      </w:r>
      <w:r>
        <w:rPr>
          <w:rFonts w:eastAsia="宋体" w:cs="Times New Roman" w:hint="eastAsia"/>
          <w:i/>
          <w:iCs/>
          <w:color w:val="222222"/>
          <w:kern w:val="0"/>
        </w:rPr>
        <w:t>*, Arnan Mitchell</w:t>
      </w:r>
      <w:r>
        <w:rPr>
          <w:rFonts w:eastAsia="宋体" w:cs="Times New Roman" w:hint="eastAsia"/>
          <w:i/>
          <w:iCs/>
          <w:color w:val="222222"/>
          <w:kern w:val="0"/>
          <w:vertAlign w:val="superscript"/>
        </w:rPr>
        <w:t>2</w:t>
      </w:r>
      <w:r>
        <w:rPr>
          <w:rFonts w:eastAsia="宋体" w:cs="Times New Roman" w:hint="eastAsia"/>
          <w:i/>
          <w:iCs/>
          <w:color w:val="222222"/>
          <w:kern w:val="0"/>
        </w:rPr>
        <w:t>, and Haojie Xia</w:t>
      </w:r>
      <w:r>
        <w:rPr>
          <w:rFonts w:eastAsia="宋体" w:cs="Times New Roman" w:hint="eastAsia"/>
          <w:i/>
          <w:iCs/>
          <w:color w:val="222222"/>
          <w:kern w:val="0"/>
          <w:vertAlign w:val="superscript"/>
        </w:rPr>
        <w:t>1,</w:t>
      </w:r>
      <w:r>
        <w:rPr>
          <w:rFonts w:eastAsia="宋体" w:cs="Times New Roman" w:hint="eastAsia"/>
          <w:i/>
          <w:iCs/>
          <w:color w:val="222222"/>
          <w:kern w:val="0"/>
        </w:rPr>
        <w:t>*</w:t>
      </w:r>
    </w:p>
    <w:p w14:paraId="4FC7A8C0" w14:textId="77777777" w:rsidR="00BC0790" w:rsidRDefault="00000000">
      <w:pPr>
        <w:widowControl/>
        <w:shd w:val="clear" w:color="auto" w:fill="FFFFFF"/>
        <w:snapToGrid w:val="0"/>
        <w:spacing w:before="100" w:beforeAutospacing="1" w:line="360" w:lineRule="auto"/>
        <w:ind w:right="119"/>
        <w:jc w:val="left"/>
        <w:rPr>
          <w:rFonts w:eastAsia="宋体" w:cs="Times New Roman"/>
          <w:i/>
          <w:iCs/>
          <w:color w:val="222222"/>
          <w:kern w:val="0"/>
        </w:rPr>
      </w:pPr>
      <w:r>
        <w:rPr>
          <w:rFonts w:eastAsia="宋体" w:cs="Times New Roman" w:hint="eastAsia"/>
          <w:i/>
          <w:iCs/>
          <w:color w:val="222222"/>
          <w:kern w:val="0"/>
        </w:rPr>
        <w:t>1 School of Instrument Science and Opto-electronics Engineering, Hefei University of Technology, Hefei 230009, China</w:t>
      </w:r>
    </w:p>
    <w:p w14:paraId="39A1B467" w14:textId="77777777" w:rsidR="00BC0790" w:rsidRDefault="00000000">
      <w:pPr>
        <w:widowControl/>
        <w:shd w:val="clear" w:color="auto" w:fill="FFFFFF"/>
        <w:spacing w:line="360" w:lineRule="auto"/>
        <w:ind w:right="119"/>
        <w:jc w:val="left"/>
        <w:rPr>
          <w:rFonts w:eastAsia="宋体" w:cs="Times New Roman"/>
          <w:i/>
          <w:iCs/>
          <w:color w:val="222222"/>
          <w:kern w:val="0"/>
        </w:rPr>
      </w:pPr>
      <w:r>
        <w:rPr>
          <w:rFonts w:eastAsia="宋体" w:cs="Times New Roman" w:hint="eastAsia"/>
          <w:i/>
          <w:iCs/>
          <w:color w:val="222222"/>
          <w:kern w:val="0"/>
        </w:rPr>
        <w:t>2 Integrated Photonics and Applications Centre (InPAC), School of Engineering, RMIT University, Melbourne, VIC 3001, Australia</w:t>
      </w:r>
    </w:p>
    <w:p w14:paraId="0B92A76B" w14:textId="77777777" w:rsidR="00BC0790" w:rsidRDefault="00000000">
      <w:pPr>
        <w:widowControl/>
        <w:shd w:val="clear" w:color="auto" w:fill="FFFFFF"/>
        <w:spacing w:line="360" w:lineRule="auto"/>
        <w:ind w:right="119"/>
        <w:jc w:val="left"/>
        <w:rPr>
          <w:rFonts w:eastAsia="宋体" w:cs="Times New Roman"/>
          <w:i/>
          <w:iCs/>
          <w:color w:val="222222"/>
          <w:kern w:val="0"/>
        </w:rPr>
      </w:pPr>
      <w:r>
        <w:rPr>
          <w:rFonts w:eastAsia="宋体" w:cs="Times New Roman" w:hint="eastAsia"/>
          <w:i/>
          <w:iCs/>
          <w:color w:val="222222"/>
          <w:kern w:val="0"/>
        </w:rPr>
        <w:t>3 School of Physical Science and Technology, Lanzhou University, Lanzhou 730000, Gansu, China</w:t>
      </w:r>
    </w:p>
    <w:p w14:paraId="142D58BD" w14:textId="77777777" w:rsidR="00BC0790" w:rsidRDefault="00000000">
      <w:pPr>
        <w:widowControl/>
        <w:shd w:val="clear" w:color="auto" w:fill="FFFFFF"/>
        <w:spacing w:line="360" w:lineRule="auto"/>
        <w:ind w:right="119"/>
        <w:jc w:val="left"/>
        <w:rPr>
          <w:rFonts w:eastAsia="宋体" w:cs="Times New Roman"/>
          <w:i/>
          <w:iCs/>
          <w:color w:val="222222"/>
          <w:kern w:val="0"/>
        </w:rPr>
      </w:pPr>
      <w:r>
        <w:rPr>
          <w:rFonts w:eastAsia="宋体" w:cs="Times New Roman" w:hint="eastAsia"/>
          <w:i/>
          <w:iCs/>
          <w:color w:val="222222"/>
          <w:kern w:val="0"/>
        </w:rPr>
        <w:t>4 State Key Laboratory of Advanced Optical Communication Systems and Networks, Shanghai Jiao Tong University, Shanghai 200240, China</w:t>
      </w:r>
    </w:p>
    <w:p w14:paraId="2AB20C39" w14:textId="7A4A2BF1" w:rsidR="00BC0790" w:rsidRDefault="00000000">
      <w:pPr>
        <w:widowControl/>
        <w:shd w:val="clear" w:color="auto" w:fill="FFFFFF"/>
        <w:spacing w:line="360" w:lineRule="auto"/>
        <w:ind w:right="119"/>
        <w:jc w:val="left"/>
        <w:rPr>
          <w:rFonts w:eastAsia="宋体" w:cs="Times New Roman"/>
          <w:i/>
          <w:iCs/>
          <w:color w:val="222222"/>
          <w:kern w:val="0"/>
        </w:rPr>
      </w:pPr>
      <w:r>
        <w:rPr>
          <w:rFonts w:eastAsia="宋体" w:cs="Times New Roman" w:hint="eastAsia"/>
          <w:i/>
          <w:iCs/>
          <w:color w:val="222222"/>
          <w:kern w:val="0"/>
        </w:rPr>
        <w:t xml:space="preserve">5 Laboratory of Quantum Information, University of Science and Technology of China, Hefei 230026, China </w:t>
      </w:r>
    </w:p>
    <w:p w14:paraId="0B8BBE14" w14:textId="77777777" w:rsidR="00BC0790" w:rsidRDefault="00000000">
      <w:pPr>
        <w:widowControl/>
        <w:shd w:val="clear" w:color="auto" w:fill="FFFFFF"/>
        <w:spacing w:line="360" w:lineRule="auto"/>
        <w:ind w:right="119"/>
        <w:jc w:val="left"/>
        <w:rPr>
          <w:rFonts w:eastAsia="宋体" w:cs="Times New Roman"/>
          <w:i/>
          <w:iCs/>
          <w:color w:val="222222"/>
          <w:kern w:val="0"/>
        </w:rPr>
      </w:pPr>
      <w:r>
        <w:rPr>
          <w:rFonts w:eastAsia="宋体" w:cs="Times New Roman" w:hint="eastAsia"/>
          <w:i/>
          <w:iCs/>
          <w:color w:val="222222"/>
          <w:kern w:val="0"/>
        </w:rPr>
        <w:t>6 School of Electrical and Mechanical Engineering, The University of Adelaide, Adelaide, SA 5005, Australia</w:t>
      </w:r>
    </w:p>
    <w:p w14:paraId="0B07B0CD" w14:textId="77777777" w:rsidR="00BC0790" w:rsidRDefault="00000000">
      <w:pPr>
        <w:widowControl/>
        <w:shd w:val="clear" w:color="auto" w:fill="FFFFFF"/>
        <w:spacing w:line="360" w:lineRule="auto"/>
        <w:ind w:right="119"/>
        <w:jc w:val="left"/>
        <w:rPr>
          <w:rFonts w:eastAsia="宋体" w:cs="Times New Roman"/>
          <w:i/>
          <w:iCs/>
          <w:color w:val="222222"/>
          <w:kern w:val="0"/>
        </w:rPr>
      </w:pPr>
      <w:r>
        <w:rPr>
          <w:rFonts w:eastAsia="宋体" w:cs="Times New Roman" w:hint="eastAsia"/>
          <w:color w:val="222222"/>
          <w:kern w:val="0"/>
          <w:vertAlign w:val="superscript"/>
        </w:rPr>
        <w:t>†</w:t>
      </w:r>
      <w:r>
        <w:rPr>
          <w:rFonts w:eastAsia="宋体" w:cs="Times New Roman" w:hint="eastAsia"/>
          <w:i/>
          <w:iCs/>
          <w:color w:val="222222"/>
          <w:kern w:val="0"/>
        </w:rPr>
        <w:t>These</w:t>
      </w:r>
      <w:r>
        <w:rPr>
          <w:rFonts w:eastAsia="宋体" w:cs="Times New Roman" w:hint="eastAsia"/>
          <w:color w:val="222222"/>
          <w:kern w:val="0"/>
          <w:vertAlign w:val="superscript"/>
        </w:rPr>
        <w:t xml:space="preserve"> </w:t>
      </w:r>
      <w:r>
        <w:rPr>
          <w:rFonts w:eastAsia="宋体" w:cs="Times New Roman" w:hint="eastAsia"/>
          <w:i/>
          <w:iCs/>
          <w:color w:val="222222"/>
          <w:kern w:val="0"/>
        </w:rPr>
        <w:t>authors contribute equally to this work</w:t>
      </w:r>
    </w:p>
    <w:p w14:paraId="41167067" w14:textId="77777777" w:rsidR="00BC0790" w:rsidRDefault="00BC0790">
      <w:pPr>
        <w:widowControl/>
        <w:shd w:val="clear" w:color="auto" w:fill="FFFFFF"/>
        <w:spacing w:line="360" w:lineRule="auto"/>
        <w:ind w:right="119"/>
        <w:jc w:val="left"/>
        <w:rPr>
          <w:rFonts w:eastAsia="宋体" w:cs="Times New Roman"/>
          <w:i/>
          <w:iCs/>
          <w:color w:val="222222"/>
          <w:kern w:val="0"/>
        </w:rPr>
      </w:pPr>
    </w:p>
    <w:p w14:paraId="14E307A5" w14:textId="5B272439" w:rsidR="00BC0790" w:rsidRDefault="00000000">
      <w:pPr>
        <w:widowControl/>
        <w:shd w:val="clear" w:color="auto" w:fill="FFFFFF"/>
        <w:spacing w:line="360" w:lineRule="auto"/>
        <w:ind w:right="119"/>
        <w:jc w:val="left"/>
        <w:rPr>
          <w:rFonts w:eastAsia="宋体" w:cs="Times New Roman"/>
          <w:i/>
          <w:iCs/>
          <w:color w:val="222222"/>
          <w:kern w:val="0"/>
          <w:lang w:val="fr-CA"/>
        </w:rPr>
      </w:pPr>
      <w:r>
        <w:rPr>
          <w:rFonts w:eastAsia="宋体" w:cs="Times New Roman" w:hint="eastAsia"/>
          <w:i/>
          <w:iCs/>
          <w:color w:val="222222"/>
          <w:kern w:val="0"/>
          <w:lang w:val="fr-CA"/>
        </w:rPr>
        <w:t xml:space="preserve">Email: </w:t>
      </w:r>
      <w:hyperlink r:id="rId7" w:history="1">
        <w:r w:rsidR="00D0245C" w:rsidRPr="003F75E0">
          <w:rPr>
            <w:rStyle w:val="ac"/>
            <w:rFonts w:cs="Times New Roman" w:hint="eastAsia"/>
            <w:i/>
            <w:iCs/>
            <w:lang w:val="fr-CA"/>
          </w:rPr>
          <w:t>guanghui.ren@rmit.edu.au</w:t>
        </w:r>
      </w:hyperlink>
      <w:r w:rsidR="00D0245C">
        <w:rPr>
          <w:rFonts w:cs="Times New Roman" w:hint="eastAsia"/>
          <w:i/>
          <w:iCs/>
          <w:color w:val="222222"/>
          <w:lang w:val="fr-CA"/>
        </w:rPr>
        <w:t xml:space="preserve">; </w:t>
      </w:r>
      <w:hyperlink r:id="rId8" w:history="1">
        <w:r w:rsidR="00D0245C" w:rsidRPr="003F75E0">
          <w:rPr>
            <w:rStyle w:val="ac"/>
            <w:rFonts w:cs="Times New Roman" w:hint="eastAsia"/>
            <w:i/>
            <w:iCs/>
            <w:lang w:val="fr-CA"/>
          </w:rPr>
          <w:t>tianyh@lzu.edu.cn</w:t>
        </w:r>
      </w:hyperlink>
      <w:r w:rsidR="00D0245C">
        <w:rPr>
          <w:rFonts w:cs="Times New Roman" w:hint="eastAsia"/>
          <w:i/>
          <w:iCs/>
          <w:color w:val="222222"/>
          <w:lang w:val="fr-CA"/>
        </w:rPr>
        <w:t xml:space="preserve">; </w:t>
      </w:r>
      <w:hyperlink r:id="rId9" w:history="1">
        <w:r w:rsidR="00D0245C" w:rsidRPr="003F75E0">
          <w:rPr>
            <w:rStyle w:val="ac"/>
            <w:rFonts w:cs="Times New Roman" w:hint="eastAsia"/>
            <w:i/>
            <w:iCs/>
            <w:lang w:val="fr-CA"/>
          </w:rPr>
          <w:t>hjxia@hfut.edu.cn</w:t>
        </w:r>
      </w:hyperlink>
      <w:r w:rsidR="00D0245C">
        <w:rPr>
          <w:rFonts w:cs="Times New Roman" w:hint="eastAsia"/>
          <w:i/>
          <w:iCs/>
          <w:color w:val="222222"/>
          <w:lang w:val="fr-CA"/>
        </w:rPr>
        <w:t>;</w:t>
      </w:r>
    </w:p>
    <w:p w14:paraId="64A911D1" w14:textId="77777777" w:rsidR="00BC0790" w:rsidRDefault="00BC0790">
      <w:pPr>
        <w:widowControl/>
        <w:shd w:val="clear" w:color="auto" w:fill="FFFFFF"/>
        <w:spacing w:line="360" w:lineRule="auto"/>
        <w:ind w:right="119"/>
        <w:jc w:val="left"/>
        <w:rPr>
          <w:rFonts w:eastAsia="宋体" w:cs="Times New Roman"/>
          <w:i/>
          <w:iCs/>
          <w:color w:val="222222"/>
          <w:kern w:val="0"/>
          <w:lang w:val="fr-CA"/>
        </w:rPr>
      </w:pPr>
    </w:p>
    <w:p w14:paraId="451D66B4" w14:textId="77777777" w:rsidR="00BC0790" w:rsidRDefault="00000000">
      <w:pPr>
        <w:widowControl/>
        <w:shd w:val="clear" w:color="auto" w:fill="FFFFFF"/>
        <w:spacing w:line="360" w:lineRule="auto"/>
        <w:ind w:right="119"/>
        <w:jc w:val="left"/>
        <w:rPr>
          <w:rFonts w:eastAsia="宋体" w:cs="Times New Roman"/>
          <w:i/>
          <w:iCs/>
          <w:color w:val="222222"/>
          <w:kern w:val="0"/>
          <w:lang w:val="fr-CA"/>
        </w:rPr>
      </w:pPr>
      <w:r>
        <w:rPr>
          <w:rFonts w:eastAsia="宋体" w:cs="Times New Roman"/>
          <w:i/>
          <w:iCs/>
          <w:color w:val="222222"/>
          <w:kern w:val="0"/>
          <w:lang w:val="fr-CA"/>
        </w:rPr>
        <w:br w:type="page"/>
      </w:r>
    </w:p>
    <w:p w14:paraId="13F9D0D3" w14:textId="77777777" w:rsidR="00BC0790" w:rsidRDefault="00000000">
      <w:pPr>
        <w:pStyle w:val="c-article-author-listitem"/>
        <w:shd w:val="clear" w:color="auto" w:fill="FFFFFF"/>
        <w:spacing w:before="0" w:beforeAutospacing="0" w:after="0" w:afterAutospacing="0" w:line="360" w:lineRule="auto"/>
        <w:ind w:right="119"/>
        <w:rPr>
          <w:rFonts w:ascii="Times New Roman" w:hAnsi="Times New Roman" w:cs="Times New Roman"/>
          <w:b/>
          <w:bCs/>
          <w:i/>
          <w:iCs/>
          <w:color w:val="222222"/>
          <w:sz w:val="28"/>
          <w:szCs w:val="28"/>
          <w:lang w:val="fr-CA"/>
        </w:rPr>
      </w:pPr>
      <w:r>
        <w:rPr>
          <w:rFonts w:ascii="Times New Roman" w:hAnsi="Times New Roman" w:cs="Times New Roman" w:hint="eastAsia"/>
          <w:b/>
          <w:bCs/>
          <w:i/>
          <w:iCs/>
          <w:color w:val="222222"/>
          <w:sz w:val="28"/>
          <w:szCs w:val="28"/>
          <w:lang w:val="fr-CA"/>
        </w:rPr>
        <w:lastRenderedPageBreak/>
        <w:t>Abstract</w:t>
      </w:r>
    </w:p>
    <w:p w14:paraId="71CCE26D" w14:textId="77777777" w:rsidR="00BC0790" w:rsidRDefault="00000000">
      <w:pPr>
        <w:pStyle w:val="c-article-author-listitem"/>
        <w:shd w:val="clear" w:color="auto" w:fill="FFFFFF"/>
        <w:spacing w:before="0" w:beforeAutospacing="0" w:after="0" w:afterAutospacing="0" w:line="360" w:lineRule="auto"/>
        <w:ind w:right="119"/>
        <w:jc w:val="both"/>
        <w:rPr>
          <w:rFonts w:ascii="Times New Roman" w:hAnsi="Times New Roman" w:cs="Times New Roman"/>
          <w:bCs/>
        </w:rPr>
      </w:pPr>
      <w:r>
        <w:rPr>
          <w:rFonts w:ascii="Times New Roman" w:hAnsi="Times New Roman" w:cs="Times New Roman" w:hint="eastAsia"/>
          <w:bCs/>
        </w:rPr>
        <w:t>In this supporting information, we present a structural and performance comparison between inverse-designed mode (de)multiplexers (MUXs) with 100 nm and 200 nm feature sizes (S1), the design and measured results of traditional directional coupler (DC)-based MUXs (S2), the measured results of multimode waveguide crossing when light propagates along the crystallographic Z-axis of lithium niobate (S3), the detailed inverse design method (S4) and the schematic diagram of experiment setup (S5).</w:t>
      </w:r>
    </w:p>
    <w:p w14:paraId="5C175D24" w14:textId="77777777" w:rsidR="00BC0790" w:rsidRDefault="00BC0790">
      <w:pPr>
        <w:pStyle w:val="c-article-author-listitem"/>
        <w:shd w:val="clear" w:color="auto" w:fill="FFFFFF"/>
        <w:spacing w:before="0" w:beforeAutospacing="0" w:after="0" w:afterAutospacing="0" w:line="360" w:lineRule="auto"/>
        <w:ind w:right="119"/>
        <w:jc w:val="both"/>
        <w:rPr>
          <w:rFonts w:ascii="Times New Roman" w:hAnsi="Times New Roman" w:cs="Times New Roman"/>
          <w:bCs/>
        </w:rPr>
      </w:pPr>
    </w:p>
    <w:p w14:paraId="075D1D80" w14:textId="77777777" w:rsidR="00BC0790" w:rsidRDefault="00000000">
      <w:pPr>
        <w:pStyle w:val="c-article-author-listitem"/>
        <w:shd w:val="clear" w:color="auto" w:fill="FFFFFF"/>
        <w:spacing w:before="0" w:beforeAutospacing="0" w:after="0" w:afterAutospacing="0" w:line="360" w:lineRule="auto"/>
        <w:ind w:right="119"/>
        <w:jc w:val="both"/>
        <w:rPr>
          <w:rFonts w:ascii="Times New Roman" w:hAnsi="Times New Roman" w:cs="Times New Roman"/>
          <w:bCs/>
        </w:rPr>
      </w:pPr>
      <w:r>
        <w:rPr>
          <w:rFonts w:ascii="Times New Roman" w:hAnsi="Times New Roman" w:cs="Times New Roman"/>
          <w:bCs/>
        </w:rPr>
        <w:br w:type="page"/>
      </w:r>
    </w:p>
    <w:p w14:paraId="1A416ECD" w14:textId="77777777" w:rsidR="00BC0790" w:rsidRDefault="00000000">
      <w:pPr>
        <w:spacing w:line="360" w:lineRule="auto"/>
        <w:rPr>
          <w:rFonts w:hAnsi="Cambria Math" w:cs="Cambria Math"/>
          <w:b/>
          <w:bCs/>
          <w:i/>
          <w:iCs/>
        </w:rPr>
      </w:pPr>
      <w:r>
        <w:rPr>
          <w:rFonts w:hAnsi="Cambria Math" w:cs="Cambria Math" w:hint="eastAsia"/>
          <w:b/>
          <w:bCs/>
          <w:i/>
          <w:iCs/>
        </w:rPr>
        <w:lastRenderedPageBreak/>
        <w:t>S1. Inverse-designed mode (de)multiplexers with different feature sizes</w:t>
      </w:r>
    </w:p>
    <w:p w14:paraId="5B4463E5" w14:textId="77777777" w:rsidR="00BC0790" w:rsidRDefault="00000000">
      <w:pPr>
        <w:spacing w:line="360" w:lineRule="auto"/>
        <w:rPr>
          <w:rFonts w:eastAsia="宋体" w:cs="Times New Roman"/>
          <w:shd w:val="clear" w:color="auto" w:fill="FFFFFF"/>
        </w:rPr>
      </w:pPr>
      <w:r>
        <w:rPr>
          <w:rFonts w:hint="eastAsia"/>
        </w:rPr>
        <w:t xml:space="preserve">The 2D schematic diagrams of inverse-designed mode (de)multiplexers (MUXs) with different feature sizes are shown in </w:t>
      </w:r>
      <w:r>
        <w:rPr>
          <w:rFonts w:hint="eastAsia"/>
          <w:b/>
          <w:bCs/>
        </w:rPr>
        <w:t>Fig. S1a</w:t>
      </w:r>
      <w:r>
        <w:rPr>
          <w:rFonts w:hint="eastAsia"/>
        </w:rPr>
        <w:t xml:space="preserve">. The effective sizes of the devices are both designed as </w:t>
      </w:r>
      <w:r>
        <w:rPr>
          <w:rFonts w:cs="Times New Roman"/>
          <w:bCs/>
          <w:color w:val="222222"/>
        </w:rPr>
        <w:t>19×25 μm</w:t>
      </w:r>
      <w:r>
        <w:rPr>
          <w:rFonts w:cs="Times New Roman"/>
          <w:bCs/>
          <w:color w:val="222222"/>
          <w:vertAlign w:val="superscript"/>
        </w:rPr>
        <w:t>2</w:t>
      </w:r>
      <w:r>
        <w:rPr>
          <w:rFonts w:cs="Times New Roman" w:hint="eastAsia"/>
          <w:bCs/>
          <w:color w:val="222222"/>
        </w:rPr>
        <w:t>.</w:t>
      </w:r>
      <w:r>
        <w:rPr>
          <w:rFonts w:hint="eastAsia"/>
        </w:rPr>
        <w:t xml:space="preserve"> The </w:t>
      </w:r>
      <w:r>
        <w:t>corresponding</w:t>
      </w:r>
      <w:r>
        <w:rPr>
          <w:rFonts w:hint="eastAsia"/>
        </w:rPr>
        <w:t xml:space="preserve"> </w:t>
      </w:r>
      <w:r>
        <w:rPr>
          <w:rFonts w:hint="eastAsia"/>
          <w:bCs/>
        </w:rPr>
        <w:t>scanning electron microscope</w:t>
      </w:r>
      <w:r>
        <w:rPr>
          <w:rFonts w:hint="eastAsia"/>
        </w:rPr>
        <w:t xml:space="preserve"> (SEM) images are shown in </w:t>
      </w:r>
      <w:r>
        <w:rPr>
          <w:rFonts w:hint="eastAsia"/>
          <w:b/>
          <w:bCs/>
        </w:rPr>
        <w:t>Fig. S1b</w:t>
      </w:r>
      <w:r>
        <w:rPr>
          <w:rFonts w:hint="eastAsia"/>
        </w:rPr>
        <w:t>. It can be seen that the designed and fabricated device structure is much more complex when 100 nm feature size is allowed</w:t>
      </w:r>
      <w:r>
        <w:rPr>
          <w:rFonts w:eastAsia="宋体" w:cs="Times New Roman" w:hint="eastAsia"/>
          <w:shd w:val="clear" w:color="auto" w:fill="FFFFFF"/>
        </w:rPr>
        <w:t>.</w:t>
      </w:r>
    </w:p>
    <w:p w14:paraId="69B93596" w14:textId="77777777" w:rsidR="00BC0790" w:rsidRDefault="00000000" w:rsidP="00682E2A">
      <w:pPr>
        <w:spacing w:line="360" w:lineRule="auto"/>
        <w:jc w:val="center"/>
      </w:pPr>
      <w:r>
        <w:rPr>
          <w:rFonts w:hint="eastAsia"/>
          <w:noProof/>
        </w:rPr>
        <w:drawing>
          <wp:inline distT="0" distB="0" distL="114300" distR="114300" wp14:anchorId="3F882A46" wp14:editId="65CA9C1D">
            <wp:extent cx="5747385" cy="4495165"/>
            <wp:effectExtent l="0" t="0" r="5715" b="635"/>
            <wp:docPr id="1" name="图片 1" descr="100v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vs200"/>
                    <pic:cNvPicPr>
                      <a:picLocks noChangeAspect="1"/>
                    </pic:cNvPicPr>
                  </pic:nvPicPr>
                  <pic:blipFill>
                    <a:blip r:embed="rId10"/>
                    <a:srcRect t="372" b="17279"/>
                    <a:stretch>
                      <a:fillRect/>
                    </a:stretch>
                  </pic:blipFill>
                  <pic:spPr>
                    <a:xfrm>
                      <a:off x="0" y="0"/>
                      <a:ext cx="5747385" cy="4495165"/>
                    </a:xfrm>
                    <a:prstGeom prst="rect">
                      <a:avLst/>
                    </a:prstGeom>
                  </pic:spPr>
                </pic:pic>
              </a:graphicData>
            </a:graphic>
          </wp:inline>
        </w:drawing>
      </w:r>
    </w:p>
    <w:p w14:paraId="01499CD4" w14:textId="77777777" w:rsidR="00BC0790" w:rsidRDefault="00000000">
      <w:pPr>
        <w:spacing w:after="100" w:afterAutospacing="1" w:line="360" w:lineRule="auto"/>
        <w:rPr>
          <w:rFonts w:cs="Times New Roman"/>
          <w:bCs/>
          <w:color w:val="222222"/>
          <w:sz w:val="21"/>
          <w:szCs w:val="21"/>
        </w:rPr>
      </w:pPr>
      <w:r>
        <w:rPr>
          <w:rFonts w:cs="Times New Roman" w:hint="eastAsia"/>
          <w:b/>
          <w:color w:val="222222"/>
          <w:sz w:val="21"/>
          <w:szCs w:val="21"/>
        </w:rPr>
        <w:t>Fig. S1</w:t>
      </w:r>
      <w:r>
        <w:rPr>
          <w:rFonts w:cs="Times New Roman" w:hint="eastAsia"/>
          <w:bCs/>
          <w:color w:val="222222"/>
          <w:sz w:val="21"/>
          <w:szCs w:val="21"/>
        </w:rPr>
        <w:t xml:space="preserve"> </w:t>
      </w:r>
      <w:r>
        <w:rPr>
          <w:rFonts w:cs="Times New Roman" w:hint="eastAsia"/>
          <w:b/>
          <w:color w:val="222222"/>
          <w:sz w:val="21"/>
          <w:szCs w:val="21"/>
        </w:rPr>
        <w:t xml:space="preserve">Structural comparison between MUXs with 100 nm and 200 nm feature sizes. a </w:t>
      </w:r>
      <w:r>
        <w:rPr>
          <w:rFonts w:cs="Times New Roman" w:hint="eastAsia"/>
          <w:bCs/>
          <w:color w:val="222222"/>
          <w:sz w:val="21"/>
          <w:szCs w:val="21"/>
        </w:rPr>
        <w:t xml:space="preserve">2D </w:t>
      </w:r>
      <w:r>
        <w:rPr>
          <w:rFonts w:cs="Times New Roman"/>
          <w:bCs/>
          <w:color w:val="222222"/>
          <w:sz w:val="21"/>
          <w:szCs w:val="21"/>
        </w:rPr>
        <w:t>schematic</w:t>
      </w:r>
      <w:r>
        <w:rPr>
          <w:rFonts w:cs="Times New Roman" w:hint="eastAsia"/>
          <w:bCs/>
          <w:color w:val="222222"/>
          <w:sz w:val="21"/>
          <w:szCs w:val="21"/>
        </w:rPr>
        <w:t xml:space="preserve"> diagrams of the inverse-designed MUXs.</w:t>
      </w:r>
      <w:r>
        <w:rPr>
          <w:rFonts w:cs="Times New Roman" w:hint="eastAsia"/>
          <w:b/>
          <w:color w:val="222222"/>
          <w:sz w:val="21"/>
          <w:szCs w:val="21"/>
        </w:rPr>
        <w:t xml:space="preserve"> b </w:t>
      </w:r>
      <w:r>
        <w:rPr>
          <w:rFonts w:cs="Times New Roman" w:hint="eastAsia"/>
          <w:bCs/>
          <w:color w:val="222222"/>
          <w:sz w:val="21"/>
          <w:szCs w:val="21"/>
        </w:rPr>
        <w:t xml:space="preserve">SEM images of the fabricated MUXs. </w:t>
      </w:r>
      <w:r>
        <w:rPr>
          <w:rFonts w:cs="Times New Roman" w:hint="eastAsia"/>
          <w:b/>
          <w:color w:val="222222"/>
          <w:sz w:val="21"/>
          <w:szCs w:val="21"/>
        </w:rPr>
        <w:t xml:space="preserve">c </w:t>
      </w:r>
      <w:r>
        <w:rPr>
          <w:rFonts w:cs="Times New Roman" w:hint="eastAsia"/>
          <w:bCs/>
          <w:color w:val="222222"/>
          <w:sz w:val="21"/>
          <w:szCs w:val="21"/>
        </w:rPr>
        <w:t xml:space="preserve">Microscope image of the </w:t>
      </w:r>
      <w:r>
        <w:rPr>
          <w:rFonts w:cs="Times New Roman"/>
          <w:bCs/>
          <w:color w:val="222222"/>
          <w:sz w:val="21"/>
          <w:szCs w:val="21"/>
        </w:rPr>
        <w:t>cascaded</w:t>
      </w:r>
      <w:r>
        <w:rPr>
          <w:rFonts w:cs="Times New Roman" w:hint="eastAsia"/>
          <w:bCs/>
          <w:color w:val="222222"/>
          <w:sz w:val="21"/>
          <w:szCs w:val="21"/>
        </w:rPr>
        <w:t xml:space="preserve"> devices for transmission </w:t>
      </w:r>
      <w:r>
        <w:rPr>
          <w:rFonts w:cs="Times New Roman"/>
          <w:bCs/>
          <w:color w:val="222222"/>
          <w:sz w:val="21"/>
          <w:szCs w:val="21"/>
        </w:rPr>
        <w:t>spectra</w:t>
      </w:r>
      <w:r>
        <w:rPr>
          <w:rFonts w:cs="Times New Roman" w:hint="eastAsia"/>
          <w:bCs/>
          <w:color w:val="222222"/>
          <w:sz w:val="21"/>
          <w:szCs w:val="21"/>
        </w:rPr>
        <w:t xml:space="preserve"> measurements.</w:t>
      </w:r>
    </w:p>
    <w:p w14:paraId="0012229F" w14:textId="0CBA48F3" w:rsidR="00BC0790" w:rsidRDefault="00000000">
      <w:pPr>
        <w:spacing w:line="360" w:lineRule="auto"/>
        <w:ind w:firstLineChars="200" w:firstLine="480"/>
        <w:rPr>
          <w:rFonts w:eastAsia="宋体" w:cs="Times New Roman"/>
          <w:shd w:val="clear" w:color="auto" w:fill="FFFFFF"/>
        </w:rPr>
      </w:pPr>
      <w:r>
        <w:rPr>
          <w:rFonts w:hAnsi="Cambria Math" w:cs="Cambria Math" w:hint="eastAsia"/>
        </w:rPr>
        <w:t xml:space="preserve">For the </w:t>
      </w:r>
      <w:r>
        <w:rPr>
          <w:rFonts w:hAnsi="Cambria Math" w:cs="Cambria Math"/>
        </w:rPr>
        <w:t>convenience</w:t>
      </w:r>
      <w:r>
        <w:rPr>
          <w:rFonts w:hAnsi="Cambria Math" w:cs="Cambria Math" w:hint="eastAsia"/>
        </w:rPr>
        <w:t xml:space="preserve"> of </w:t>
      </w:r>
      <w:r>
        <w:rPr>
          <w:rFonts w:hAnsi="Cambria Math" w:cs="Cambria Math"/>
        </w:rPr>
        <w:t>comparison</w:t>
      </w:r>
      <w:r>
        <w:rPr>
          <w:rFonts w:hAnsi="Cambria Math" w:cs="Cambria Math" w:hint="eastAsia"/>
        </w:rPr>
        <w:t xml:space="preserve">, we also simulated and measured the transmission spectra of MUXs </w:t>
      </w:r>
      <w:r w:rsidR="00C54D1A">
        <w:rPr>
          <w:rFonts w:hAnsi="Cambria Math" w:cs="Cambria Math" w:hint="eastAsia"/>
        </w:rPr>
        <w:t>when</w:t>
      </w:r>
      <w:r>
        <w:rPr>
          <w:rFonts w:hAnsi="Cambria Math" w:cs="Cambria Math" w:hint="eastAsia"/>
        </w:rPr>
        <w:t xml:space="preserve"> </w:t>
      </w:r>
      <w:r w:rsidR="00C54D1A">
        <w:rPr>
          <w:rFonts w:hAnsi="Cambria Math" w:cs="Cambria Math" w:hint="eastAsia"/>
        </w:rPr>
        <w:t>the</w:t>
      </w:r>
      <w:r>
        <w:rPr>
          <w:rFonts w:hAnsi="Cambria Math" w:cs="Cambria Math" w:hint="eastAsia"/>
        </w:rPr>
        <w:t xml:space="preserve"> </w:t>
      </w:r>
      <w:r w:rsidR="00C54D1A">
        <w:rPr>
          <w:rFonts w:hAnsi="Cambria Math" w:cs="Cambria Math" w:hint="eastAsia"/>
        </w:rPr>
        <w:t xml:space="preserve">device </w:t>
      </w:r>
      <w:r>
        <w:rPr>
          <w:rFonts w:hAnsi="Cambria Math" w:cs="Cambria Math" w:hint="eastAsia"/>
        </w:rPr>
        <w:t>feature size</w:t>
      </w:r>
      <w:r w:rsidR="00C54D1A">
        <w:rPr>
          <w:rFonts w:hAnsi="Cambria Math" w:cs="Cambria Math" w:hint="eastAsia"/>
        </w:rPr>
        <w:t xml:space="preserve"> is </w:t>
      </w:r>
      <w:r w:rsidR="00C54D1A">
        <w:rPr>
          <w:rFonts w:hAnsi="Cambria Math" w:cs="Cambria Math"/>
        </w:rPr>
        <w:t>limited</w:t>
      </w:r>
      <w:r w:rsidR="00C54D1A">
        <w:rPr>
          <w:rFonts w:hAnsi="Cambria Math" w:cs="Cambria Math" w:hint="eastAsia"/>
        </w:rPr>
        <w:t xml:space="preserve"> to 200 nm</w:t>
      </w:r>
      <w:r>
        <w:rPr>
          <w:rFonts w:hAnsi="Cambria Math" w:cs="Cambria Math" w:hint="eastAsia"/>
        </w:rPr>
        <w:t xml:space="preserve">. The simulated transmission spectra at a wavelength range from 1530 nm to 1570 nm are depicted as </w:t>
      </w:r>
      <w:r>
        <w:rPr>
          <w:rFonts w:hAnsi="Cambria Math" w:cs="Cambria Math" w:hint="eastAsia"/>
          <w:b/>
          <w:bCs/>
        </w:rPr>
        <w:t>Fig. S2a-c</w:t>
      </w:r>
      <w:r>
        <w:rPr>
          <w:rFonts w:hAnsi="Cambria Math" w:cs="Cambria Math" w:hint="eastAsia"/>
        </w:rPr>
        <w:t>. The simulated insertion losses (IL) of the TE</w:t>
      </w:r>
      <w:r>
        <w:rPr>
          <w:rFonts w:hAnsi="Cambria Math" w:cs="Cambria Math" w:hint="eastAsia"/>
          <w:vertAlign w:val="subscript"/>
        </w:rPr>
        <w:t>0</w:t>
      </w:r>
      <w:r>
        <w:rPr>
          <w:rFonts w:hAnsi="Cambria Math" w:cs="Cambria Math" w:hint="eastAsia"/>
        </w:rPr>
        <w:t>, TE</w:t>
      </w:r>
      <w:r>
        <w:rPr>
          <w:rFonts w:hAnsi="Cambria Math" w:cs="Cambria Math" w:hint="eastAsia"/>
          <w:vertAlign w:val="subscript"/>
        </w:rPr>
        <w:t>1</w:t>
      </w:r>
      <w:r>
        <w:rPr>
          <w:rFonts w:hAnsi="Cambria Math" w:cs="Cambria Math" w:hint="eastAsia"/>
        </w:rPr>
        <w:t xml:space="preserve"> and TE</w:t>
      </w:r>
      <w:r>
        <w:rPr>
          <w:rFonts w:hAnsi="Cambria Math" w:cs="Cambria Math" w:hint="eastAsia"/>
          <w:vertAlign w:val="subscript"/>
        </w:rPr>
        <w:t>2</w:t>
      </w:r>
      <w:r>
        <w:rPr>
          <w:rFonts w:hAnsi="Cambria Math" w:cs="Cambria Math" w:hint="eastAsia"/>
        </w:rPr>
        <w:t xml:space="preserve"> modes are 1.24 dB, 1.07 dB, and 1.87 dB </w:t>
      </w:r>
      <w:r>
        <w:rPr>
          <w:rFonts w:cs="Times New Roman" w:hint="eastAsia"/>
          <w:bCs/>
        </w:rPr>
        <w:t>at the wavelength of 1550 nm</w:t>
      </w:r>
      <w:r>
        <w:rPr>
          <w:rFonts w:hAnsi="Cambria Math" w:cs="Cambria Math" w:hint="eastAsia"/>
        </w:rPr>
        <w:t xml:space="preserve">, while the mode crosstalk (CT) stays below -12.9 dB </w:t>
      </w:r>
      <w:r>
        <w:rPr>
          <w:rFonts w:cs="Times New Roman" w:hint="eastAsia"/>
          <w:bCs/>
        </w:rPr>
        <w:t>in the whole wavelength range</w:t>
      </w:r>
      <w:r>
        <w:rPr>
          <w:rFonts w:hAnsi="Cambria Math" w:cs="Cambria Math" w:hint="eastAsia"/>
        </w:rPr>
        <w:t xml:space="preserve">. To confirm the device performance, the transmission spectra of different modes are measured by using the device shown in </w:t>
      </w:r>
      <w:r>
        <w:rPr>
          <w:rFonts w:hAnsi="Cambria Math" w:cs="Cambria Math" w:hint="eastAsia"/>
          <w:b/>
          <w:bCs/>
        </w:rPr>
        <w:t>Fig. S1c</w:t>
      </w:r>
      <w:r>
        <w:rPr>
          <w:rFonts w:hAnsi="Cambria Math" w:cs="Cambria Math" w:hint="eastAsia"/>
        </w:rPr>
        <w:t xml:space="preserve">. As shown in </w:t>
      </w:r>
      <w:r>
        <w:rPr>
          <w:rFonts w:hAnsi="Cambria Math" w:cs="Cambria Math" w:hint="eastAsia"/>
          <w:b/>
          <w:bCs/>
        </w:rPr>
        <w:t>Fig. S2d-f</w:t>
      </w:r>
      <w:r>
        <w:rPr>
          <w:rFonts w:hAnsi="Cambria Math" w:cs="Cambria Math" w:hint="eastAsia"/>
        </w:rPr>
        <w:t>, the measured IL of TE</w:t>
      </w:r>
      <w:r>
        <w:rPr>
          <w:rFonts w:hAnsi="Cambria Math" w:cs="Cambria Math" w:hint="eastAsia"/>
          <w:vertAlign w:val="subscript"/>
        </w:rPr>
        <w:t>0</w:t>
      </w:r>
      <w:r>
        <w:rPr>
          <w:rFonts w:hAnsi="Cambria Math" w:cs="Cambria Math" w:hint="eastAsia"/>
        </w:rPr>
        <w:t>, TE</w:t>
      </w:r>
      <w:r>
        <w:rPr>
          <w:rFonts w:hAnsi="Cambria Math" w:cs="Cambria Math" w:hint="eastAsia"/>
          <w:vertAlign w:val="subscript"/>
        </w:rPr>
        <w:t>1</w:t>
      </w:r>
      <w:r>
        <w:rPr>
          <w:rFonts w:hAnsi="Cambria Math" w:cs="Cambria Math" w:hint="eastAsia"/>
        </w:rPr>
        <w:t>, and TE</w:t>
      </w:r>
      <w:r>
        <w:rPr>
          <w:rFonts w:hAnsi="Cambria Math" w:cs="Cambria Math" w:hint="eastAsia"/>
          <w:vertAlign w:val="subscript"/>
        </w:rPr>
        <w:t>2</w:t>
      </w:r>
      <w:r>
        <w:rPr>
          <w:rFonts w:hAnsi="Cambria Math" w:cs="Cambria Math" w:hint="eastAsia"/>
        </w:rPr>
        <w:t xml:space="preserve"> mode channels are 3.13 dB, 2.62 dB, and 3.78 dB </w:t>
      </w:r>
      <w:r>
        <w:rPr>
          <w:rFonts w:cs="Times New Roman" w:hint="eastAsia"/>
          <w:bCs/>
        </w:rPr>
        <w:t>at the wavelength of 1550 nm</w:t>
      </w:r>
      <w:r>
        <w:rPr>
          <w:rFonts w:hAnsi="Cambria Math" w:cs="Cambria Math" w:hint="eastAsia"/>
        </w:rPr>
        <w:t xml:space="preserve">, while the CT is lower than -10.7 dB </w:t>
      </w:r>
      <w:r>
        <w:rPr>
          <w:rFonts w:cs="Times New Roman" w:hint="eastAsia"/>
          <w:bCs/>
          <w:color w:val="222222"/>
        </w:rPr>
        <w:t>in the whole wavelength range</w:t>
      </w:r>
      <w:r>
        <w:rPr>
          <w:rFonts w:hAnsi="Cambria Math" w:cs="Cambria Math" w:hint="eastAsia"/>
        </w:rPr>
        <w:t>.</w:t>
      </w:r>
    </w:p>
    <w:p w14:paraId="52C6EAAE" w14:textId="77777777" w:rsidR="00BC0790" w:rsidRDefault="00000000">
      <w:pPr>
        <w:spacing w:line="360" w:lineRule="auto"/>
        <w:jc w:val="center"/>
      </w:pPr>
      <w:r>
        <w:rPr>
          <w:rFonts w:hint="eastAsia"/>
          <w:noProof/>
        </w:rPr>
        <w:lastRenderedPageBreak/>
        <w:drawing>
          <wp:inline distT="0" distB="0" distL="114300" distR="114300" wp14:anchorId="28D3F8D3" wp14:editId="626E3187">
            <wp:extent cx="6480000" cy="3188558"/>
            <wp:effectExtent l="0" t="0" r="0" b="0"/>
            <wp:docPr id="20" name="图片 20" descr="200nmM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0nmMUX"/>
                    <pic:cNvPicPr>
                      <a:picLocks noChangeAspect="1"/>
                    </pic:cNvPicPr>
                  </pic:nvPicPr>
                  <pic:blipFill>
                    <a:blip r:embed="rId11"/>
                    <a:srcRect l="1492" t="2613" r="3281" b="7827"/>
                    <a:stretch>
                      <a:fillRect/>
                    </a:stretch>
                  </pic:blipFill>
                  <pic:spPr>
                    <a:xfrm>
                      <a:off x="0" y="0"/>
                      <a:ext cx="6480000" cy="3188558"/>
                    </a:xfrm>
                    <a:prstGeom prst="rect">
                      <a:avLst/>
                    </a:prstGeom>
                    <a:ln>
                      <a:noFill/>
                    </a:ln>
                  </pic:spPr>
                </pic:pic>
              </a:graphicData>
            </a:graphic>
          </wp:inline>
        </w:drawing>
      </w:r>
    </w:p>
    <w:p w14:paraId="3425EE0A" w14:textId="77777777" w:rsidR="00BC0790" w:rsidRDefault="00000000">
      <w:pPr>
        <w:spacing w:after="100" w:afterAutospacing="1" w:line="360" w:lineRule="auto"/>
        <w:rPr>
          <w:rFonts w:cs="Times New Roman"/>
          <w:bCs/>
          <w:color w:val="222222"/>
          <w:sz w:val="21"/>
          <w:szCs w:val="21"/>
        </w:rPr>
      </w:pPr>
      <w:r>
        <w:rPr>
          <w:rFonts w:cs="Times New Roman" w:hint="eastAsia"/>
          <w:b/>
          <w:color w:val="222222"/>
          <w:sz w:val="21"/>
          <w:szCs w:val="21"/>
        </w:rPr>
        <w:t>Fig. S2</w:t>
      </w:r>
      <w:r>
        <w:rPr>
          <w:rFonts w:cs="Times New Roman" w:hint="eastAsia"/>
          <w:bCs/>
          <w:color w:val="222222"/>
          <w:sz w:val="21"/>
          <w:szCs w:val="21"/>
        </w:rPr>
        <w:t xml:space="preserve"> </w:t>
      </w:r>
      <w:r>
        <w:rPr>
          <w:rFonts w:cs="Times New Roman" w:hint="eastAsia"/>
          <w:b/>
          <w:color w:val="222222"/>
          <w:sz w:val="21"/>
          <w:szCs w:val="21"/>
        </w:rPr>
        <w:t xml:space="preserve">Transmission spectra of MUXs with 200 nm feature size. a-c </w:t>
      </w:r>
      <w:r>
        <w:rPr>
          <w:rFonts w:cs="Times New Roman" w:hint="eastAsia"/>
          <w:bCs/>
          <w:color w:val="222222"/>
          <w:sz w:val="21"/>
          <w:szCs w:val="21"/>
        </w:rPr>
        <w:t>3D-FDTD simulation results (from left to right: TE</w:t>
      </w:r>
      <w:r>
        <w:rPr>
          <w:rFonts w:cs="Times New Roman" w:hint="eastAsia"/>
          <w:bCs/>
          <w:color w:val="222222"/>
          <w:sz w:val="21"/>
          <w:szCs w:val="21"/>
          <w:vertAlign w:val="subscript"/>
        </w:rPr>
        <w:t>0</w:t>
      </w:r>
      <w:r>
        <w:rPr>
          <w:rFonts w:cs="Times New Roman" w:hint="eastAsia"/>
          <w:bCs/>
          <w:color w:val="222222"/>
          <w:sz w:val="21"/>
          <w:szCs w:val="21"/>
        </w:rPr>
        <w:t>, TE</w:t>
      </w:r>
      <w:r>
        <w:rPr>
          <w:rFonts w:cs="Times New Roman" w:hint="eastAsia"/>
          <w:bCs/>
          <w:color w:val="222222"/>
          <w:sz w:val="21"/>
          <w:szCs w:val="21"/>
          <w:vertAlign w:val="subscript"/>
        </w:rPr>
        <w:t>1</w:t>
      </w:r>
      <w:r>
        <w:rPr>
          <w:rFonts w:cs="Times New Roman" w:hint="eastAsia"/>
          <w:bCs/>
          <w:color w:val="222222"/>
          <w:sz w:val="21"/>
          <w:szCs w:val="21"/>
        </w:rPr>
        <w:t>, TE</w:t>
      </w:r>
      <w:r>
        <w:rPr>
          <w:rFonts w:cs="Times New Roman" w:hint="eastAsia"/>
          <w:bCs/>
          <w:color w:val="222222"/>
          <w:sz w:val="21"/>
          <w:szCs w:val="21"/>
          <w:vertAlign w:val="subscript"/>
        </w:rPr>
        <w:t>2</w:t>
      </w:r>
      <w:r>
        <w:rPr>
          <w:rFonts w:cs="Times New Roman" w:hint="eastAsia"/>
          <w:bCs/>
          <w:color w:val="222222"/>
          <w:sz w:val="21"/>
          <w:szCs w:val="21"/>
        </w:rPr>
        <w:t>).</w:t>
      </w:r>
      <w:r>
        <w:rPr>
          <w:rFonts w:cs="Times New Roman" w:hint="eastAsia"/>
          <w:b/>
          <w:color w:val="222222"/>
          <w:sz w:val="21"/>
          <w:szCs w:val="21"/>
        </w:rPr>
        <w:t xml:space="preserve"> d-f </w:t>
      </w:r>
      <w:r>
        <w:rPr>
          <w:rFonts w:cs="Times New Roman" w:hint="eastAsia"/>
          <w:bCs/>
          <w:color w:val="222222"/>
          <w:sz w:val="21"/>
          <w:szCs w:val="21"/>
        </w:rPr>
        <w:t>Experimental results.</w:t>
      </w:r>
    </w:p>
    <w:p w14:paraId="2E29B446" w14:textId="1585BB29" w:rsidR="00BC0790" w:rsidRDefault="00000000">
      <w:pPr>
        <w:spacing w:line="360" w:lineRule="auto"/>
        <w:ind w:firstLineChars="200" w:firstLine="480"/>
        <w:rPr>
          <w:rFonts w:cs="Times New Roman"/>
        </w:rPr>
      </w:pPr>
      <w:r>
        <w:rPr>
          <w:rFonts w:cs="Times New Roman"/>
        </w:rPr>
        <w:t>We compare</w:t>
      </w:r>
      <w:r>
        <w:rPr>
          <w:rFonts w:cs="Times New Roman" w:hint="eastAsia"/>
        </w:rPr>
        <w:t xml:space="preserve"> the </w:t>
      </w:r>
      <w:bookmarkStart w:id="0" w:name="_Hlk202364334"/>
      <w:r>
        <w:rPr>
          <w:rFonts w:cs="Times New Roman" w:hint="eastAsia"/>
        </w:rPr>
        <w:t xml:space="preserve">device </w:t>
      </w:r>
      <w:r>
        <w:rPr>
          <w:rFonts w:cs="Times New Roman"/>
        </w:rPr>
        <w:t>performance</w:t>
      </w:r>
      <w:r>
        <w:rPr>
          <w:rFonts w:cs="Times New Roman" w:hint="eastAsia"/>
        </w:rPr>
        <w:t xml:space="preserve"> of MUXs with </w:t>
      </w:r>
      <w:r>
        <w:rPr>
          <w:rFonts w:cs="Times New Roman"/>
        </w:rPr>
        <w:t>different</w:t>
      </w:r>
      <w:r>
        <w:rPr>
          <w:rFonts w:cs="Times New Roman" w:hint="eastAsia"/>
        </w:rPr>
        <w:t xml:space="preserve"> feature sizes</w:t>
      </w:r>
      <w:bookmarkEnd w:id="0"/>
      <w:r>
        <w:rPr>
          <w:rFonts w:cs="Times New Roman"/>
        </w:rPr>
        <w:t xml:space="preserve">, as shown in </w:t>
      </w:r>
      <w:r w:rsidRPr="000958BB">
        <w:rPr>
          <w:rFonts w:cs="Times New Roman"/>
          <w:b/>
          <w:bCs/>
        </w:rPr>
        <w:t xml:space="preserve">Table </w:t>
      </w:r>
      <w:r w:rsidRPr="000958BB">
        <w:rPr>
          <w:rFonts w:cs="Times New Roman" w:hint="eastAsia"/>
          <w:b/>
          <w:bCs/>
        </w:rPr>
        <w:t>S</w:t>
      </w:r>
      <w:r w:rsidRPr="000958BB">
        <w:rPr>
          <w:rFonts w:cs="Times New Roman"/>
          <w:b/>
          <w:bCs/>
        </w:rPr>
        <w:t>1</w:t>
      </w:r>
      <w:r>
        <w:rPr>
          <w:rFonts w:cs="Times New Roman"/>
        </w:rPr>
        <w:t>.</w:t>
      </w:r>
      <w:r>
        <w:rPr>
          <w:rFonts w:cs="Times New Roman" w:hint="eastAsia"/>
        </w:rPr>
        <w:t xml:space="preserve"> Once the minimum feature size is reduced, an overall improvement of device </w:t>
      </w:r>
      <w:r>
        <w:rPr>
          <w:rFonts w:cs="Times New Roman"/>
        </w:rPr>
        <w:t>performance</w:t>
      </w:r>
      <w:r>
        <w:rPr>
          <w:rFonts w:cs="Times New Roman" w:hint="eastAsia"/>
        </w:rPr>
        <w:t xml:space="preserve"> is obtained. By </w:t>
      </w:r>
      <w:r>
        <w:rPr>
          <w:rFonts w:cs="Times New Roman"/>
        </w:rPr>
        <w:t>considering</w:t>
      </w:r>
      <w:r>
        <w:rPr>
          <w:rFonts w:cs="Times New Roman" w:hint="eastAsia"/>
        </w:rPr>
        <w:t xml:space="preserve"> the limitations of LNOI device feature size (typically </w:t>
      </w:r>
      <w:r>
        <w:rPr>
          <w:rFonts w:cs="Times New Roman"/>
        </w:rPr>
        <w:t>≥</w:t>
      </w:r>
      <w:r>
        <w:rPr>
          <w:rFonts w:cs="Times New Roman" w:hint="eastAsia"/>
        </w:rPr>
        <w:t xml:space="preserve">200 nm) from direct </w:t>
      </w:r>
      <w:r>
        <w:rPr>
          <w:rFonts w:cs="Times New Roman"/>
        </w:rPr>
        <w:t>etching</w:t>
      </w:r>
      <w:r>
        <w:rPr>
          <w:rFonts w:cs="Times New Roman" w:hint="eastAsia"/>
        </w:rPr>
        <w:t xml:space="preserve"> process, a silicon nitride-lithium niobate hybrid platform with </w:t>
      </w:r>
      <w:r w:rsidR="00C54D1A">
        <w:rPr>
          <w:rFonts w:cs="Times New Roman" w:hint="eastAsia"/>
        </w:rPr>
        <w:t>small and well-controlled</w:t>
      </w:r>
      <w:r>
        <w:rPr>
          <w:rFonts w:cs="Times New Roman" w:hint="eastAsia"/>
        </w:rPr>
        <w:t xml:space="preserve"> feature size (</w:t>
      </w:r>
      <w:r>
        <w:rPr>
          <w:rFonts w:cs="Times New Roman"/>
        </w:rPr>
        <w:t>≤</w:t>
      </w:r>
      <w:r>
        <w:rPr>
          <w:rFonts w:cs="Times New Roman" w:hint="eastAsia"/>
        </w:rPr>
        <w:t xml:space="preserve">100 nm) is expected to </w:t>
      </w:r>
      <w:r>
        <w:rPr>
          <w:rFonts w:cs="Times New Roman"/>
          <w:bCs/>
        </w:rPr>
        <w:t>significantly</w:t>
      </w:r>
      <w:r>
        <w:rPr>
          <w:rFonts w:cs="Times New Roman" w:hint="eastAsia"/>
          <w:bCs/>
        </w:rPr>
        <w:t xml:space="preserve"> improve the device performance including IL and CT.</w:t>
      </w:r>
      <w:r>
        <w:rPr>
          <w:rFonts w:cs="Times New Roman"/>
        </w:rPr>
        <w:t xml:space="preserve"> </w:t>
      </w:r>
    </w:p>
    <w:p w14:paraId="10F5B594" w14:textId="77777777" w:rsidR="00BC0790" w:rsidRDefault="00000000">
      <w:pPr>
        <w:spacing w:before="100" w:beforeAutospacing="1" w:line="360" w:lineRule="auto"/>
        <w:jc w:val="center"/>
        <w:rPr>
          <w:rFonts w:hAnsi="Cambria Math" w:cs="Cambria Math"/>
        </w:rPr>
      </w:pPr>
      <w:r>
        <w:rPr>
          <w:rFonts w:hAnsi="Cambria Math" w:cs="Cambria Math" w:hint="eastAsia"/>
          <w:b/>
          <w:bCs/>
        </w:rPr>
        <w:t>Table S1.</w:t>
      </w:r>
      <w:r>
        <w:rPr>
          <w:rFonts w:hAnsi="Cambria Math" w:cs="Cambria Math" w:hint="eastAsia"/>
        </w:rPr>
        <w:t xml:space="preserve"> </w:t>
      </w:r>
      <w:bookmarkStart w:id="1" w:name="_Hlk202373101"/>
      <w:r>
        <w:rPr>
          <w:rFonts w:hAnsi="Cambria Math" w:cs="Cambria Math" w:hint="eastAsia"/>
          <w:b/>
          <w:bCs/>
        </w:rPr>
        <w:t xml:space="preserve">Device </w:t>
      </w:r>
      <w:r>
        <w:rPr>
          <w:rFonts w:hAnsi="Cambria Math" w:cs="Cambria Math"/>
          <w:b/>
          <w:bCs/>
        </w:rPr>
        <w:t>performance</w:t>
      </w:r>
      <w:r>
        <w:rPr>
          <w:rFonts w:hAnsi="Cambria Math" w:cs="Cambria Math" w:hint="eastAsia"/>
          <w:b/>
          <w:bCs/>
        </w:rPr>
        <w:t xml:space="preserve"> </w:t>
      </w:r>
      <w:r>
        <w:rPr>
          <w:rFonts w:hAnsi="Cambria Math" w:cs="Cambria Math"/>
          <w:b/>
          <w:bCs/>
        </w:rPr>
        <w:t>comparison</w:t>
      </w:r>
      <w:r>
        <w:rPr>
          <w:rFonts w:hAnsi="Cambria Math" w:cs="Cambria Math" w:hint="eastAsia"/>
          <w:b/>
          <w:bCs/>
        </w:rPr>
        <w:t xml:space="preserve"> between MUXs with </w:t>
      </w:r>
      <w:r>
        <w:rPr>
          <w:rFonts w:hAnsi="Cambria Math" w:cs="Cambria Math"/>
          <w:b/>
          <w:bCs/>
        </w:rPr>
        <w:t>different</w:t>
      </w:r>
      <w:r>
        <w:rPr>
          <w:rFonts w:hAnsi="Cambria Math" w:cs="Cambria Math" w:hint="eastAsia"/>
          <w:b/>
          <w:bCs/>
        </w:rPr>
        <w:t xml:space="preserve"> feature sizes</w:t>
      </w:r>
      <w:bookmarkEnd w:id="1"/>
    </w:p>
    <w:tbl>
      <w:tblPr>
        <w:tblStyle w:val="a8"/>
        <w:tblW w:w="8259" w:type="dxa"/>
        <w:jc w:val="center"/>
        <w:tblLook w:val="04A0" w:firstRow="1" w:lastRow="0" w:firstColumn="1" w:lastColumn="0" w:noHBand="0" w:noVBand="1"/>
      </w:tblPr>
      <w:tblGrid>
        <w:gridCol w:w="2211"/>
        <w:gridCol w:w="1423"/>
        <w:gridCol w:w="1423"/>
        <w:gridCol w:w="1423"/>
        <w:gridCol w:w="1779"/>
      </w:tblGrid>
      <w:tr w:rsidR="00BC0790" w14:paraId="38AA563F" w14:textId="77777777">
        <w:trPr>
          <w:trHeight w:val="485"/>
          <w:jc w:val="center"/>
        </w:trPr>
        <w:tc>
          <w:tcPr>
            <w:tcW w:w="0" w:type="auto"/>
            <w:tcBorders>
              <w:left w:val="nil"/>
              <w:right w:val="nil"/>
            </w:tcBorders>
            <w:vAlign w:val="center"/>
          </w:tcPr>
          <w:p w14:paraId="3D43A191"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Device</w:t>
            </w:r>
          </w:p>
        </w:tc>
        <w:tc>
          <w:tcPr>
            <w:tcW w:w="0" w:type="auto"/>
            <w:tcBorders>
              <w:left w:val="nil"/>
              <w:right w:val="nil"/>
            </w:tcBorders>
            <w:vAlign w:val="center"/>
          </w:tcPr>
          <w:p w14:paraId="669A175B"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IL-TE</w:t>
            </w:r>
            <w:r>
              <w:rPr>
                <w:rFonts w:eastAsia="宋体" w:cs="Times New Roman" w:hint="eastAsia"/>
                <w:b/>
                <w:color w:val="222222"/>
                <w:kern w:val="0"/>
                <w:vertAlign w:val="subscript"/>
              </w:rPr>
              <w:t>0</w:t>
            </w:r>
          </w:p>
        </w:tc>
        <w:tc>
          <w:tcPr>
            <w:tcW w:w="0" w:type="auto"/>
            <w:tcBorders>
              <w:left w:val="nil"/>
              <w:right w:val="nil"/>
            </w:tcBorders>
            <w:vAlign w:val="center"/>
          </w:tcPr>
          <w:p w14:paraId="407EFC8A"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IL-TE</w:t>
            </w:r>
            <w:r>
              <w:rPr>
                <w:rFonts w:eastAsia="宋体" w:cs="Times New Roman" w:hint="eastAsia"/>
                <w:b/>
                <w:color w:val="222222"/>
                <w:kern w:val="0"/>
                <w:vertAlign w:val="subscript"/>
              </w:rPr>
              <w:t>1</w:t>
            </w:r>
          </w:p>
        </w:tc>
        <w:tc>
          <w:tcPr>
            <w:tcW w:w="0" w:type="auto"/>
            <w:tcBorders>
              <w:left w:val="nil"/>
              <w:bottom w:val="single" w:sz="4" w:space="0" w:color="auto"/>
              <w:right w:val="nil"/>
            </w:tcBorders>
            <w:vAlign w:val="center"/>
          </w:tcPr>
          <w:p w14:paraId="62AB04FC"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IL-TE</w:t>
            </w:r>
            <w:r>
              <w:rPr>
                <w:rFonts w:eastAsia="宋体" w:cs="Times New Roman" w:hint="eastAsia"/>
                <w:b/>
                <w:color w:val="222222"/>
                <w:kern w:val="0"/>
                <w:vertAlign w:val="subscript"/>
              </w:rPr>
              <w:t>2</w:t>
            </w:r>
          </w:p>
        </w:tc>
        <w:tc>
          <w:tcPr>
            <w:tcW w:w="0" w:type="auto"/>
            <w:tcBorders>
              <w:left w:val="nil"/>
              <w:right w:val="nil"/>
            </w:tcBorders>
            <w:vAlign w:val="center"/>
          </w:tcPr>
          <w:p w14:paraId="55EB22FE"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CT</w:t>
            </w:r>
          </w:p>
        </w:tc>
      </w:tr>
      <w:tr w:rsidR="00BC0790" w14:paraId="67C634BB" w14:textId="77777777">
        <w:trPr>
          <w:trHeight w:val="666"/>
          <w:jc w:val="center"/>
        </w:trPr>
        <w:tc>
          <w:tcPr>
            <w:tcW w:w="0" w:type="auto"/>
            <w:tcBorders>
              <w:left w:val="nil"/>
              <w:right w:val="nil"/>
            </w:tcBorders>
            <w:vAlign w:val="center"/>
          </w:tcPr>
          <w:p w14:paraId="79BB7EE8"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200 nm MUX</w:t>
            </w:r>
          </w:p>
        </w:tc>
        <w:tc>
          <w:tcPr>
            <w:tcW w:w="0" w:type="auto"/>
            <w:tcBorders>
              <w:left w:val="nil"/>
              <w:right w:val="nil"/>
            </w:tcBorders>
            <w:vAlign w:val="center"/>
          </w:tcPr>
          <w:p w14:paraId="29008A30"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3.13 dB</w:t>
            </w:r>
          </w:p>
        </w:tc>
        <w:tc>
          <w:tcPr>
            <w:tcW w:w="0" w:type="auto"/>
            <w:tcBorders>
              <w:left w:val="nil"/>
              <w:right w:val="nil"/>
            </w:tcBorders>
            <w:vAlign w:val="center"/>
          </w:tcPr>
          <w:p w14:paraId="14C20950"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2.62 dB</w:t>
            </w:r>
          </w:p>
        </w:tc>
        <w:tc>
          <w:tcPr>
            <w:tcW w:w="0" w:type="auto"/>
            <w:tcBorders>
              <w:left w:val="nil"/>
              <w:right w:val="nil"/>
            </w:tcBorders>
            <w:vAlign w:val="center"/>
          </w:tcPr>
          <w:p w14:paraId="72EC0C8A"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3.78 dB</w:t>
            </w:r>
          </w:p>
        </w:tc>
        <w:tc>
          <w:tcPr>
            <w:tcW w:w="0" w:type="auto"/>
            <w:tcBorders>
              <w:left w:val="nil"/>
              <w:right w:val="nil"/>
            </w:tcBorders>
            <w:vAlign w:val="center"/>
          </w:tcPr>
          <w:p w14:paraId="64A9F91A"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&lt; -10.7 dB</w:t>
            </w:r>
          </w:p>
        </w:tc>
      </w:tr>
      <w:tr w:rsidR="00BC0790" w14:paraId="1F330BEF" w14:textId="77777777">
        <w:trPr>
          <w:trHeight w:val="785"/>
          <w:jc w:val="center"/>
        </w:trPr>
        <w:tc>
          <w:tcPr>
            <w:tcW w:w="0" w:type="auto"/>
            <w:tcBorders>
              <w:left w:val="nil"/>
              <w:right w:val="nil"/>
            </w:tcBorders>
            <w:vAlign w:val="center"/>
          </w:tcPr>
          <w:p w14:paraId="39E1E56B" w14:textId="77777777" w:rsidR="00BC0790" w:rsidRDefault="00000000">
            <w:pPr>
              <w:widowControl/>
              <w:ind w:right="119"/>
              <w:jc w:val="center"/>
              <w:rPr>
                <w:rFonts w:eastAsia="宋体" w:cs="Times New Roman"/>
                <w:b/>
                <w:color w:val="222222"/>
                <w:kern w:val="0"/>
              </w:rPr>
            </w:pPr>
            <w:r>
              <w:rPr>
                <w:rFonts w:eastAsia="宋体" w:cs="Times New Roman" w:hint="eastAsia"/>
                <w:b/>
                <w:color w:val="222222"/>
                <w:kern w:val="0"/>
              </w:rPr>
              <w:t>100 nm MUX</w:t>
            </w:r>
          </w:p>
          <w:p w14:paraId="2A2AFA89" w14:textId="77777777" w:rsidR="00BC0790" w:rsidRDefault="00000000">
            <w:pPr>
              <w:widowControl/>
              <w:ind w:right="119"/>
              <w:jc w:val="center"/>
              <w:rPr>
                <w:rFonts w:eastAsia="宋体" w:cs="Times New Roman"/>
                <w:b/>
                <w:color w:val="222222"/>
                <w:kern w:val="0"/>
              </w:rPr>
            </w:pPr>
            <w:r>
              <w:rPr>
                <w:rFonts w:eastAsia="宋体" w:cs="Times New Roman" w:hint="eastAsia"/>
                <w:b/>
                <w:color w:val="222222"/>
                <w:kern w:val="0"/>
              </w:rPr>
              <w:t>(This work)</w:t>
            </w:r>
          </w:p>
        </w:tc>
        <w:tc>
          <w:tcPr>
            <w:tcW w:w="0" w:type="auto"/>
            <w:tcBorders>
              <w:left w:val="nil"/>
              <w:right w:val="nil"/>
            </w:tcBorders>
            <w:vAlign w:val="center"/>
          </w:tcPr>
          <w:p w14:paraId="4DDA2A3E"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1.05 dB</w:t>
            </w:r>
          </w:p>
        </w:tc>
        <w:tc>
          <w:tcPr>
            <w:tcW w:w="0" w:type="auto"/>
            <w:tcBorders>
              <w:left w:val="nil"/>
              <w:right w:val="nil"/>
            </w:tcBorders>
            <w:vAlign w:val="center"/>
          </w:tcPr>
          <w:p w14:paraId="45936982"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1.42 dB</w:t>
            </w:r>
          </w:p>
        </w:tc>
        <w:tc>
          <w:tcPr>
            <w:tcW w:w="0" w:type="auto"/>
            <w:tcBorders>
              <w:left w:val="nil"/>
              <w:right w:val="nil"/>
            </w:tcBorders>
            <w:vAlign w:val="center"/>
          </w:tcPr>
          <w:p w14:paraId="43438A07"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2.50 dB</w:t>
            </w:r>
          </w:p>
        </w:tc>
        <w:tc>
          <w:tcPr>
            <w:tcW w:w="0" w:type="auto"/>
            <w:tcBorders>
              <w:left w:val="nil"/>
              <w:right w:val="nil"/>
            </w:tcBorders>
            <w:vAlign w:val="center"/>
          </w:tcPr>
          <w:p w14:paraId="1112F44E"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&lt; -15.9 dB</w:t>
            </w:r>
          </w:p>
        </w:tc>
      </w:tr>
    </w:tbl>
    <w:p w14:paraId="045DA120" w14:textId="77777777" w:rsidR="00BC0790" w:rsidRDefault="00000000">
      <w:pPr>
        <w:spacing w:before="100" w:beforeAutospacing="1" w:line="360" w:lineRule="auto"/>
        <w:rPr>
          <w:rFonts w:hAnsi="Cambria Math" w:cs="Cambria Math"/>
          <w:b/>
          <w:bCs/>
          <w:i/>
          <w:iCs/>
        </w:rPr>
      </w:pPr>
      <w:r>
        <w:rPr>
          <w:rFonts w:hAnsi="Cambria Math" w:cs="Cambria Math" w:hint="eastAsia"/>
          <w:b/>
          <w:bCs/>
          <w:i/>
          <w:iCs/>
        </w:rPr>
        <w:t>S2. Design and measured results of traditional DC-based MUXs</w:t>
      </w:r>
    </w:p>
    <w:p w14:paraId="16FAFF2D" w14:textId="77777777" w:rsidR="00BC0790" w:rsidRDefault="00000000">
      <w:pPr>
        <w:spacing w:line="360" w:lineRule="auto"/>
      </w:pPr>
      <w:r>
        <w:rPr>
          <w:rFonts w:hint="eastAsia"/>
        </w:rPr>
        <w:t xml:space="preserve">We characterize the waveguide crossing and bend by using the traditional DC-based MUXs. A 2D view of the DC-based MUXs is shown in </w:t>
      </w:r>
      <w:r w:rsidRPr="000958BB">
        <w:rPr>
          <w:rFonts w:hint="eastAsia"/>
          <w:b/>
          <w:bCs/>
        </w:rPr>
        <w:t>Fig. S3a</w:t>
      </w:r>
      <w:r>
        <w:rPr>
          <w:rFonts w:hint="eastAsia"/>
        </w:rPr>
        <w:t xml:space="preserve">, while the microscope image of the fabricated device is shown in </w:t>
      </w:r>
      <w:r w:rsidRPr="000958BB">
        <w:rPr>
          <w:rFonts w:hint="eastAsia"/>
          <w:b/>
          <w:bCs/>
        </w:rPr>
        <w:t>Fig. S3b</w:t>
      </w:r>
      <w:r>
        <w:rPr>
          <w:rFonts w:hint="eastAsia"/>
        </w:rPr>
        <w:t xml:space="preserve">. </w:t>
      </w:r>
    </w:p>
    <w:p w14:paraId="361C1DD1" w14:textId="1C9A90B5" w:rsidR="00BC0790" w:rsidRDefault="00000000">
      <w:pPr>
        <w:spacing w:line="360" w:lineRule="auto"/>
        <w:ind w:firstLineChars="200" w:firstLine="480"/>
      </w:pPr>
      <w:r>
        <w:rPr>
          <w:rFonts w:hint="eastAsia"/>
        </w:rPr>
        <w:t xml:space="preserve">For Y-propagating waveguides, the widths of input and output single-mode waveguides are designed as </w:t>
      </w:r>
      <w:r>
        <w:rPr>
          <w:rFonts w:hint="eastAsia"/>
          <w:i/>
          <w:iCs/>
        </w:rPr>
        <w:t>w</w:t>
      </w:r>
      <w:r>
        <w:rPr>
          <w:rFonts w:hint="eastAsia"/>
          <w:vertAlign w:val="subscript"/>
        </w:rPr>
        <w:t>0</w:t>
      </w:r>
      <w:r>
        <w:rPr>
          <w:rFonts w:hint="eastAsia"/>
        </w:rPr>
        <w:t xml:space="preserve">=1.2 </w:t>
      </w:r>
      <w:r>
        <w:rPr>
          <w:rFonts w:cs="Times New Roman"/>
        </w:rPr>
        <w:t>μm</w:t>
      </w:r>
      <w:r>
        <w:rPr>
          <w:rFonts w:hint="eastAsia"/>
        </w:rPr>
        <w:t>. To satisfy the phase matching condition, the waveguide widths for coupling TE</w:t>
      </w:r>
      <w:r>
        <w:rPr>
          <w:rFonts w:hint="eastAsia"/>
          <w:vertAlign w:val="subscript"/>
        </w:rPr>
        <w:t>1</w:t>
      </w:r>
      <w:r>
        <w:rPr>
          <w:rFonts w:hint="eastAsia"/>
        </w:rPr>
        <w:t xml:space="preserve"> and TE</w:t>
      </w:r>
      <w:r>
        <w:rPr>
          <w:rFonts w:hint="eastAsia"/>
          <w:vertAlign w:val="subscript"/>
        </w:rPr>
        <w:t>2</w:t>
      </w:r>
      <w:r>
        <w:rPr>
          <w:rFonts w:hint="eastAsia"/>
        </w:rPr>
        <w:t xml:space="preserve"> modes are designed as </w:t>
      </w:r>
      <w:r>
        <w:rPr>
          <w:rFonts w:hint="eastAsia"/>
          <w:i/>
          <w:iCs/>
        </w:rPr>
        <w:t>w</w:t>
      </w:r>
      <w:r>
        <w:rPr>
          <w:rFonts w:hint="eastAsia"/>
          <w:vertAlign w:val="subscript"/>
        </w:rPr>
        <w:t>1</w:t>
      </w:r>
      <w:r>
        <w:rPr>
          <w:rFonts w:hint="eastAsia"/>
        </w:rPr>
        <w:t xml:space="preserve">=2.84 </w:t>
      </w:r>
      <w:r>
        <w:rPr>
          <w:rFonts w:cs="Times New Roman"/>
        </w:rPr>
        <w:t>μm</w:t>
      </w:r>
      <w:r>
        <w:rPr>
          <w:rFonts w:cs="Times New Roman" w:hint="eastAsia"/>
        </w:rPr>
        <w:t xml:space="preserve"> and </w:t>
      </w:r>
      <w:r>
        <w:rPr>
          <w:rFonts w:hint="eastAsia"/>
          <w:i/>
          <w:iCs/>
        </w:rPr>
        <w:t>w</w:t>
      </w:r>
      <w:r>
        <w:rPr>
          <w:rFonts w:hint="eastAsia"/>
          <w:vertAlign w:val="subscript"/>
        </w:rPr>
        <w:t>2</w:t>
      </w:r>
      <w:r>
        <w:rPr>
          <w:rFonts w:hint="eastAsia"/>
        </w:rPr>
        <w:t xml:space="preserve">=4.48 </w:t>
      </w:r>
      <w:r>
        <w:rPr>
          <w:rFonts w:cs="Times New Roman"/>
        </w:rPr>
        <w:t>μm</w:t>
      </w:r>
      <w:r>
        <w:rPr>
          <w:rFonts w:cs="Times New Roman" w:hint="eastAsia"/>
        </w:rPr>
        <w:t xml:space="preserve">. The </w:t>
      </w:r>
      <w:r>
        <w:rPr>
          <w:rFonts w:cs="Times New Roman"/>
        </w:rPr>
        <w:t>corresponding</w:t>
      </w:r>
      <w:r>
        <w:rPr>
          <w:rFonts w:cs="Times New Roman" w:hint="eastAsia"/>
        </w:rPr>
        <w:t xml:space="preserve"> coupling lengths are </w:t>
      </w:r>
      <w:r>
        <w:rPr>
          <w:rFonts w:cs="Times New Roman" w:hint="eastAsia"/>
          <w:i/>
          <w:iCs/>
        </w:rPr>
        <w:t>L</w:t>
      </w:r>
      <w:r>
        <w:rPr>
          <w:rFonts w:cs="Times New Roman" w:hint="eastAsia"/>
          <w:vertAlign w:val="subscript"/>
        </w:rPr>
        <w:t>1</w:t>
      </w:r>
      <w:r>
        <w:rPr>
          <w:rFonts w:cs="Times New Roman" w:hint="eastAsia"/>
        </w:rPr>
        <w:t xml:space="preserve">= 28 </w:t>
      </w:r>
      <w:r>
        <w:rPr>
          <w:rFonts w:cs="Times New Roman"/>
        </w:rPr>
        <w:t>μm</w:t>
      </w:r>
      <w:r>
        <w:rPr>
          <w:rFonts w:cs="Times New Roman" w:hint="eastAsia"/>
        </w:rPr>
        <w:t xml:space="preserve"> and</w:t>
      </w:r>
      <w:r>
        <w:rPr>
          <w:rFonts w:hint="eastAsia"/>
        </w:rPr>
        <w:t xml:space="preserve"> </w:t>
      </w:r>
      <w:r>
        <w:rPr>
          <w:rFonts w:cs="Times New Roman" w:hint="eastAsia"/>
          <w:i/>
          <w:iCs/>
        </w:rPr>
        <w:t>L</w:t>
      </w:r>
      <w:r>
        <w:rPr>
          <w:rFonts w:cs="Times New Roman" w:hint="eastAsia"/>
          <w:vertAlign w:val="subscript"/>
        </w:rPr>
        <w:t>2</w:t>
      </w:r>
      <w:r>
        <w:rPr>
          <w:rFonts w:cs="Times New Roman" w:hint="eastAsia"/>
        </w:rPr>
        <w:t xml:space="preserve">= 38 </w:t>
      </w:r>
      <w:r>
        <w:rPr>
          <w:rFonts w:cs="Times New Roman"/>
        </w:rPr>
        <w:lastRenderedPageBreak/>
        <w:t>μm</w:t>
      </w:r>
      <w:r>
        <w:rPr>
          <w:rFonts w:cs="Times New Roman" w:hint="eastAsia"/>
        </w:rPr>
        <w:t xml:space="preserve">, while the coupling gaps are </w:t>
      </w:r>
      <w:r>
        <w:rPr>
          <w:rFonts w:cs="Times New Roman" w:hint="eastAsia"/>
          <w:i/>
          <w:iCs/>
        </w:rPr>
        <w:t>g</w:t>
      </w:r>
      <w:r>
        <w:rPr>
          <w:rFonts w:cs="Times New Roman" w:hint="eastAsia"/>
        </w:rPr>
        <w:t>=200 nm.</w:t>
      </w:r>
      <w:r>
        <w:rPr>
          <w:rFonts w:hint="eastAsia"/>
          <w:color w:val="EE0000"/>
        </w:rPr>
        <w:t xml:space="preserve"> </w:t>
      </w:r>
      <w:r w:rsidR="000958BB">
        <w:rPr>
          <w:rFonts w:hint="eastAsia"/>
        </w:rPr>
        <w:t xml:space="preserve">The measured transmission spectra are shown in </w:t>
      </w:r>
      <w:r w:rsidR="000958BB" w:rsidRPr="000958BB">
        <w:rPr>
          <w:rFonts w:hint="eastAsia"/>
          <w:b/>
          <w:bCs/>
        </w:rPr>
        <w:t>Fig. S4a-c</w:t>
      </w:r>
      <w:r w:rsidR="000958BB">
        <w:rPr>
          <w:rFonts w:hint="eastAsia"/>
        </w:rPr>
        <w:t>.</w:t>
      </w:r>
      <w:r w:rsidR="000958BB">
        <w:rPr>
          <w:rFonts w:hint="eastAsia"/>
        </w:rPr>
        <w:t xml:space="preserve"> </w:t>
      </w:r>
      <w:r>
        <w:rPr>
          <w:rFonts w:hint="eastAsia"/>
          <w:color w:val="000000" w:themeColor="text1"/>
        </w:rPr>
        <w:t>The measured insertion losses of the TE</w:t>
      </w:r>
      <w:r>
        <w:rPr>
          <w:rFonts w:hint="eastAsia"/>
          <w:color w:val="000000" w:themeColor="text1"/>
          <w:vertAlign w:val="subscript"/>
        </w:rPr>
        <w:t>0</w:t>
      </w:r>
      <w:r>
        <w:rPr>
          <w:rFonts w:hint="eastAsia"/>
          <w:color w:val="000000" w:themeColor="text1"/>
        </w:rPr>
        <w:t>, TE</w:t>
      </w:r>
      <w:r>
        <w:rPr>
          <w:rFonts w:hint="eastAsia"/>
          <w:color w:val="000000" w:themeColor="text1"/>
          <w:vertAlign w:val="subscript"/>
        </w:rPr>
        <w:t>1</w:t>
      </w:r>
      <w:r>
        <w:rPr>
          <w:rFonts w:hint="eastAsia"/>
          <w:color w:val="000000" w:themeColor="text1"/>
        </w:rPr>
        <w:t xml:space="preserve"> and TE</w:t>
      </w:r>
      <w:r>
        <w:rPr>
          <w:rFonts w:hint="eastAsia"/>
          <w:color w:val="000000" w:themeColor="text1"/>
          <w:vertAlign w:val="subscript"/>
        </w:rPr>
        <w:t>2</w:t>
      </w:r>
      <w:r>
        <w:rPr>
          <w:rFonts w:hint="eastAsia"/>
          <w:color w:val="000000" w:themeColor="text1"/>
        </w:rPr>
        <w:t xml:space="preserve"> modes are 0.30 dB, 1.21 dB and 0.88 dB</w:t>
      </w:r>
      <w:r>
        <w:rPr>
          <w:rFonts w:cs="Times New Roman" w:hint="eastAsia"/>
          <w:bCs/>
          <w:color w:val="000000" w:themeColor="text1"/>
        </w:rPr>
        <w:t xml:space="preserve"> at the wavelength of 1550 nm</w:t>
      </w:r>
      <w:r>
        <w:rPr>
          <w:rFonts w:hint="eastAsia"/>
          <w:color w:val="000000" w:themeColor="text1"/>
        </w:rPr>
        <w:t xml:space="preserve">, while the mode crosstalk stays below -17.8 dB </w:t>
      </w:r>
      <w:r>
        <w:rPr>
          <w:rFonts w:cs="Times New Roman" w:hint="eastAsia"/>
          <w:bCs/>
          <w:color w:val="000000" w:themeColor="text1"/>
        </w:rPr>
        <w:t>in the whole wavelength range</w:t>
      </w:r>
      <w:r>
        <w:rPr>
          <w:rFonts w:hint="eastAsia"/>
          <w:color w:val="000000" w:themeColor="text1"/>
        </w:rPr>
        <w:t>.</w:t>
      </w:r>
    </w:p>
    <w:p w14:paraId="6FB0A4CD" w14:textId="3A5EB09F" w:rsidR="00BC0790" w:rsidRDefault="00000000">
      <w:pPr>
        <w:spacing w:line="360" w:lineRule="auto"/>
        <w:ind w:firstLineChars="200" w:firstLine="480"/>
      </w:pPr>
      <w:r>
        <w:rPr>
          <w:rFonts w:hint="eastAsia"/>
        </w:rPr>
        <w:t xml:space="preserve">For Z-propagating waveguides, the widths of input and output single-mode waveguides are designed as </w:t>
      </w:r>
      <w:r>
        <w:rPr>
          <w:rFonts w:hint="eastAsia"/>
          <w:i/>
          <w:iCs/>
        </w:rPr>
        <w:t>w</w:t>
      </w:r>
      <w:r>
        <w:rPr>
          <w:rFonts w:hint="eastAsia"/>
          <w:vertAlign w:val="subscript"/>
        </w:rPr>
        <w:t>0</w:t>
      </w:r>
      <w:r>
        <w:rPr>
          <w:rFonts w:hint="eastAsia"/>
        </w:rPr>
        <w:t xml:space="preserve">=0.8 </w:t>
      </w:r>
      <w:r>
        <w:rPr>
          <w:rFonts w:cs="Times New Roman"/>
        </w:rPr>
        <w:t>μm</w:t>
      </w:r>
      <w:r>
        <w:rPr>
          <w:rFonts w:hint="eastAsia"/>
        </w:rPr>
        <w:t>. The waveguide widths for coupling TE</w:t>
      </w:r>
      <w:r>
        <w:rPr>
          <w:rFonts w:hint="eastAsia"/>
          <w:vertAlign w:val="subscript"/>
        </w:rPr>
        <w:t>1</w:t>
      </w:r>
      <w:r>
        <w:rPr>
          <w:rFonts w:hint="eastAsia"/>
        </w:rPr>
        <w:t xml:space="preserve"> and TE</w:t>
      </w:r>
      <w:r>
        <w:rPr>
          <w:rFonts w:hint="eastAsia"/>
          <w:vertAlign w:val="subscript"/>
        </w:rPr>
        <w:t>2</w:t>
      </w:r>
      <w:r>
        <w:rPr>
          <w:rFonts w:hint="eastAsia"/>
        </w:rPr>
        <w:t xml:space="preserve"> modes are designed as </w:t>
      </w:r>
      <w:r>
        <w:rPr>
          <w:rFonts w:hint="eastAsia"/>
          <w:i/>
          <w:iCs/>
        </w:rPr>
        <w:t>w</w:t>
      </w:r>
      <w:r>
        <w:rPr>
          <w:rFonts w:hint="eastAsia"/>
          <w:vertAlign w:val="subscript"/>
        </w:rPr>
        <w:t>1</w:t>
      </w:r>
      <w:r>
        <w:rPr>
          <w:rFonts w:hint="eastAsia"/>
        </w:rPr>
        <w:t xml:space="preserve">=2.16 </w:t>
      </w:r>
      <w:r>
        <w:rPr>
          <w:rFonts w:cs="Times New Roman"/>
        </w:rPr>
        <w:t>μm</w:t>
      </w:r>
      <w:r>
        <w:rPr>
          <w:rFonts w:cs="Times New Roman" w:hint="eastAsia"/>
        </w:rPr>
        <w:t xml:space="preserve"> and </w:t>
      </w:r>
      <w:r>
        <w:rPr>
          <w:rFonts w:hint="eastAsia"/>
          <w:i/>
          <w:iCs/>
        </w:rPr>
        <w:t>w</w:t>
      </w:r>
      <w:r>
        <w:rPr>
          <w:rFonts w:hint="eastAsia"/>
          <w:vertAlign w:val="subscript"/>
        </w:rPr>
        <w:t>2</w:t>
      </w:r>
      <w:r>
        <w:rPr>
          <w:rFonts w:hint="eastAsia"/>
        </w:rPr>
        <w:t xml:space="preserve">=3.54 </w:t>
      </w:r>
      <w:r>
        <w:rPr>
          <w:rFonts w:cs="Times New Roman"/>
        </w:rPr>
        <w:t>μm</w:t>
      </w:r>
      <w:r>
        <w:rPr>
          <w:rFonts w:cs="Times New Roman" w:hint="eastAsia"/>
        </w:rPr>
        <w:t xml:space="preserve">. The </w:t>
      </w:r>
      <w:r>
        <w:rPr>
          <w:rFonts w:cs="Times New Roman"/>
        </w:rPr>
        <w:t>corresponding</w:t>
      </w:r>
      <w:r>
        <w:rPr>
          <w:rFonts w:cs="Times New Roman" w:hint="eastAsia"/>
        </w:rPr>
        <w:t xml:space="preserve"> coupling lengths are </w:t>
      </w:r>
      <w:r>
        <w:rPr>
          <w:rFonts w:cs="Times New Roman" w:hint="eastAsia"/>
          <w:i/>
          <w:iCs/>
        </w:rPr>
        <w:t>L</w:t>
      </w:r>
      <w:r>
        <w:rPr>
          <w:rFonts w:cs="Times New Roman" w:hint="eastAsia"/>
          <w:vertAlign w:val="subscript"/>
        </w:rPr>
        <w:t>1</w:t>
      </w:r>
      <w:r>
        <w:rPr>
          <w:rFonts w:cs="Times New Roman" w:hint="eastAsia"/>
        </w:rPr>
        <w:t xml:space="preserve">= 4 </w:t>
      </w:r>
      <w:r>
        <w:rPr>
          <w:rFonts w:cs="Times New Roman"/>
        </w:rPr>
        <w:t>μm</w:t>
      </w:r>
      <w:r>
        <w:rPr>
          <w:rFonts w:cs="Times New Roman" w:hint="eastAsia"/>
        </w:rPr>
        <w:t xml:space="preserve"> and</w:t>
      </w:r>
      <w:r>
        <w:rPr>
          <w:rFonts w:hint="eastAsia"/>
        </w:rPr>
        <w:t xml:space="preserve"> </w:t>
      </w:r>
      <w:r>
        <w:rPr>
          <w:rFonts w:cs="Times New Roman" w:hint="eastAsia"/>
          <w:i/>
          <w:iCs/>
        </w:rPr>
        <w:t>L</w:t>
      </w:r>
      <w:r>
        <w:rPr>
          <w:rFonts w:cs="Times New Roman" w:hint="eastAsia"/>
          <w:vertAlign w:val="subscript"/>
        </w:rPr>
        <w:t>2</w:t>
      </w:r>
      <w:r>
        <w:rPr>
          <w:rFonts w:cs="Times New Roman" w:hint="eastAsia"/>
        </w:rPr>
        <w:t xml:space="preserve">= 12 </w:t>
      </w:r>
      <w:r>
        <w:rPr>
          <w:rFonts w:cs="Times New Roman"/>
        </w:rPr>
        <w:t>μm</w:t>
      </w:r>
      <w:r>
        <w:rPr>
          <w:rFonts w:cs="Times New Roman" w:hint="eastAsia"/>
        </w:rPr>
        <w:t xml:space="preserve">, while the coupling gaps are </w:t>
      </w:r>
      <w:r>
        <w:rPr>
          <w:rFonts w:cs="Times New Roman" w:hint="eastAsia"/>
          <w:i/>
          <w:iCs/>
        </w:rPr>
        <w:t>g</w:t>
      </w:r>
      <w:r>
        <w:rPr>
          <w:rFonts w:cs="Times New Roman" w:hint="eastAsia"/>
        </w:rPr>
        <w:t xml:space="preserve">=200 nm. </w:t>
      </w:r>
      <w:r>
        <w:rPr>
          <w:rFonts w:hint="eastAsia"/>
        </w:rPr>
        <w:t xml:space="preserve">The measured transmission spectra are shown in </w:t>
      </w:r>
      <w:r w:rsidRPr="000958BB">
        <w:rPr>
          <w:rFonts w:hint="eastAsia"/>
          <w:b/>
          <w:bCs/>
        </w:rPr>
        <w:t>Fig. S4</w:t>
      </w:r>
      <w:r w:rsidR="000958BB">
        <w:rPr>
          <w:rFonts w:hint="eastAsia"/>
          <w:b/>
          <w:bCs/>
        </w:rPr>
        <w:t>d</w:t>
      </w:r>
      <w:r w:rsidRPr="000958BB">
        <w:rPr>
          <w:rFonts w:hint="eastAsia"/>
          <w:b/>
          <w:bCs/>
        </w:rPr>
        <w:t>-</w:t>
      </w:r>
      <w:r w:rsidR="000958BB">
        <w:rPr>
          <w:rFonts w:hint="eastAsia"/>
          <w:b/>
          <w:bCs/>
        </w:rPr>
        <w:t>f</w:t>
      </w:r>
      <w:r>
        <w:rPr>
          <w:rFonts w:hint="eastAsia"/>
        </w:rPr>
        <w:t>. The measured insertion losses of the TE</w:t>
      </w:r>
      <w:r>
        <w:rPr>
          <w:rFonts w:hint="eastAsia"/>
          <w:vertAlign w:val="subscript"/>
        </w:rPr>
        <w:t>0</w:t>
      </w:r>
      <w:r>
        <w:rPr>
          <w:rFonts w:hint="eastAsia"/>
        </w:rPr>
        <w:t>, TE</w:t>
      </w:r>
      <w:r>
        <w:rPr>
          <w:rFonts w:hint="eastAsia"/>
          <w:vertAlign w:val="subscript"/>
        </w:rPr>
        <w:t>1</w:t>
      </w:r>
      <w:r>
        <w:rPr>
          <w:rFonts w:hint="eastAsia"/>
        </w:rPr>
        <w:t xml:space="preserve"> and TE</w:t>
      </w:r>
      <w:r>
        <w:rPr>
          <w:rFonts w:hint="eastAsia"/>
          <w:vertAlign w:val="subscript"/>
        </w:rPr>
        <w:t>2</w:t>
      </w:r>
      <w:r>
        <w:rPr>
          <w:rFonts w:hint="eastAsia"/>
        </w:rPr>
        <w:t xml:space="preserve"> modes are 0.82 dB, 1.47 dB and 1.78 dB</w:t>
      </w:r>
      <w:r>
        <w:rPr>
          <w:rFonts w:cs="Times New Roman" w:hint="eastAsia"/>
          <w:bCs/>
        </w:rPr>
        <w:t xml:space="preserve"> at the wavelength of 1550 nm</w:t>
      </w:r>
      <w:r>
        <w:rPr>
          <w:rFonts w:hint="eastAsia"/>
        </w:rPr>
        <w:t xml:space="preserve">, while the mode crosstalk stays below -17.2 dB </w:t>
      </w:r>
      <w:r>
        <w:rPr>
          <w:rFonts w:cs="Times New Roman" w:hint="eastAsia"/>
          <w:bCs/>
        </w:rPr>
        <w:t>in the whole wavelength range</w:t>
      </w:r>
      <w:r>
        <w:rPr>
          <w:rFonts w:hint="eastAsia"/>
        </w:rPr>
        <w:t>.</w:t>
      </w:r>
    </w:p>
    <w:p w14:paraId="66AF506B" w14:textId="77777777" w:rsidR="00BC0790" w:rsidRDefault="00000000">
      <w:pPr>
        <w:spacing w:before="100" w:beforeAutospacing="1" w:line="360" w:lineRule="auto"/>
        <w:jc w:val="center"/>
        <w:rPr>
          <w:rFonts w:hAnsi="Cambria Math" w:cs="Cambria Math"/>
          <w:b/>
          <w:bCs/>
          <w:i/>
          <w:iCs/>
        </w:rPr>
      </w:pPr>
      <w:r>
        <w:rPr>
          <w:rFonts w:hAnsi="Cambria Math" w:cs="Cambria Math"/>
          <w:b/>
          <w:bCs/>
          <w:i/>
          <w:iCs/>
          <w:noProof/>
        </w:rPr>
        <w:drawing>
          <wp:inline distT="0" distB="0" distL="0" distR="0" wp14:anchorId="281309A8" wp14:editId="2B2D656A">
            <wp:extent cx="5544000" cy="2228793"/>
            <wp:effectExtent l="0" t="0" r="0" b="635"/>
            <wp:docPr id="76765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5742" name="图片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92"/>
                    <a:stretch>
                      <a:fillRect/>
                    </a:stretch>
                  </pic:blipFill>
                  <pic:spPr bwMode="auto">
                    <a:xfrm>
                      <a:off x="0" y="0"/>
                      <a:ext cx="5544000" cy="2228793"/>
                    </a:xfrm>
                    <a:prstGeom prst="rect">
                      <a:avLst/>
                    </a:prstGeom>
                    <a:noFill/>
                    <a:ln>
                      <a:noFill/>
                    </a:ln>
                    <a:extLst>
                      <a:ext uri="{53640926-AAD7-44D8-BBD7-CCE9431645EC}">
                        <a14:shadowObscured xmlns:a14="http://schemas.microsoft.com/office/drawing/2010/main"/>
                      </a:ext>
                    </a:extLst>
                  </pic:spPr>
                </pic:pic>
              </a:graphicData>
            </a:graphic>
          </wp:inline>
        </w:drawing>
      </w:r>
    </w:p>
    <w:p w14:paraId="6EAD1420" w14:textId="77777777" w:rsidR="00BC0790" w:rsidRDefault="00000000">
      <w:pPr>
        <w:spacing w:after="100" w:afterAutospacing="1" w:line="360" w:lineRule="auto"/>
        <w:rPr>
          <w:rFonts w:hAnsi="Cambria Math" w:cs="Cambria Math"/>
        </w:rPr>
      </w:pPr>
      <w:r>
        <w:rPr>
          <w:rFonts w:cs="Times New Roman" w:hint="eastAsia"/>
          <w:b/>
          <w:color w:val="222222"/>
          <w:sz w:val="21"/>
          <w:szCs w:val="21"/>
        </w:rPr>
        <w:t>Fig. S3</w:t>
      </w:r>
      <w:r>
        <w:rPr>
          <w:rFonts w:cs="Times New Roman" w:hint="eastAsia"/>
          <w:bCs/>
          <w:color w:val="222222"/>
          <w:sz w:val="21"/>
          <w:szCs w:val="21"/>
        </w:rPr>
        <w:t xml:space="preserve"> </w:t>
      </w:r>
      <w:r>
        <w:rPr>
          <w:rFonts w:cs="Times New Roman" w:hint="eastAsia"/>
          <w:b/>
          <w:color w:val="222222"/>
          <w:sz w:val="21"/>
          <w:szCs w:val="21"/>
        </w:rPr>
        <w:t>Design of</w:t>
      </w:r>
      <w:r>
        <w:rPr>
          <w:rFonts w:hAnsi="Cambria Math" w:cs="Cambria Math" w:hint="eastAsia"/>
          <w:b/>
          <w:bCs/>
          <w:i/>
          <w:iCs/>
        </w:rPr>
        <w:t xml:space="preserve"> </w:t>
      </w:r>
      <w:r>
        <w:rPr>
          <w:rFonts w:cs="Times New Roman" w:hint="eastAsia"/>
          <w:b/>
          <w:bCs/>
          <w:color w:val="222222"/>
          <w:sz w:val="21"/>
          <w:szCs w:val="21"/>
        </w:rPr>
        <w:t>traditional DC-based MUX</w:t>
      </w:r>
      <w:r>
        <w:rPr>
          <w:rFonts w:cs="Times New Roman" w:hint="eastAsia"/>
          <w:b/>
          <w:color w:val="222222"/>
          <w:sz w:val="21"/>
          <w:szCs w:val="21"/>
        </w:rPr>
        <w:t xml:space="preserve">. a </w:t>
      </w:r>
      <w:r>
        <w:rPr>
          <w:rFonts w:cs="Times New Roman" w:hint="eastAsia"/>
          <w:bCs/>
          <w:color w:val="222222"/>
          <w:sz w:val="21"/>
          <w:szCs w:val="21"/>
        </w:rPr>
        <w:t>Schematic diagram of DC-based MUX.</w:t>
      </w:r>
      <w:r>
        <w:rPr>
          <w:rFonts w:cs="Times New Roman" w:hint="eastAsia"/>
          <w:b/>
          <w:color w:val="222222"/>
          <w:sz w:val="21"/>
          <w:szCs w:val="21"/>
        </w:rPr>
        <w:t xml:space="preserve"> b </w:t>
      </w:r>
      <w:r>
        <w:rPr>
          <w:rFonts w:cs="Times New Roman" w:hint="eastAsia"/>
          <w:bCs/>
          <w:color w:val="222222"/>
          <w:sz w:val="21"/>
          <w:szCs w:val="21"/>
        </w:rPr>
        <w:t>Microscope image of the fabricated DC-based MUX.</w:t>
      </w:r>
    </w:p>
    <w:p w14:paraId="00EA081D" w14:textId="77777777" w:rsidR="00BC0790" w:rsidRDefault="00000000">
      <w:pPr>
        <w:spacing w:line="360" w:lineRule="auto"/>
        <w:jc w:val="center"/>
      </w:pPr>
      <w:r>
        <w:rPr>
          <w:rFonts w:hint="eastAsia"/>
          <w:noProof/>
        </w:rPr>
        <w:drawing>
          <wp:inline distT="0" distB="0" distL="114300" distR="114300" wp14:anchorId="538E7454" wp14:editId="1D1DBDEF">
            <wp:extent cx="5904000" cy="2950407"/>
            <wp:effectExtent l="0" t="0" r="1905" b="2540"/>
            <wp:docPr id="4" name="图片 4" descr="dc_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c_performance"/>
                    <pic:cNvPicPr>
                      <a:picLocks noChangeAspect="1"/>
                    </pic:cNvPicPr>
                  </pic:nvPicPr>
                  <pic:blipFill>
                    <a:blip r:embed="rId13"/>
                    <a:srcRect t="3575" r="3170"/>
                    <a:stretch>
                      <a:fillRect/>
                    </a:stretch>
                  </pic:blipFill>
                  <pic:spPr>
                    <a:xfrm>
                      <a:off x="0" y="0"/>
                      <a:ext cx="5904000" cy="2950407"/>
                    </a:xfrm>
                    <a:prstGeom prst="rect">
                      <a:avLst/>
                    </a:prstGeom>
                  </pic:spPr>
                </pic:pic>
              </a:graphicData>
            </a:graphic>
          </wp:inline>
        </w:drawing>
      </w:r>
    </w:p>
    <w:p w14:paraId="2D45F702" w14:textId="3778B38F" w:rsidR="00BC0790" w:rsidRDefault="00000000">
      <w:pPr>
        <w:spacing w:after="100" w:afterAutospacing="1" w:line="360" w:lineRule="auto"/>
      </w:pPr>
      <w:r>
        <w:rPr>
          <w:rFonts w:cs="Times New Roman" w:hint="eastAsia"/>
          <w:b/>
          <w:color w:val="222222"/>
          <w:sz w:val="21"/>
          <w:szCs w:val="21"/>
        </w:rPr>
        <w:t>Fig. S4</w:t>
      </w:r>
      <w:r>
        <w:rPr>
          <w:rFonts w:cs="Times New Roman" w:hint="eastAsia"/>
          <w:bCs/>
          <w:color w:val="222222"/>
          <w:sz w:val="21"/>
          <w:szCs w:val="21"/>
        </w:rPr>
        <w:t xml:space="preserve"> </w:t>
      </w:r>
      <w:r w:rsidR="00D738D5">
        <w:rPr>
          <w:rFonts w:cs="Times New Roman" w:hint="eastAsia"/>
          <w:b/>
          <w:color w:val="222222"/>
          <w:sz w:val="21"/>
          <w:szCs w:val="21"/>
        </w:rPr>
        <w:t>Measured transmission spectra</w:t>
      </w:r>
      <w:r>
        <w:rPr>
          <w:rFonts w:cs="Times New Roman" w:hint="eastAsia"/>
          <w:b/>
          <w:color w:val="222222"/>
          <w:sz w:val="21"/>
          <w:szCs w:val="21"/>
        </w:rPr>
        <w:t xml:space="preserve"> of DC-based MUX (from left to right: TE</w:t>
      </w:r>
      <w:r>
        <w:rPr>
          <w:rFonts w:cs="Times New Roman" w:hint="eastAsia"/>
          <w:b/>
          <w:color w:val="222222"/>
          <w:sz w:val="21"/>
          <w:szCs w:val="21"/>
          <w:vertAlign w:val="subscript"/>
        </w:rPr>
        <w:t>0</w:t>
      </w:r>
      <w:r>
        <w:rPr>
          <w:rFonts w:cs="Times New Roman" w:hint="eastAsia"/>
          <w:b/>
          <w:color w:val="222222"/>
          <w:sz w:val="21"/>
          <w:szCs w:val="21"/>
        </w:rPr>
        <w:t>, TE</w:t>
      </w:r>
      <w:r>
        <w:rPr>
          <w:rFonts w:cs="Times New Roman" w:hint="eastAsia"/>
          <w:b/>
          <w:color w:val="222222"/>
          <w:sz w:val="21"/>
          <w:szCs w:val="21"/>
          <w:vertAlign w:val="subscript"/>
        </w:rPr>
        <w:t>1</w:t>
      </w:r>
      <w:r>
        <w:rPr>
          <w:rFonts w:cs="Times New Roman" w:hint="eastAsia"/>
          <w:b/>
          <w:color w:val="222222"/>
          <w:sz w:val="21"/>
          <w:szCs w:val="21"/>
        </w:rPr>
        <w:t>, TE</w:t>
      </w:r>
      <w:r>
        <w:rPr>
          <w:rFonts w:cs="Times New Roman" w:hint="eastAsia"/>
          <w:b/>
          <w:color w:val="222222"/>
          <w:sz w:val="21"/>
          <w:szCs w:val="21"/>
          <w:vertAlign w:val="subscript"/>
        </w:rPr>
        <w:t>2</w:t>
      </w:r>
      <w:r>
        <w:rPr>
          <w:rFonts w:cs="Times New Roman" w:hint="eastAsia"/>
          <w:b/>
          <w:color w:val="222222"/>
          <w:sz w:val="21"/>
          <w:szCs w:val="21"/>
        </w:rPr>
        <w:t xml:space="preserve">). a-c </w:t>
      </w:r>
      <w:r>
        <w:rPr>
          <w:rFonts w:cs="Times New Roman" w:hint="eastAsia"/>
          <w:bCs/>
          <w:color w:val="222222"/>
          <w:sz w:val="21"/>
          <w:szCs w:val="21"/>
        </w:rPr>
        <w:t>DC-based</w:t>
      </w:r>
      <w:r>
        <w:rPr>
          <w:rFonts w:cs="Times New Roman" w:hint="eastAsia"/>
          <w:b/>
          <w:color w:val="222222"/>
          <w:sz w:val="21"/>
          <w:szCs w:val="21"/>
        </w:rPr>
        <w:t xml:space="preserve"> </w:t>
      </w:r>
      <w:r>
        <w:rPr>
          <w:rFonts w:cs="Times New Roman" w:hint="eastAsia"/>
          <w:bCs/>
          <w:color w:val="222222"/>
          <w:sz w:val="21"/>
          <w:szCs w:val="21"/>
        </w:rPr>
        <w:t>MUX along the crystallographic Y-axis</w:t>
      </w:r>
      <w:r w:rsidR="000958BB">
        <w:rPr>
          <w:rFonts w:cs="Times New Roman" w:hint="eastAsia"/>
          <w:bCs/>
          <w:color w:val="222222"/>
          <w:sz w:val="21"/>
          <w:szCs w:val="21"/>
        </w:rPr>
        <w:t xml:space="preserve"> of lithium niobate</w:t>
      </w:r>
      <w:r>
        <w:rPr>
          <w:rFonts w:cs="Times New Roman" w:hint="eastAsia"/>
          <w:bCs/>
          <w:color w:val="222222"/>
          <w:sz w:val="21"/>
          <w:szCs w:val="21"/>
        </w:rPr>
        <w:t>.</w:t>
      </w:r>
      <w:r>
        <w:rPr>
          <w:rFonts w:cs="Times New Roman" w:hint="eastAsia"/>
          <w:b/>
          <w:color w:val="222222"/>
          <w:sz w:val="21"/>
          <w:szCs w:val="21"/>
        </w:rPr>
        <w:t xml:space="preserve"> d-f </w:t>
      </w:r>
      <w:r>
        <w:rPr>
          <w:rFonts w:cs="Times New Roman" w:hint="eastAsia"/>
          <w:bCs/>
          <w:color w:val="222222"/>
          <w:sz w:val="21"/>
          <w:szCs w:val="21"/>
        </w:rPr>
        <w:t>DC-based</w:t>
      </w:r>
      <w:r>
        <w:rPr>
          <w:rFonts w:cs="Times New Roman" w:hint="eastAsia"/>
          <w:b/>
          <w:color w:val="222222"/>
          <w:sz w:val="21"/>
          <w:szCs w:val="21"/>
        </w:rPr>
        <w:t xml:space="preserve"> </w:t>
      </w:r>
      <w:r>
        <w:rPr>
          <w:rFonts w:cs="Times New Roman" w:hint="eastAsia"/>
          <w:bCs/>
          <w:color w:val="222222"/>
          <w:sz w:val="21"/>
          <w:szCs w:val="21"/>
        </w:rPr>
        <w:t>MUX along the crystallographic Z-axis</w:t>
      </w:r>
      <w:r w:rsidR="000958BB">
        <w:rPr>
          <w:rFonts w:cs="Times New Roman" w:hint="eastAsia"/>
          <w:bCs/>
          <w:color w:val="222222"/>
          <w:sz w:val="21"/>
          <w:szCs w:val="21"/>
        </w:rPr>
        <w:t xml:space="preserve"> of lithium niobate</w:t>
      </w:r>
      <w:r>
        <w:rPr>
          <w:rFonts w:cs="Times New Roman" w:hint="eastAsia"/>
          <w:bCs/>
          <w:color w:val="222222"/>
          <w:sz w:val="21"/>
          <w:szCs w:val="21"/>
        </w:rPr>
        <w:t>.</w:t>
      </w:r>
    </w:p>
    <w:p w14:paraId="7021E396" w14:textId="77777777" w:rsidR="00BC0790" w:rsidRDefault="00000000">
      <w:pPr>
        <w:spacing w:line="360" w:lineRule="auto"/>
        <w:ind w:firstLineChars="200" w:firstLine="480"/>
      </w:pPr>
      <w:r>
        <w:rPr>
          <w:rFonts w:hint="eastAsia"/>
        </w:rPr>
        <w:lastRenderedPageBreak/>
        <w:t>We also compare the device performance including effective size, IL and CT of DC-based MUX with that of our inverse-designed MUX, as shown in</w:t>
      </w:r>
      <w:r w:rsidRPr="000958BB">
        <w:rPr>
          <w:rFonts w:hint="eastAsia"/>
          <w:b/>
          <w:bCs/>
        </w:rPr>
        <w:t xml:space="preserve"> Table S2</w:t>
      </w:r>
      <w:r>
        <w:rPr>
          <w:rFonts w:hint="eastAsia"/>
        </w:rPr>
        <w:t xml:space="preserve">. </w:t>
      </w:r>
      <w:r>
        <w:rPr>
          <w:bCs/>
        </w:rPr>
        <w:t>T</w:t>
      </w:r>
      <w:r>
        <w:rPr>
          <w:rFonts w:hint="eastAsia"/>
          <w:bCs/>
        </w:rPr>
        <w:t xml:space="preserve">he inverse-designed MUX exhibits comparable performance with the </w:t>
      </w:r>
      <w:r>
        <w:rPr>
          <w:bCs/>
        </w:rPr>
        <w:t xml:space="preserve">conventional </w:t>
      </w:r>
      <w:r>
        <w:rPr>
          <w:rFonts w:hint="eastAsia"/>
          <w:bCs/>
        </w:rPr>
        <w:t>counterparts</w:t>
      </w:r>
      <w:r>
        <w:rPr>
          <w:bCs/>
        </w:rPr>
        <w:t xml:space="preserve"> </w:t>
      </w:r>
      <w:r>
        <w:rPr>
          <w:rFonts w:hint="eastAsia"/>
          <w:bCs/>
        </w:rPr>
        <w:t xml:space="preserve">based on </w:t>
      </w:r>
      <w:r>
        <w:rPr>
          <w:bCs/>
        </w:rPr>
        <w:t>directional coupler</w:t>
      </w:r>
      <w:r>
        <w:rPr>
          <w:rFonts w:hint="eastAsia"/>
          <w:bCs/>
        </w:rPr>
        <w:t>s, while representing a more than tenfold footprint reduction.</w:t>
      </w:r>
    </w:p>
    <w:p w14:paraId="5F24F15B" w14:textId="77777777" w:rsidR="00BC0790" w:rsidRDefault="00000000" w:rsidP="00682E2A">
      <w:pPr>
        <w:spacing w:before="100" w:beforeAutospacing="1" w:line="360" w:lineRule="auto"/>
        <w:jc w:val="center"/>
        <w:rPr>
          <w:rFonts w:hAnsi="Cambria Math" w:cs="Cambria Math"/>
        </w:rPr>
      </w:pPr>
      <w:r>
        <w:rPr>
          <w:rFonts w:hAnsi="Cambria Math" w:cs="Cambria Math" w:hint="eastAsia"/>
          <w:b/>
          <w:bCs/>
        </w:rPr>
        <w:t>Table S2.</w:t>
      </w:r>
      <w:r>
        <w:rPr>
          <w:rFonts w:hAnsi="Cambria Math" w:cs="Cambria Math" w:hint="eastAsia"/>
        </w:rPr>
        <w:t xml:space="preserve"> </w:t>
      </w:r>
      <w:r>
        <w:rPr>
          <w:rFonts w:hAnsi="Cambria Math" w:cs="Cambria Math" w:hint="eastAsia"/>
          <w:b/>
          <w:bCs/>
        </w:rPr>
        <w:t xml:space="preserve">Device </w:t>
      </w:r>
      <w:r>
        <w:rPr>
          <w:rFonts w:hAnsi="Cambria Math" w:cs="Cambria Math"/>
          <w:b/>
          <w:bCs/>
        </w:rPr>
        <w:t>performance</w:t>
      </w:r>
      <w:r>
        <w:rPr>
          <w:rFonts w:hAnsi="Cambria Math" w:cs="Cambria Math" w:hint="eastAsia"/>
          <w:b/>
          <w:bCs/>
        </w:rPr>
        <w:t xml:space="preserve"> </w:t>
      </w:r>
      <w:r>
        <w:rPr>
          <w:rFonts w:hAnsi="Cambria Math" w:cs="Cambria Math"/>
          <w:b/>
          <w:bCs/>
        </w:rPr>
        <w:t>comparison</w:t>
      </w:r>
      <w:r>
        <w:rPr>
          <w:rFonts w:hAnsi="Cambria Math" w:cs="Cambria Math" w:hint="eastAsia"/>
          <w:b/>
          <w:bCs/>
        </w:rPr>
        <w:t xml:space="preserve"> between forward- and inverse-designed MUXs </w:t>
      </w:r>
    </w:p>
    <w:tbl>
      <w:tblPr>
        <w:tblStyle w:val="a8"/>
        <w:tblW w:w="9502" w:type="dxa"/>
        <w:jc w:val="center"/>
        <w:tblLayout w:type="fixed"/>
        <w:tblLook w:val="04A0" w:firstRow="1" w:lastRow="0" w:firstColumn="1" w:lastColumn="0" w:noHBand="0" w:noVBand="1"/>
      </w:tblPr>
      <w:tblGrid>
        <w:gridCol w:w="2835"/>
        <w:gridCol w:w="1701"/>
        <w:gridCol w:w="1134"/>
        <w:gridCol w:w="1134"/>
        <w:gridCol w:w="1276"/>
        <w:gridCol w:w="1422"/>
      </w:tblGrid>
      <w:tr w:rsidR="00BC0790" w14:paraId="6CF358DD" w14:textId="77777777" w:rsidTr="000958BB">
        <w:trPr>
          <w:trHeight w:val="590"/>
          <w:jc w:val="center"/>
        </w:trPr>
        <w:tc>
          <w:tcPr>
            <w:tcW w:w="2835" w:type="dxa"/>
            <w:tcBorders>
              <w:left w:val="nil"/>
              <w:right w:val="nil"/>
            </w:tcBorders>
            <w:vAlign w:val="center"/>
          </w:tcPr>
          <w:p w14:paraId="274C1C08"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Device</w:t>
            </w:r>
          </w:p>
        </w:tc>
        <w:tc>
          <w:tcPr>
            <w:tcW w:w="1701" w:type="dxa"/>
            <w:tcBorders>
              <w:left w:val="nil"/>
              <w:right w:val="nil"/>
            </w:tcBorders>
            <w:vAlign w:val="center"/>
          </w:tcPr>
          <w:p w14:paraId="2DDC2EEE"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Effective size</w:t>
            </w:r>
          </w:p>
        </w:tc>
        <w:tc>
          <w:tcPr>
            <w:tcW w:w="1134" w:type="dxa"/>
            <w:tcBorders>
              <w:left w:val="nil"/>
              <w:right w:val="nil"/>
            </w:tcBorders>
            <w:vAlign w:val="center"/>
          </w:tcPr>
          <w:p w14:paraId="730139FF"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TE</w:t>
            </w:r>
            <w:r>
              <w:rPr>
                <w:rFonts w:eastAsia="宋体" w:cs="Times New Roman" w:hint="eastAsia"/>
                <w:b/>
                <w:color w:val="222222"/>
                <w:kern w:val="0"/>
                <w:vertAlign w:val="subscript"/>
              </w:rPr>
              <w:t>0</w:t>
            </w:r>
          </w:p>
        </w:tc>
        <w:tc>
          <w:tcPr>
            <w:tcW w:w="1134" w:type="dxa"/>
            <w:tcBorders>
              <w:left w:val="nil"/>
              <w:right w:val="nil"/>
            </w:tcBorders>
            <w:vAlign w:val="center"/>
          </w:tcPr>
          <w:p w14:paraId="111AEE2A"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TE</w:t>
            </w:r>
            <w:r>
              <w:rPr>
                <w:rFonts w:eastAsia="宋体" w:cs="Times New Roman" w:hint="eastAsia"/>
                <w:b/>
                <w:color w:val="222222"/>
                <w:kern w:val="0"/>
                <w:vertAlign w:val="subscript"/>
              </w:rPr>
              <w:t>1</w:t>
            </w:r>
          </w:p>
        </w:tc>
        <w:tc>
          <w:tcPr>
            <w:tcW w:w="1276" w:type="dxa"/>
            <w:tcBorders>
              <w:left w:val="nil"/>
              <w:bottom w:val="single" w:sz="4" w:space="0" w:color="auto"/>
              <w:right w:val="nil"/>
            </w:tcBorders>
            <w:vAlign w:val="center"/>
          </w:tcPr>
          <w:p w14:paraId="512F84EB"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TE</w:t>
            </w:r>
            <w:r>
              <w:rPr>
                <w:rFonts w:eastAsia="宋体" w:cs="Times New Roman" w:hint="eastAsia"/>
                <w:b/>
                <w:color w:val="222222"/>
                <w:kern w:val="0"/>
                <w:vertAlign w:val="subscript"/>
              </w:rPr>
              <w:t>2</w:t>
            </w:r>
          </w:p>
        </w:tc>
        <w:tc>
          <w:tcPr>
            <w:tcW w:w="1422" w:type="dxa"/>
            <w:tcBorders>
              <w:left w:val="nil"/>
              <w:right w:val="nil"/>
            </w:tcBorders>
            <w:vAlign w:val="center"/>
          </w:tcPr>
          <w:p w14:paraId="270B0609" w14:textId="77777777" w:rsidR="00BC0790" w:rsidRDefault="00000000">
            <w:pPr>
              <w:widowControl/>
              <w:spacing w:before="100" w:beforeAutospacing="1" w:after="100" w:afterAutospacing="1" w:line="360" w:lineRule="auto"/>
              <w:ind w:right="119"/>
              <w:jc w:val="center"/>
              <w:rPr>
                <w:rFonts w:eastAsia="宋体" w:cs="Times New Roman"/>
                <w:b/>
                <w:color w:val="222222"/>
                <w:kern w:val="0"/>
              </w:rPr>
            </w:pPr>
            <w:r>
              <w:rPr>
                <w:rFonts w:eastAsia="宋体" w:cs="Times New Roman" w:hint="eastAsia"/>
                <w:b/>
                <w:color w:val="222222"/>
                <w:kern w:val="0"/>
              </w:rPr>
              <w:t>Crosstalk</w:t>
            </w:r>
          </w:p>
        </w:tc>
      </w:tr>
      <w:tr w:rsidR="00BC0790" w14:paraId="2E227B3D" w14:textId="77777777" w:rsidTr="000958BB">
        <w:trPr>
          <w:trHeight w:val="495"/>
          <w:jc w:val="center"/>
        </w:trPr>
        <w:tc>
          <w:tcPr>
            <w:tcW w:w="2835" w:type="dxa"/>
            <w:tcBorders>
              <w:left w:val="nil"/>
              <w:right w:val="nil"/>
            </w:tcBorders>
            <w:vAlign w:val="center"/>
          </w:tcPr>
          <w:p w14:paraId="4EA50F12"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DC-based MUX (Y)</w:t>
            </w:r>
          </w:p>
        </w:tc>
        <w:tc>
          <w:tcPr>
            <w:tcW w:w="1701" w:type="dxa"/>
            <w:tcBorders>
              <w:left w:val="nil"/>
              <w:right w:val="nil"/>
            </w:tcBorders>
            <w:vAlign w:val="center"/>
          </w:tcPr>
          <w:p w14:paraId="2D3FF7E3" w14:textId="77777777" w:rsidR="00BC0790" w:rsidRDefault="00000000">
            <w:pPr>
              <w:widowControl/>
              <w:spacing w:before="100" w:beforeAutospacing="1" w:after="100" w:afterAutospacing="1" w:line="360" w:lineRule="auto"/>
              <w:ind w:right="119"/>
              <w:jc w:val="center"/>
              <w:rPr>
                <w:rFonts w:cs="Times New Roman"/>
                <w:bCs/>
                <w:color w:val="222222"/>
              </w:rPr>
            </w:pPr>
            <w:r>
              <w:rPr>
                <w:rFonts w:cs="Times New Roman" w:hint="eastAsia"/>
                <w:bCs/>
                <w:color w:val="222222"/>
              </w:rPr>
              <w:t>18</w:t>
            </w:r>
            <w:r>
              <w:rPr>
                <w:rFonts w:cs="Times New Roman" w:hint="eastAsia"/>
                <w:bCs/>
                <w:color w:val="222222"/>
              </w:rPr>
              <w:t>×</w:t>
            </w:r>
            <w:r>
              <w:rPr>
                <w:rFonts w:cs="Times New Roman" w:hint="eastAsia"/>
                <w:bCs/>
                <w:color w:val="222222"/>
              </w:rPr>
              <w:t xml:space="preserve">430 </w:t>
            </w:r>
            <w:r>
              <w:rPr>
                <w:rFonts w:cs="Times New Roman"/>
                <w:bCs/>
                <w:color w:val="222222"/>
              </w:rPr>
              <w:t>μm</w:t>
            </w:r>
            <w:r>
              <w:rPr>
                <w:rFonts w:cs="Times New Roman" w:hint="eastAsia"/>
                <w:bCs/>
                <w:color w:val="222222"/>
                <w:vertAlign w:val="superscript"/>
              </w:rPr>
              <w:t>2</w:t>
            </w:r>
          </w:p>
        </w:tc>
        <w:tc>
          <w:tcPr>
            <w:tcW w:w="1134" w:type="dxa"/>
            <w:tcBorders>
              <w:left w:val="nil"/>
              <w:right w:val="nil"/>
            </w:tcBorders>
            <w:vAlign w:val="center"/>
          </w:tcPr>
          <w:p w14:paraId="0A158AD9" w14:textId="77777777" w:rsidR="00BC0790" w:rsidRDefault="00000000">
            <w:pPr>
              <w:widowControl/>
              <w:spacing w:before="100" w:beforeAutospacing="1" w:after="100" w:afterAutospacing="1" w:line="360" w:lineRule="auto"/>
              <w:ind w:right="119"/>
              <w:jc w:val="center"/>
              <w:rPr>
                <w:rFonts w:eastAsia="宋体" w:cs="Times New Roman"/>
                <w:bCs/>
                <w:color w:val="000000" w:themeColor="text1"/>
                <w:kern w:val="0"/>
              </w:rPr>
            </w:pPr>
            <w:r>
              <w:rPr>
                <w:rFonts w:eastAsia="宋体" w:cs="Times New Roman" w:hint="eastAsia"/>
                <w:bCs/>
                <w:color w:val="000000" w:themeColor="text1"/>
                <w:kern w:val="0"/>
              </w:rPr>
              <w:t>0.30 dB</w:t>
            </w:r>
          </w:p>
        </w:tc>
        <w:tc>
          <w:tcPr>
            <w:tcW w:w="1134" w:type="dxa"/>
            <w:tcBorders>
              <w:left w:val="nil"/>
              <w:right w:val="nil"/>
            </w:tcBorders>
            <w:vAlign w:val="center"/>
          </w:tcPr>
          <w:p w14:paraId="777C4FF7" w14:textId="77777777" w:rsidR="00BC0790" w:rsidRDefault="00000000">
            <w:pPr>
              <w:widowControl/>
              <w:spacing w:before="100" w:beforeAutospacing="1" w:after="100" w:afterAutospacing="1" w:line="360" w:lineRule="auto"/>
              <w:ind w:right="119"/>
              <w:jc w:val="center"/>
              <w:rPr>
                <w:rFonts w:eastAsia="宋体" w:cs="Times New Roman"/>
                <w:bCs/>
                <w:color w:val="000000" w:themeColor="text1"/>
                <w:kern w:val="0"/>
              </w:rPr>
            </w:pPr>
            <w:r>
              <w:rPr>
                <w:rFonts w:eastAsia="宋体" w:cs="Times New Roman" w:hint="eastAsia"/>
                <w:bCs/>
                <w:color w:val="000000" w:themeColor="text1"/>
                <w:kern w:val="0"/>
              </w:rPr>
              <w:t>1.21 dB</w:t>
            </w:r>
          </w:p>
        </w:tc>
        <w:tc>
          <w:tcPr>
            <w:tcW w:w="1276" w:type="dxa"/>
            <w:tcBorders>
              <w:left w:val="nil"/>
              <w:right w:val="nil"/>
            </w:tcBorders>
            <w:vAlign w:val="center"/>
          </w:tcPr>
          <w:p w14:paraId="7714AC37" w14:textId="77777777" w:rsidR="00BC0790" w:rsidRDefault="00000000">
            <w:pPr>
              <w:widowControl/>
              <w:spacing w:before="100" w:beforeAutospacing="1" w:after="100" w:afterAutospacing="1" w:line="360" w:lineRule="auto"/>
              <w:ind w:right="119"/>
              <w:jc w:val="center"/>
              <w:rPr>
                <w:rFonts w:eastAsia="宋体" w:cs="Times New Roman"/>
                <w:bCs/>
                <w:color w:val="000000" w:themeColor="text1"/>
                <w:kern w:val="0"/>
              </w:rPr>
            </w:pPr>
            <w:r>
              <w:rPr>
                <w:rFonts w:eastAsia="宋体" w:cs="Times New Roman" w:hint="eastAsia"/>
                <w:bCs/>
                <w:color w:val="000000" w:themeColor="text1"/>
                <w:kern w:val="0"/>
              </w:rPr>
              <w:t>0.88 dB</w:t>
            </w:r>
          </w:p>
        </w:tc>
        <w:tc>
          <w:tcPr>
            <w:tcW w:w="1422" w:type="dxa"/>
            <w:tcBorders>
              <w:left w:val="nil"/>
              <w:right w:val="nil"/>
            </w:tcBorders>
            <w:vAlign w:val="center"/>
          </w:tcPr>
          <w:p w14:paraId="6F1FB2FD"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&lt; -17.8 dB</w:t>
            </w:r>
          </w:p>
        </w:tc>
      </w:tr>
      <w:tr w:rsidR="00BC0790" w14:paraId="31FD7335" w14:textId="77777777" w:rsidTr="000958BB">
        <w:trPr>
          <w:trHeight w:val="495"/>
          <w:jc w:val="center"/>
        </w:trPr>
        <w:tc>
          <w:tcPr>
            <w:tcW w:w="2835" w:type="dxa"/>
            <w:tcBorders>
              <w:left w:val="nil"/>
              <w:right w:val="nil"/>
            </w:tcBorders>
            <w:vAlign w:val="center"/>
          </w:tcPr>
          <w:p w14:paraId="7BDE9937"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DC-based MUX (Z)</w:t>
            </w:r>
          </w:p>
        </w:tc>
        <w:tc>
          <w:tcPr>
            <w:tcW w:w="1701" w:type="dxa"/>
            <w:tcBorders>
              <w:left w:val="nil"/>
              <w:right w:val="nil"/>
            </w:tcBorders>
            <w:vAlign w:val="center"/>
          </w:tcPr>
          <w:p w14:paraId="25A8CCD1"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cs="Times New Roman" w:hint="eastAsia"/>
                <w:bCs/>
                <w:color w:val="222222"/>
              </w:rPr>
              <w:t>18</w:t>
            </w:r>
            <w:r>
              <w:rPr>
                <w:rFonts w:cs="Times New Roman" w:hint="eastAsia"/>
                <w:bCs/>
                <w:color w:val="222222"/>
              </w:rPr>
              <w:t>×</w:t>
            </w:r>
            <w:r>
              <w:rPr>
                <w:rFonts w:cs="Times New Roman" w:hint="eastAsia"/>
                <w:bCs/>
                <w:color w:val="222222"/>
              </w:rPr>
              <w:t xml:space="preserve">347 </w:t>
            </w:r>
            <w:r>
              <w:rPr>
                <w:rFonts w:cs="Times New Roman"/>
                <w:bCs/>
                <w:color w:val="222222"/>
              </w:rPr>
              <w:t>μm</w:t>
            </w:r>
            <w:r>
              <w:rPr>
                <w:rFonts w:cs="Times New Roman" w:hint="eastAsia"/>
                <w:bCs/>
                <w:color w:val="222222"/>
                <w:vertAlign w:val="superscript"/>
              </w:rPr>
              <w:t>2</w:t>
            </w:r>
          </w:p>
        </w:tc>
        <w:tc>
          <w:tcPr>
            <w:tcW w:w="1134" w:type="dxa"/>
            <w:tcBorders>
              <w:left w:val="nil"/>
              <w:right w:val="nil"/>
            </w:tcBorders>
            <w:vAlign w:val="center"/>
          </w:tcPr>
          <w:p w14:paraId="57C62EE3"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0.82 dB</w:t>
            </w:r>
          </w:p>
        </w:tc>
        <w:tc>
          <w:tcPr>
            <w:tcW w:w="1134" w:type="dxa"/>
            <w:tcBorders>
              <w:left w:val="nil"/>
              <w:right w:val="nil"/>
            </w:tcBorders>
            <w:vAlign w:val="center"/>
          </w:tcPr>
          <w:p w14:paraId="6901A6CF"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1.47 dB</w:t>
            </w:r>
          </w:p>
        </w:tc>
        <w:tc>
          <w:tcPr>
            <w:tcW w:w="1276" w:type="dxa"/>
            <w:tcBorders>
              <w:left w:val="nil"/>
              <w:right w:val="nil"/>
            </w:tcBorders>
            <w:vAlign w:val="center"/>
          </w:tcPr>
          <w:p w14:paraId="7F694610"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1.78 dB</w:t>
            </w:r>
          </w:p>
        </w:tc>
        <w:tc>
          <w:tcPr>
            <w:tcW w:w="1422" w:type="dxa"/>
            <w:tcBorders>
              <w:left w:val="nil"/>
              <w:right w:val="nil"/>
            </w:tcBorders>
            <w:vAlign w:val="center"/>
          </w:tcPr>
          <w:p w14:paraId="04B1BF1D" w14:textId="77777777" w:rsidR="00BC0790" w:rsidRDefault="00000000">
            <w:pPr>
              <w:widowControl/>
              <w:spacing w:before="100" w:beforeAutospacing="1" w:after="100" w:afterAutospacing="1" w:line="360" w:lineRule="auto"/>
              <w:ind w:right="119"/>
              <w:jc w:val="center"/>
              <w:rPr>
                <w:rFonts w:eastAsia="宋体" w:cs="Times New Roman"/>
                <w:bCs/>
                <w:color w:val="222222"/>
                <w:kern w:val="0"/>
              </w:rPr>
            </w:pPr>
            <w:r>
              <w:rPr>
                <w:rFonts w:eastAsia="宋体" w:cs="Times New Roman" w:hint="eastAsia"/>
                <w:bCs/>
                <w:color w:val="222222"/>
                <w:kern w:val="0"/>
              </w:rPr>
              <w:t>&lt; -17.2 dB</w:t>
            </w:r>
          </w:p>
        </w:tc>
      </w:tr>
      <w:tr w:rsidR="00BC0790" w14:paraId="10EA0959" w14:textId="77777777" w:rsidTr="000958BB">
        <w:trPr>
          <w:trHeight w:val="495"/>
          <w:jc w:val="center"/>
        </w:trPr>
        <w:tc>
          <w:tcPr>
            <w:tcW w:w="2835" w:type="dxa"/>
            <w:tcBorders>
              <w:left w:val="nil"/>
              <w:right w:val="nil"/>
            </w:tcBorders>
            <w:vAlign w:val="center"/>
          </w:tcPr>
          <w:p w14:paraId="63399085" w14:textId="6AD2E1FA" w:rsidR="00BC0790" w:rsidRPr="000958BB" w:rsidRDefault="00000000">
            <w:pPr>
              <w:widowControl/>
              <w:spacing w:before="100" w:beforeAutospacing="1" w:after="100" w:afterAutospacing="1" w:line="360" w:lineRule="auto"/>
              <w:ind w:right="119"/>
              <w:jc w:val="center"/>
              <w:rPr>
                <w:rFonts w:eastAsia="宋体" w:cs="Times New Roman"/>
                <w:b/>
                <w:color w:val="222222"/>
                <w:kern w:val="0"/>
              </w:rPr>
            </w:pPr>
            <w:r w:rsidRPr="000958BB">
              <w:rPr>
                <w:rFonts w:eastAsia="宋体" w:cs="Times New Roman" w:hint="eastAsia"/>
                <w:b/>
                <w:color w:val="222222"/>
                <w:kern w:val="0"/>
              </w:rPr>
              <w:t>Inverse-designed MUX</w:t>
            </w:r>
          </w:p>
        </w:tc>
        <w:tc>
          <w:tcPr>
            <w:tcW w:w="1701" w:type="dxa"/>
            <w:tcBorders>
              <w:left w:val="nil"/>
              <w:right w:val="nil"/>
            </w:tcBorders>
            <w:vAlign w:val="center"/>
          </w:tcPr>
          <w:p w14:paraId="326A171C" w14:textId="77777777" w:rsidR="00BC0790" w:rsidRPr="000958BB" w:rsidRDefault="00000000">
            <w:pPr>
              <w:widowControl/>
              <w:spacing w:before="100" w:beforeAutospacing="1" w:after="100" w:afterAutospacing="1" w:line="360" w:lineRule="auto"/>
              <w:ind w:right="119"/>
              <w:jc w:val="center"/>
              <w:rPr>
                <w:rFonts w:eastAsia="宋体" w:cs="Times New Roman"/>
                <w:b/>
                <w:color w:val="222222"/>
                <w:kern w:val="0"/>
              </w:rPr>
            </w:pPr>
            <w:r w:rsidRPr="000958BB">
              <w:rPr>
                <w:rFonts w:eastAsia="宋体" w:cs="Times New Roman" w:hint="eastAsia"/>
                <w:b/>
                <w:color w:val="222222"/>
                <w:kern w:val="0"/>
              </w:rPr>
              <w:t>19</w:t>
            </w:r>
            <w:r w:rsidRPr="000958BB">
              <w:rPr>
                <w:rFonts w:eastAsia="宋体" w:cs="Times New Roman" w:hint="eastAsia"/>
                <w:b/>
                <w:color w:val="222222"/>
                <w:kern w:val="0"/>
              </w:rPr>
              <w:t>×</w:t>
            </w:r>
            <w:r w:rsidRPr="000958BB">
              <w:rPr>
                <w:rFonts w:eastAsia="宋体" w:cs="Times New Roman" w:hint="eastAsia"/>
                <w:b/>
                <w:color w:val="222222"/>
                <w:kern w:val="0"/>
              </w:rPr>
              <w:t xml:space="preserve">25 </w:t>
            </w:r>
            <w:r w:rsidRPr="000958BB">
              <w:rPr>
                <w:rFonts w:cs="Times New Roman"/>
                <w:b/>
                <w:color w:val="222222"/>
              </w:rPr>
              <w:t>μm</w:t>
            </w:r>
            <w:r w:rsidRPr="000958BB">
              <w:rPr>
                <w:rFonts w:cs="Times New Roman" w:hint="eastAsia"/>
                <w:b/>
                <w:color w:val="222222"/>
                <w:vertAlign w:val="superscript"/>
              </w:rPr>
              <w:t>2</w:t>
            </w:r>
          </w:p>
        </w:tc>
        <w:tc>
          <w:tcPr>
            <w:tcW w:w="1134" w:type="dxa"/>
            <w:tcBorders>
              <w:left w:val="nil"/>
              <w:right w:val="nil"/>
            </w:tcBorders>
            <w:vAlign w:val="center"/>
          </w:tcPr>
          <w:p w14:paraId="2B054A04" w14:textId="77777777" w:rsidR="00BC0790" w:rsidRPr="000958BB" w:rsidRDefault="00000000">
            <w:pPr>
              <w:widowControl/>
              <w:spacing w:before="100" w:beforeAutospacing="1" w:after="100" w:afterAutospacing="1" w:line="360" w:lineRule="auto"/>
              <w:ind w:right="119"/>
              <w:jc w:val="center"/>
              <w:rPr>
                <w:rFonts w:eastAsia="宋体" w:cs="Times New Roman"/>
                <w:b/>
                <w:color w:val="222222"/>
                <w:kern w:val="0"/>
              </w:rPr>
            </w:pPr>
            <w:r w:rsidRPr="000958BB">
              <w:rPr>
                <w:rFonts w:eastAsia="宋体" w:cs="Times New Roman" w:hint="eastAsia"/>
                <w:b/>
                <w:color w:val="222222"/>
                <w:kern w:val="0"/>
              </w:rPr>
              <w:t>1.05 dB</w:t>
            </w:r>
          </w:p>
        </w:tc>
        <w:tc>
          <w:tcPr>
            <w:tcW w:w="1134" w:type="dxa"/>
            <w:tcBorders>
              <w:left w:val="nil"/>
              <w:right w:val="nil"/>
            </w:tcBorders>
            <w:vAlign w:val="center"/>
          </w:tcPr>
          <w:p w14:paraId="04F541D1" w14:textId="77777777" w:rsidR="00BC0790" w:rsidRPr="000958BB" w:rsidRDefault="00000000">
            <w:pPr>
              <w:widowControl/>
              <w:spacing w:before="100" w:beforeAutospacing="1" w:after="100" w:afterAutospacing="1" w:line="360" w:lineRule="auto"/>
              <w:ind w:right="119"/>
              <w:jc w:val="center"/>
              <w:rPr>
                <w:rFonts w:eastAsia="宋体" w:cs="Times New Roman"/>
                <w:b/>
                <w:color w:val="222222"/>
                <w:kern w:val="0"/>
              </w:rPr>
            </w:pPr>
            <w:r w:rsidRPr="000958BB">
              <w:rPr>
                <w:rFonts w:eastAsia="宋体" w:cs="Times New Roman" w:hint="eastAsia"/>
                <w:b/>
                <w:color w:val="222222"/>
                <w:kern w:val="0"/>
              </w:rPr>
              <w:t>1.42 dB</w:t>
            </w:r>
          </w:p>
        </w:tc>
        <w:tc>
          <w:tcPr>
            <w:tcW w:w="1276" w:type="dxa"/>
            <w:tcBorders>
              <w:left w:val="nil"/>
              <w:right w:val="nil"/>
            </w:tcBorders>
            <w:vAlign w:val="center"/>
          </w:tcPr>
          <w:p w14:paraId="4FEA918B" w14:textId="77777777" w:rsidR="00BC0790" w:rsidRPr="000958BB" w:rsidRDefault="00000000">
            <w:pPr>
              <w:widowControl/>
              <w:spacing w:before="100" w:beforeAutospacing="1" w:after="100" w:afterAutospacing="1" w:line="360" w:lineRule="auto"/>
              <w:ind w:right="119"/>
              <w:jc w:val="center"/>
              <w:rPr>
                <w:rFonts w:eastAsia="宋体" w:cs="Times New Roman"/>
                <w:b/>
                <w:color w:val="222222"/>
                <w:kern w:val="0"/>
              </w:rPr>
            </w:pPr>
            <w:r w:rsidRPr="000958BB">
              <w:rPr>
                <w:rFonts w:eastAsia="宋体" w:cs="Times New Roman" w:hint="eastAsia"/>
                <w:b/>
                <w:color w:val="222222"/>
                <w:kern w:val="0"/>
              </w:rPr>
              <w:t>2.50 dB</w:t>
            </w:r>
          </w:p>
        </w:tc>
        <w:tc>
          <w:tcPr>
            <w:tcW w:w="1422" w:type="dxa"/>
            <w:tcBorders>
              <w:left w:val="nil"/>
              <w:right w:val="nil"/>
            </w:tcBorders>
            <w:vAlign w:val="center"/>
          </w:tcPr>
          <w:p w14:paraId="74DE582F" w14:textId="77777777" w:rsidR="00BC0790" w:rsidRPr="000958BB" w:rsidRDefault="00000000">
            <w:pPr>
              <w:widowControl/>
              <w:spacing w:before="100" w:beforeAutospacing="1" w:after="100" w:afterAutospacing="1" w:line="360" w:lineRule="auto"/>
              <w:ind w:right="119"/>
              <w:jc w:val="center"/>
              <w:rPr>
                <w:rFonts w:eastAsia="宋体" w:cs="Times New Roman"/>
                <w:b/>
                <w:color w:val="222222"/>
                <w:kern w:val="0"/>
              </w:rPr>
            </w:pPr>
            <w:r w:rsidRPr="000958BB">
              <w:rPr>
                <w:rFonts w:eastAsia="宋体" w:cs="Times New Roman" w:hint="eastAsia"/>
                <w:b/>
                <w:color w:val="222222"/>
                <w:kern w:val="0"/>
              </w:rPr>
              <w:t>&lt; -15.9 dB</w:t>
            </w:r>
          </w:p>
        </w:tc>
      </w:tr>
    </w:tbl>
    <w:p w14:paraId="7D7561FC" w14:textId="77777777" w:rsidR="00BC0790" w:rsidRDefault="00000000">
      <w:pPr>
        <w:spacing w:before="100" w:beforeAutospacing="1" w:line="360" w:lineRule="auto"/>
        <w:rPr>
          <w:rFonts w:hAnsi="Cambria Math" w:cs="Cambria Math"/>
          <w:b/>
          <w:bCs/>
          <w:i/>
          <w:iCs/>
        </w:rPr>
      </w:pPr>
      <w:r>
        <w:rPr>
          <w:rFonts w:hAnsi="Cambria Math" w:cs="Cambria Math" w:hint="eastAsia"/>
          <w:b/>
          <w:bCs/>
          <w:i/>
          <w:iCs/>
        </w:rPr>
        <w:t>S3. Measured results of multimode waveguide crossing</w:t>
      </w:r>
    </w:p>
    <w:p w14:paraId="1B3D0BC4" w14:textId="77777777" w:rsidR="00BC0790" w:rsidRDefault="00000000">
      <w:pPr>
        <w:spacing w:before="100" w:beforeAutospacing="1" w:line="360" w:lineRule="auto"/>
        <w:jc w:val="center"/>
      </w:pPr>
      <w:r>
        <w:rPr>
          <w:rFonts w:hint="eastAsia"/>
          <w:noProof/>
        </w:rPr>
        <w:drawing>
          <wp:inline distT="0" distB="0" distL="114300" distR="114300" wp14:anchorId="0CAEB626" wp14:editId="258E7D23">
            <wp:extent cx="5850890" cy="4668520"/>
            <wp:effectExtent l="0" t="0" r="3810" b="5080"/>
            <wp:docPr id="23" name="图片 23" descr="cros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ross_z"/>
                    <pic:cNvPicPr>
                      <a:picLocks noChangeAspect="1"/>
                    </pic:cNvPicPr>
                  </pic:nvPicPr>
                  <pic:blipFill>
                    <a:blip r:embed="rId14"/>
                    <a:srcRect t="1997" r="3905" b="4610"/>
                    <a:stretch>
                      <a:fillRect/>
                    </a:stretch>
                  </pic:blipFill>
                  <pic:spPr>
                    <a:xfrm>
                      <a:off x="0" y="0"/>
                      <a:ext cx="5850890" cy="4668520"/>
                    </a:xfrm>
                    <a:prstGeom prst="rect">
                      <a:avLst/>
                    </a:prstGeom>
                  </pic:spPr>
                </pic:pic>
              </a:graphicData>
            </a:graphic>
          </wp:inline>
        </w:drawing>
      </w:r>
    </w:p>
    <w:p w14:paraId="0FF92490" w14:textId="762E153B" w:rsidR="00BC0790" w:rsidRDefault="00000000" w:rsidP="00533AD4">
      <w:pPr>
        <w:spacing w:after="100" w:afterAutospacing="1" w:line="360" w:lineRule="auto"/>
      </w:pPr>
      <w:r>
        <w:rPr>
          <w:rFonts w:cs="Times New Roman" w:hint="eastAsia"/>
          <w:b/>
          <w:color w:val="222222"/>
          <w:sz w:val="21"/>
          <w:szCs w:val="21"/>
        </w:rPr>
        <w:t>Fig. S5</w:t>
      </w:r>
      <w:r>
        <w:rPr>
          <w:rFonts w:cs="Times New Roman" w:hint="eastAsia"/>
          <w:bCs/>
          <w:color w:val="222222"/>
          <w:sz w:val="21"/>
          <w:szCs w:val="21"/>
        </w:rPr>
        <w:t xml:space="preserve"> </w:t>
      </w:r>
      <w:r w:rsidR="00D738D5" w:rsidRPr="00D738D5">
        <w:rPr>
          <w:rFonts w:eastAsia="等线" w:cs="Times New Roman" w:hint="eastAsia"/>
          <w:b/>
          <w:color w:val="222222"/>
          <w:sz w:val="21"/>
          <w:szCs w:val="21"/>
        </w:rPr>
        <w:t xml:space="preserve">Design and experimental </w:t>
      </w:r>
      <w:r w:rsidR="00D738D5" w:rsidRPr="00D738D5">
        <w:rPr>
          <w:rFonts w:eastAsia="等线" w:cs="Times New Roman"/>
          <w:b/>
          <w:color w:val="222222"/>
          <w:sz w:val="21"/>
          <w:szCs w:val="21"/>
        </w:rPr>
        <w:t>demonstration</w:t>
      </w:r>
      <w:r w:rsidR="00D738D5" w:rsidRPr="00D738D5">
        <w:rPr>
          <w:rFonts w:eastAsia="等线" w:cs="Times New Roman" w:hint="eastAsia"/>
          <w:b/>
          <w:color w:val="222222"/>
          <w:sz w:val="21"/>
          <w:szCs w:val="21"/>
        </w:rPr>
        <w:t xml:space="preserve"> of multimode waveguide crossing.</w:t>
      </w:r>
      <w:r w:rsidR="00D738D5">
        <w:rPr>
          <w:rFonts w:eastAsia="等线" w:cs="Times New Roman" w:hint="eastAsia"/>
          <w:b/>
          <w:color w:val="222222"/>
          <w:sz w:val="21"/>
          <w:szCs w:val="21"/>
        </w:rPr>
        <w:t xml:space="preserve"> </w:t>
      </w:r>
      <w:r>
        <w:rPr>
          <w:rFonts w:cs="Times New Roman" w:hint="eastAsia"/>
          <w:b/>
          <w:color w:val="222222"/>
          <w:sz w:val="21"/>
          <w:szCs w:val="21"/>
        </w:rPr>
        <w:t>a</w:t>
      </w:r>
      <w:r>
        <w:rPr>
          <w:rFonts w:cs="Times New Roman" w:hint="eastAsia"/>
          <w:bCs/>
          <w:color w:val="222222"/>
          <w:sz w:val="21"/>
          <w:szCs w:val="21"/>
        </w:rPr>
        <w:t xml:space="preserve"> Schematic diagram of Z-propagating case in the waveguide crossing. </w:t>
      </w:r>
      <w:r>
        <w:rPr>
          <w:rFonts w:cs="Times New Roman" w:hint="eastAsia"/>
          <w:b/>
          <w:color w:val="222222"/>
          <w:sz w:val="21"/>
          <w:szCs w:val="21"/>
        </w:rPr>
        <w:t>b</w:t>
      </w:r>
      <w:r>
        <w:rPr>
          <w:rFonts w:cs="Times New Roman" w:hint="eastAsia"/>
          <w:bCs/>
          <w:color w:val="222222"/>
          <w:sz w:val="21"/>
          <w:szCs w:val="21"/>
        </w:rPr>
        <w:t xml:space="preserve"> Measured and fitted insertion losses of different modes. </w:t>
      </w:r>
      <w:r>
        <w:rPr>
          <w:rFonts w:cs="Times New Roman" w:hint="eastAsia"/>
          <w:b/>
          <w:color w:val="222222"/>
          <w:sz w:val="21"/>
          <w:szCs w:val="21"/>
        </w:rPr>
        <w:t>c-e</w:t>
      </w:r>
      <w:r>
        <w:rPr>
          <w:rFonts w:cs="Times New Roman" w:hint="eastAsia"/>
          <w:bCs/>
          <w:color w:val="222222"/>
          <w:sz w:val="21"/>
          <w:szCs w:val="21"/>
        </w:rPr>
        <w:t xml:space="preserve"> Simulated transmission spectra of different mode channels at a wavelength range from 1530 nm to 1570 nm. </w:t>
      </w:r>
      <w:r>
        <w:rPr>
          <w:rFonts w:cs="Times New Roman" w:hint="eastAsia"/>
          <w:b/>
          <w:bCs/>
          <w:color w:val="222222"/>
          <w:sz w:val="21"/>
          <w:szCs w:val="21"/>
        </w:rPr>
        <w:t xml:space="preserve">f-h </w:t>
      </w:r>
      <w:r>
        <w:rPr>
          <w:rFonts w:cs="Times New Roman" w:hint="eastAsia"/>
          <w:bCs/>
          <w:color w:val="222222"/>
          <w:sz w:val="21"/>
          <w:szCs w:val="21"/>
        </w:rPr>
        <w:t>Measured transmission spectra of different mode channels at a wavelength range from 1530 nm to 1570 nm.</w:t>
      </w:r>
    </w:p>
    <w:p w14:paraId="63FC714A" w14:textId="397B8A0F" w:rsidR="00BC0790" w:rsidRDefault="00000000">
      <w:pPr>
        <w:spacing w:line="360" w:lineRule="auto"/>
        <w:rPr>
          <w:rFonts w:hAnsi="Cambria Math" w:cs="Cambria Math"/>
          <w:b/>
          <w:bCs/>
          <w:i/>
          <w:iCs/>
        </w:rPr>
      </w:pPr>
      <w:r>
        <w:rPr>
          <w:rFonts w:hint="eastAsia"/>
        </w:rPr>
        <w:lastRenderedPageBreak/>
        <w:t>By considering</w:t>
      </w:r>
      <w:r>
        <w:t xml:space="preserve"> the anisotropy of lithium niobate, we also characterize the</w:t>
      </w:r>
      <w:r>
        <w:rPr>
          <w:rFonts w:hint="eastAsia"/>
        </w:rPr>
        <w:t xml:space="preserve"> waveguide crossing when light </w:t>
      </w:r>
      <w:r>
        <w:t>propagates</w:t>
      </w:r>
      <w:r>
        <w:rPr>
          <w:rFonts w:hint="eastAsia"/>
        </w:rPr>
        <w:t xml:space="preserve"> along the </w:t>
      </w:r>
      <w:r>
        <w:t>crystallographic Z</w:t>
      </w:r>
      <w:r>
        <w:rPr>
          <w:rFonts w:hint="eastAsia"/>
        </w:rPr>
        <w:t xml:space="preserve"> </w:t>
      </w:r>
      <w:r>
        <w:t xml:space="preserve">axis of </w:t>
      </w:r>
      <w:r>
        <w:rPr>
          <w:rFonts w:hint="eastAsia"/>
        </w:rPr>
        <w:t>lithium niobate</w:t>
      </w:r>
      <w:r>
        <w:t>. The schematic diagram of</w:t>
      </w:r>
      <w:r>
        <w:rPr>
          <w:rFonts w:hint="eastAsia"/>
        </w:rPr>
        <w:t xml:space="preserve"> Z-propagating case</w:t>
      </w:r>
      <w:r>
        <w:t xml:space="preserve"> is shown in </w:t>
      </w:r>
      <w:r>
        <w:rPr>
          <w:b/>
          <w:bCs/>
        </w:rPr>
        <w:t>Fig</w:t>
      </w:r>
      <w:r>
        <w:rPr>
          <w:rFonts w:hint="eastAsia"/>
          <w:b/>
          <w:bCs/>
        </w:rPr>
        <w:t>. S5</w:t>
      </w:r>
      <w:r>
        <w:rPr>
          <w:b/>
          <w:bCs/>
        </w:rPr>
        <w:t>a</w:t>
      </w:r>
      <w:r>
        <w:t>.</w:t>
      </w:r>
      <w:r>
        <w:rPr>
          <w:rFonts w:hint="eastAsia"/>
        </w:rPr>
        <w:t xml:space="preserve"> </w:t>
      </w:r>
      <w:r>
        <w:t xml:space="preserve">As shown in </w:t>
      </w:r>
      <w:r>
        <w:rPr>
          <w:b/>
          <w:bCs/>
        </w:rPr>
        <w:t>Fig</w:t>
      </w:r>
      <w:r>
        <w:rPr>
          <w:rFonts w:hint="eastAsia"/>
          <w:b/>
          <w:bCs/>
        </w:rPr>
        <w:t>. S5b</w:t>
      </w:r>
      <w:r>
        <w:t>, the measured and fitted insertion losses of TE</w:t>
      </w:r>
      <w:r>
        <w:rPr>
          <w:vertAlign w:val="subscript"/>
        </w:rPr>
        <w:t>0</w:t>
      </w:r>
      <w:r>
        <w:t>, TE</w:t>
      </w:r>
      <w:r>
        <w:rPr>
          <w:vertAlign w:val="subscript"/>
        </w:rPr>
        <w:t>1</w:t>
      </w:r>
      <w:r>
        <w:t>, and TE</w:t>
      </w:r>
      <w:r>
        <w:rPr>
          <w:vertAlign w:val="subscript"/>
        </w:rPr>
        <w:t>2</w:t>
      </w:r>
      <w:r>
        <w:t xml:space="preserve"> modes are 0.</w:t>
      </w:r>
      <w:r>
        <w:rPr>
          <w:rFonts w:hint="eastAsia"/>
        </w:rPr>
        <w:t>21</w:t>
      </w:r>
      <w:r>
        <w:t xml:space="preserve"> dB, 0.3</w:t>
      </w:r>
      <w:r>
        <w:rPr>
          <w:rFonts w:hint="eastAsia"/>
        </w:rPr>
        <w:t>5</w:t>
      </w:r>
      <w:r>
        <w:t xml:space="preserve"> dB, and 0.</w:t>
      </w:r>
      <w:r>
        <w:rPr>
          <w:rFonts w:hint="eastAsia"/>
        </w:rPr>
        <w:t>91</w:t>
      </w:r>
      <w:r>
        <w:t xml:space="preserve"> dB, at the wavelength of 1550 nm. In addition to the ultra-low insertion losses, the fabricated waveguide crossing is also demonstrated to have low inter-modal crosstalk in broadband. As shown in </w:t>
      </w:r>
      <w:r>
        <w:rPr>
          <w:b/>
          <w:bCs/>
        </w:rPr>
        <w:t>Fig</w:t>
      </w:r>
      <w:r>
        <w:rPr>
          <w:rFonts w:hint="eastAsia"/>
          <w:b/>
          <w:bCs/>
        </w:rPr>
        <w:t>. S5c-e</w:t>
      </w:r>
      <w:r>
        <w:t>,</w:t>
      </w:r>
      <w:r>
        <w:rPr>
          <w:rFonts w:hint="eastAsia"/>
        </w:rPr>
        <w:t xml:space="preserve"> the simulated mode crosstalk for </w:t>
      </w:r>
      <w:r>
        <w:t>TE</w:t>
      </w:r>
      <w:r>
        <w:rPr>
          <w:vertAlign w:val="subscript"/>
        </w:rPr>
        <w:t>0</w:t>
      </w:r>
      <w:r>
        <w:t>, TE</w:t>
      </w:r>
      <w:r>
        <w:rPr>
          <w:vertAlign w:val="subscript"/>
        </w:rPr>
        <w:t>1</w:t>
      </w:r>
      <w:r>
        <w:t>, and TE</w:t>
      </w:r>
      <w:r>
        <w:rPr>
          <w:vertAlign w:val="subscript"/>
        </w:rPr>
        <w:t>2</w:t>
      </w:r>
      <w:r>
        <w:t xml:space="preserve"> mode</w:t>
      </w:r>
      <w:r>
        <w:rPr>
          <w:rFonts w:hint="eastAsia"/>
        </w:rPr>
        <w:t xml:space="preserve"> channels is below -17.8 dB, -83.9 dB and -17.3 dB </w:t>
      </w:r>
      <w:r>
        <w:rPr>
          <w:rFonts w:cs="Times New Roman" w:hint="eastAsia"/>
          <w:bCs/>
        </w:rPr>
        <w:t>at a wavelength range from 1530 nm to 1570 nm.</w:t>
      </w:r>
      <w:r>
        <w:t xml:space="preserve"> The corresponding measured results are shown in </w:t>
      </w:r>
      <w:r>
        <w:rPr>
          <w:b/>
          <w:bCs/>
        </w:rPr>
        <w:t>Fig</w:t>
      </w:r>
      <w:r>
        <w:rPr>
          <w:rFonts w:hint="eastAsia"/>
          <w:b/>
          <w:bCs/>
        </w:rPr>
        <w:t>. S5f-h</w:t>
      </w:r>
      <w:r>
        <w:t xml:space="preserve">, where the </w:t>
      </w:r>
      <w:r>
        <w:rPr>
          <w:rFonts w:hint="eastAsia"/>
        </w:rPr>
        <w:t>mode</w:t>
      </w:r>
      <w:r>
        <w:t xml:space="preserve"> crosstalk is lower than -16.</w:t>
      </w:r>
      <w:r>
        <w:rPr>
          <w:rFonts w:hint="eastAsia"/>
        </w:rPr>
        <w:t>7</w:t>
      </w:r>
      <w:r>
        <w:t xml:space="preserve"> dB, -1</w:t>
      </w:r>
      <w:r>
        <w:rPr>
          <w:rFonts w:hint="eastAsia"/>
        </w:rPr>
        <w:t>7.3</w:t>
      </w:r>
      <w:r>
        <w:t xml:space="preserve"> dB and -15.</w:t>
      </w:r>
      <w:r>
        <w:rPr>
          <w:rFonts w:hint="eastAsia"/>
        </w:rPr>
        <w:t>3</w:t>
      </w:r>
      <w:r>
        <w:t xml:space="preserve"> dB for TE</w:t>
      </w:r>
      <w:r>
        <w:rPr>
          <w:vertAlign w:val="subscript"/>
        </w:rPr>
        <w:t>0</w:t>
      </w:r>
      <w:r>
        <w:t>, TE</w:t>
      </w:r>
      <w:r>
        <w:rPr>
          <w:vertAlign w:val="subscript"/>
        </w:rPr>
        <w:t>1</w:t>
      </w:r>
      <w:r>
        <w:t>, and TE</w:t>
      </w:r>
      <w:r>
        <w:rPr>
          <w:vertAlign w:val="subscript"/>
        </w:rPr>
        <w:t>2</w:t>
      </w:r>
      <w:r>
        <w:t xml:space="preserve"> mode channels, respectively. </w:t>
      </w:r>
      <w:r w:rsidR="0093620D">
        <w:rPr>
          <w:rFonts w:hint="eastAsia"/>
        </w:rPr>
        <w:t>Similarly, t</w:t>
      </w:r>
      <w:r>
        <w:t>he crosstalk for TE</w:t>
      </w:r>
      <w:r>
        <w:rPr>
          <w:vertAlign w:val="subscript"/>
        </w:rPr>
        <w:t>1</w:t>
      </w:r>
      <w:r>
        <w:t xml:space="preserve"> mode is limited by the unexpected mode coupling in the auxiliary mode (de)multiplexers.</w:t>
      </w:r>
    </w:p>
    <w:p w14:paraId="669320F0" w14:textId="69483BD1" w:rsidR="00BC0790" w:rsidRDefault="00000000">
      <w:pPr>
        <w:spacing w:before="100" w:beforeAutospacing="1" w:line="360" w:lineRule="auto"/>
        <w:rPr>
          <w:rFonts w:hAnsi="Cambria Math" w:cs="Cambria Math"/>
          <w:b/>
          <w:bCs/>
          <w:i/>
          <w:iCs/>
        </w:rPr>
      </w:pPr>
      <w:r>
        <w:rPr>
          <w:rFonts w:hAnsi="Cambria Math" w:cs="Cambria Math" w:hint="eastAsia"/>
          <w:b/>
          <w:bCs/>
          <w:i/>
          <w:iCs/>
        </w:rPr>
        <w:t>S4.</w:t>
      </w:r>
      <w:r w:rsidR="00FC7D81">
        <w:rPr>
          <w:rFonts w:hAnsi="Cambria Math" w:cs="Cambria Math" w:hint="eastAsia"/>
          <w:b/>
          <w:bCs/>
          <w:i/>
          <w:iCs/>
        </w:rPr>
        <w:t xml:space="preserve"> Inverse</w:t>
      </w:r>
      <w:r>
        <w:rPr>
          <w:rFonts w:hAnsi="Cambria Math" w:cs="Cambria Math" w:hint="eastAsia"/>
          <w:b/>
          <w:bCs/>
          <w:i/>
          <w:iCs/>
        </w:rPr>
        <w:t xml:space="preserve"> Design method</w:t>
      </w:r>
    </w:p>
    <w:p w14:paraId="35637719" w14:textId="77777777" w:rsidR="00BC0790" w:rsidRDefault="00000000">
      <w:pPr>
        <w:spacing w:line="360" w:lineRule="auto"/>
        <w:rPr>
          <w:rFonts w:hAnsi="Cambria Math" w:cs="Cambria Math"/>
        </w:rPr>
      </w:pPr>
      <w:r>
        <w:rPr>
          <w:rFonts w:hAnsi="Cambria Math" w:cs="Cambria Math" w:hint="eastAsia"/>
        </w:rPr>
        <w:t>We</w:t>
      </w:r>
      <w:r>
        <w:rPr>
          <w:rFonts w:hAnsi="Cambria Math" w:cs="Cambria Math"/>
        </w:rPr>
        <w:t xml:space="preserve"> employ gradient optimization based on the adjoint method for inverse design. The algorithm updates the material distribution to maximize the optical figure of merit (FOM) under various constraints, and finally outputs a binar</w:t>
      </w:r>
      <w:r>
        <w:rPr>
          <w:rFonts w:hAnsi="Cambria Math" w:cs="Cambria Math" w:hint="eastAsia"/>
        </w:rPr>
        <w:t>y</w:t>
      </w:r>
      <w:r>
        <w:rPr>
          <w:rFonts w:hAnsi="Cambria Math" w:cs="Cambria Math"/>
        </w:rPr>
        <w:t xml:space="preserve"> structure compatible with </w:t>
      </w:r>
      <w:r>
        <w:rPr>
          <w:rFonts w:hAnsi="Cambria Math" w:cs="Cambria Math" w:hint="eastAsia"/>
        </w:rPr>
        <w:t>fabrication</w:t>
      </w:r>
      <w:r>
        <w:rPr>
          <w:rFonts w:hAnsi="Cambria Math" w:cs="Cambria Math"/>
        </w:rPr>
        <w:t xml:space="preserve">. The </w:t>
      </w:r>
      <w:r>
        <w:rPr>
          <w:rFonts w:hAnsi="Cambria Math" w:cs="Cambria Math" w:hint="eastAsia"/>
        </w:rPr>
        <w:t>main</w:t>
      </w:r>
      <w:r>
        <w:rPr>
          <w:rFonts w:hAnsi="Cambria Math" w:cs="Cambria Math"/>
        </w:rPr>
        <w:t xml:space="preserve"> </w:t>
      </w:r>
      <w:r>
        <w:rPr>
          <w:rFonts w:hAnsi="Cambria Math" w:cs="Cambria Math" w:hint="eastAsia"/>
        </w:rPr>
        <w:t>design</w:t>
      </w:r>
      <w:r>
        <w:rPr>
          <w:rFonts w:hAnsi="Cambria Math" w:cs="Cambria Math"/>
        </w:rPr>
        <w:t xml:space="preserve"> logic is illustrated in </w:t>
      </w:r>
      <w:r>
        <w:rPr>
          <w:rFonts w:hAnsi="Cambria Math" w:cs="Cambria Math"/>
          <w:b/>
          <w:bCs/>
        </w:rPr>
        <w:t>Fig</w:t>
      </w:r>
      <w:r>
        <w:rPr>
          <w:rFonts w:hAnsi="Cambria Math" w:cs="Cambria Math" w:hint="eastAsia"/>
          <w:b/>
          <w:bCs/>
        </w:rPr>
        <w:t>. S6</w:t>
      </w:r>
      <w:r>
        <w:rPr>
          <w:rFonts w:hAnsi="Cambria Math" w:cs="Cambria Math"/>
        </w:rPr>
        <w:t>.</w:t>
      </w:r>
    </w:p>
    <w:p w14:paraId="43DCC0BD" w14:textId="77777777" w:rsidR="00BC0790" w:rsidRDefault="00000000">
      <w:pPr>
        <w:spacing w:beforeLines="50" w:before="163" w:afterLines="50" w:after="163" w:line="360" w:lineRule="auto"/>
        <w:jc w:val="center"/>
        <w:rPr>
          <w:rFonts w:hAnsi="Cambria Math" w:cs="Cambria Math"/>
        </w:rPr>
      </w:pPr>
      <w:r>
        <w:rPr>
          <w:rFonts w:hAnsi="Cambria Math" w:cs="Cambria Math" w:hint="eastAsia"/>
          <w:noProof/>
        </w:rPr>
        <w:drawing>
          <wp:inline distT="0" distB="0" distL="114300" distR="114300" wp14:anchorId="66637D6E" wp14:editId="11CFDD60">
            <wp:extent cx="4274185" cy="4305300"/>
            <wp:effectExtent l="0" t="0" r="5715" b="0"/>
            <wp:docPr id="5" name="图片 5" descr="算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算法流程图"/>
                    <pic:cNvPicPr>
                      <a:picLocks noChangeAspect="1"/>
                    </pic:cNvPicPr>
                  </pic:nvPicPr>
                  <pic:blipFill>
                    <a:blip r:embed="rId15"/>
                    <a:stretch>
                      <a:fillRect/>
                    </a:stretch>
                  </pic:blipFill>
                  <pic:spPr>
                    <a:xfrm>
                      <a:off x="0" y="0"/>
                      <a:ext cx="4274185" cy="4305300"/>
                    </a:xfrm>
                    <a:prstGeom prst="rect">
                      <a:avLst/>
                    </a:prstGeom>
                  </pic:spPr>
                </pic:pic>
              </a:graphicData>
            </a:graphic>
          </wp:inline>
        </w:drawing>
      </w:r>
    </w:p>
    <w:p w14:paraId="06DAF784" w14:textId="77777777" w:rsidR="00BC0790" w:rsidRDefault="00000000">
      <w:pPr>
        <w:spacing w:line="360" w:lineRule="auto"/>
        <w:jc w:val="center"/>
        <w:rPr>
          <w:rFonts w:cs="Times New Roman"/>
          <w:b/>
          <w:bCs/>
          <w:sz w:val="21"/>
          <w:szCs w:val="21"/>
        </w:rPr>
      </w:pPr>
      <w:r>
        <w:rPr>
          <w:rFonts w:cs="Times New Roman" w:hint="eastAsia"/>
          <w:b/>
          <w:bCs/>
          <w:sz w:val="21"/>
          <w:szCs w:val="21"/>
        </w:rPr>
        <w:t>Fig. S6 Main Workflow of Inverse Design Methodology</w:t>
      </w:r>
    </w:p>
    <w:p w14:paraId="1956492A" w14:textId="77777777" w:rsidR="00BC0790" w:rsidRDefault="00000000">
      <w:pPr>
        <w:spacing w:line="360" w:lineRule="auto"/>
        <w:ind w:firstLine="480"/>
        <w:rPr>
          <w:rFonts w:cs="Times New Roman"/>
          <w:color w:val="000000" w:themeColor="text1"/>
        </w:rPr>
      </w:pPr>
      <w:r>
        <w:rPr>
          <w:rFonts w:cs="Times New Roman" w:hint="eastAsia"/>
          <w:color w:val="000000" w:themeColor="text1"/>
        </w:rPr>
        <w:t xml:space="preserve">The optimization process embeds physical constraints through a three-step parameter processing of </w:t>
      </w:r>
      <w:r>
        <w:rPr>
          <w:rFonts w:cs="Times New Roman" w:hint="eastAsia"/>
          <w:color w:val="000000" w:themeColor="text1"/>
        </w:rPr>
        <w:lastRenderedPageBreak/>
        <w:t>design variables.</w:t>
      </w:r>
    </w:p>
    <w:tbl>
      <w:tblPr>
        <w:tblStyle w:val="a8"/>
        <w:tblW w:w="4860" w:type="pc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109"/>
        <w:gridCol w:w="1556"/>
      </w:tblGrid>
      <w:tr w:rsidR="00BC0790" w14:paraId="4D6F52C0" w14:textId="77777777">
        <w:trPr>
          <w:trHeight w:val="90"/>
        </w:trPr>
        <w:tc>
          <w:tcPr>
            <w:tcW w:w="741" w:type="pct"/>
            <w:tcBorders>
              <w:tl2br w:val="nil"/>
              <w:tr2bl w:val="nil"/>
            </w:tcBorders>
            <w:vAlign w:val="center"/>
          </w:tcPr>
          <w:p w14:paraId="1E418B4E" w14:textId="77777777" w:rsidR="00BC0790" w:rsidRDefault="00BC0790">
            <w:pPr>
              <w:spacing w:line="360" w:lineRule="auto"/>
              <w:rPr>
                <w:rFonts w:ascii="Cambria Math" w:hAnsi="Cambria Math" w:cs="Times New Roman"/>
                <w:oMath/>
              </w:rPr>
            </w:pPr>
          </w:p>
        </w:tc>
        <w:tc>
          <w:tcPr>
            <w:tcW w:w="3493" w:type="pct"/>
            <w:tcBorders>
              <w:tl2br w:val="nil"/>
              <w:tr2bl w:val="nil"/>
            </w:tcBorders>
            <w:vAlign w:val="center"/>
          </w:tcPr>
          <w:p w14:paraId="5389E7E8" w14:textId="77777777" w:rsidR="00BC0790" w:rsidRDefault="00000000">
            <w:pPr>
              <w:spacing w:line="360" w:lineRule="auto"/>
              <w:rPr>
                <w:rFonts w:hAnsi="Cambria Math" w:cs="Cambria Math"/>
              </w:rPr>
            </w:pPr>
            <m:oMathPara>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r</m:t>
                        </m:r>
                      </m:sub>
                    </m:sSub>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min</m:t>
                        </m:r>
                      </m:sub>
                    </m:sSub>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max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min</m:t>
                        </m:r>
                      </m:sub>
                    </m:sSub>
                  </m:den>
                </m:f>
              </m:oMath>
            </m:oMathPara>
          </w:p>
        </w:tc>
        <w:tc>
          <w:tcPr>
            <w:tcW w:w="765" w:type="pct"/>
            <w:tcBorders>
              <w:tl2br w:val="nil"/>
              <w:tr2bl w:val="nil"/>
            </w:tcBorders>
            <w:vAlign w:val="center"/>
          </w:tcPr>
          <w:p w14:paraId="6C928E70" w14:textId="77777777" w:rsidR="00BC0790" w:rsidRDefault="00000000">
            <w:pPr>
              <w:spacing w:line="360" w:lineRule="auto"/>
              <w:jc w:val="right"/>
              <w:rPr>
                <w:rFonts w:hAnsi="Cambria Math" w:cs="Cambria Math"/>
              </w:rPr>
            </w:pPr>
            <w:r>
              <w:rPr>
                <w:rFonts w:hAnsi="Cambria Math" w:cs="Cambria Math" w:hint="eastAsia"/>
              </w:rPr>
              <w:t>(1)</w:t>
            </w:r>
          </w:p>
        </w:tc>
      </w:tr>
      <w:tr w:rsidR="00BC0790" w14:paraId="27728944" w14:textId="77777777">
        <w:trPr>
          <w:trHeight w:val="771"/>
        </w:trPr>
        <w:tc>
          <w:tcPr>
            <w:tcW w:w="741" w:type="pct"/>
            <w:tcBorders>
              <w:tl2br w:val="nil"/>
              <w:tr2bl w:val="nil"/>
            </w:tcBorders>
            <w:vAlign w:val="center"/>
          </w:tcPr>
          <w:p w14:paraId="42C67787" w14:textId="77777777" w:rsidR="00BC0790" w:rsidRDefault="00BC0790">
            <w:pPr>
              <w:spacing w:line="360" w:lineRule="auto"/>
              <w:rPr>
                <w:rFonts w:ascii="Cambria Math" w:hAnsi="Cambria Math" w:cs="Times New Roman"/>
                <w:oMath/>
              </w:rPr>
            </w:pPr>
          </w:p>
        </w:tc>
        <w:tc>
          <w:tcPr>
            <w:tcW w:w="3493" w:type="pct"/>
            <w:tcBorders>
              <w:tl2br w:val="nil"/>
              <w:tr2bl w:val="nil"/>
            </w:tcBorders>
            <w:vAlign w:val="center"/>
          </w:tcPr>
          <w:p w14:paraId="52E43F79" w14:textId="77777777" w:rsidR="00BC0790" w:rsidRDefault="00000000">
            <w:pPr>
              <w:spacing w:line="360" w:lineRule="auto"/>
              <w:rPr>
                <w:rFonts w:hAnsi="Cambria Math" w:cs="Cambria Math"/>
              </w:rPr>
            </w:pPr>
            <m:oMathPara>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1</m:t>
                    </m:r>
                  </m:sub>
                </m:sSub>
                <m:r>
                  <w:rPr>
                    <w:rFonts w:ascii="Cambria Math" w:hAnsi="Cambria Math" w:cs="Times New Roman"/>
                  </w:rPr>
                  <m:t>= w(x)*</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oMath>
            </m:oMathPara>
          </w:p>
        </w:tc>
        <w:tc>
          <w:tcPr>
            <w:tcW w:w="765" w:type="pct"/>
            <w:tcBorders>
              <w:tl2br w:val="nil"/>
              <w:tr2bl w:val="nil"/>
            </w:tcBorders>
            <w:vAlign w:val="center"/>
          </w:tcPr>
          <w:p w14:paraId="1963DF19" w14:textId="77777777" w:rsidR="00BC0790" w:rsidRDefault="00000000">
            <w:pPr>
              <w:spacing w:line="360" w:lineRule="auto"/>
              <w:jc w:val="right"/>
              <w:rPr>
                <w:rFonts w:hAnsi="Cambria Math" w:cs="Cambria Math"/>
              </w:rPr>
            </w:pPr>
            <w:r>
              <w:rPr>
                <w:rFonts w:hAnsi="Cambria Math" w:cs="Cambria Math" w:hint="eastAsia"/>
              </w:rPr>
              <w:t>(2)</w:t>
            </w:r>
          </w:p>
        </w:tc>
      </w:tr>
      <w:tr w:rsidR="00BC0790" w14:paraId="12B0137E" w14:textId="77777777">
        <w:trPr>
          <w:trHeight w:val="613"/>
        </w:trPr>
        <w:tc>
          <w:tcPr>
            <w:tcW w:w="741" w:type="pct"/>
            <w:tcBorders>
              <w:tl2br w:val="nil"/>
              <w:tr2bl w:val="nil"/>
            </w:tcBorders>
            <w:vAlign w:val="center"/>
          </w:tcPr>
          <w:p w14:paraId="7008BE9B" w14:textId="77777777" w:rsidR="00BC0790" w:rsidRDefault="00BC0790">
            <w:pPr>
              <w:spacing w:line="360" w:lineRule="auto"/>
              <w:rPr>
                <w:rFonts w:ascii="Cambria Math" w:hAnsi="Cambria Math" w:cs="Times New Roman"/>
                <w:oMath/>
              </w:rPr>
            </w:pPr>
          </w:p>
        </w:tc>
        <w:tc>
          <w:tcPr>
            <w:tcW w:w="3493" w:type="pct"/>
            <w:tcBorders>
              <w:tl2br w:val="nil"/>
              <w:tr2bl w:val="nil"/>
            </w:tcBorders>
            <w:vAlign w:val="center"/>
          </w:tcPr>
          <w:p w14:paraId="1A853666" w14:textId="77777777" w:rsidR="00BC0790" w:rsidRDefault="00000000">
            <w:pPr>
              <w:spacing w:line="360" w:lineRule="auto"/>
              <w:rPr>
                <w:rFonts w:hAnsi="Cambria Math" w:cs="Cambria Math"/>
              </w:rPr>
            </w:pPr>
            <m:oMathPara>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2</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tanh(</m:t>
                    </m:r>
                    <m:r>
                      <m:rPr>
                        <m:sty m:val="p"/>
                      </m:rPr>
                      <w:rPr>
                        <w:rFonts w:ascii="Cambria Math" w:hAnsi="Cambria Math" w:cs="Times New Roman"/>
                      </w:rPr>
                      <m:t>βη</m:t>
                    </m:r>
                    <m:r>
                      <w:rPr>
                        <w:rFonts w:ascii="Cambria Math" w:hAnsi="Cambria Math" w:cs="Times New Roman"/>
                      </w:rPr>
                      <m:t>)+tanh(</m:t>
                    </m:r>
                    <m:r>
                      <m:rPr>
                        <m:sty m:val="p"/>
                      </m:rPr>
                      <w:rPr>
                        <w:rFonts w:ascii="Cambria Math" w:hAnsi="Cambria Math" w:cs="Times New Roman"/>
                      </w:rPr>
                      <m:t>β (</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1</m:t>
                        </m:r>
                      </m:sub>
                    </m:sSub>
                    <m:r>
                      <m:rPr>
                        <m:sty m:val="p"/>
                      </m:rPr>
                      <w:rPr>
                        <w:rFonts w:ascii="Cambria Math" w:hAnsi="Cambria Math" w:cs="Times New Roman"/>
                      </w:rPr>
                      <m:t>- η</m:t>
                    </m:r>
                    <m:r>
                      <w:rPr>
                        <w:rFonts w:ascii="Cambria Math" w:hAnsi="Cambria Math" w:cs="Times New Roman"/>
                      </w:rPr>
                      <m:t>) )</m:t>
                    </m:r>
                  </m:num>
                  <m:den>
                    <m:r>
                      <w:rPr>
                        <w:rFonts w:ascii="Cambria Math" w:hAnsi="Cambria Math" w:cs="Times New Roman"/>
                      </w:rPr>
                      <m:t>tanh(</m:t>
                    </m:r>
                    <m:r>
                      <m:rPr>
                        <m:sty m:val="p"/>
                      </m:rPr>
                      <w:rPr>
                        <w:rFonts w:ascii="Cambria Math" w:hAnsi="Cambria Math" w:cs="Times New Roman"/>
                      </w:rPr>
                      <m:t>βη</m:t>
                    </m:r>
                    <m:r>
                      <w:rPr>
                        <w:rFonts w:ascii="Cambria Math" w:hAnsi="Cambria Math" w:cs="Times New Roman"/>
                      </w:rPr>
                      <m:t>)+tanh(</m:t>
                    </m:r>
                    <m:r>
                      <m:rPr>
                        <m:sty m:val="p"/>
                      </m:rPr>
                      <w:rPr>
                        <w:rFonts w:ascii="Cambria Math" w:hAnsi="Cambria Math" w:cs="Times New Roman"/>
                      </w:rPr>
                      <m:t>β (1- η</m:t>
                    </m:r>
                    <m:r>
                      <w:rPr>
                        <w:rFonts w:ascii="Cambria Math" w:hAnsi="Cambria Math" w:cs="Times New Roman"/>
                      </w:rPr>
                      <m:t>) )</m:t>
                    </m:r>
                  </m:den>
                </m:f>
              </m:oMath>
            </m:oMathPara>
          </w:p>
        </w:tc>
        <w:tc>
          <w:tcPr>
            <w:tcW w:w="765" w:type="pct"/>
            <w:tcBorders>
              <w:tl2br w:val="nil"/>
              <w:tr2bl w:val="nil"/>
            </w:tcBorders>
            <w:vAlign w:val="center"/>
          </w:tcPr>
          <w:p w14:paraId="0384A4BA" w14:textId="77777777" w:rsidR="00BC0790" w:rsidRDefault="00000000">
            <w:pPr>
              <w:spacing w:line="360" w:lineRule="auto"/>
              <w:jc w:val="right"/>
              <w:rPr>
                <w:rFonts w:hAnsi="Cambria Math" w:cs="Cambria Math"/>
              </w:rPr>
            </w:pPr>
            <w:r>
              <w:rPr>
                <w:rFonts w:hAnsi="Cambria Math" w:cs="Cambria Math" w:hint="eastAsia"/>
              </w:rPr>
              <w:t>(3)</w:t>
            </w:r>
          </w:p>
        </w:tc>
      </w:tr>
    </w:tbl>
    <w:p w14:paraId="07E88ACA" w14:textId="77777777" w:rsidR="00BC0790" w:rsidRDefault="00000000">
      <w:pPr>
        <w:spacing w:line="360" w:lineRule="auto"/>
        <w:ind w:firstLine="480"/>
        <w:rPr>
          <w:rFonts w:cs="Times New Roman"/>
        </w:rPr>
      </w:pPr>
      <w:r>
        <w:rPr>
          <w:rFonts w:cs="Times New Roman" w:hint="eastAsia"/>
        </w:rPr>
        <w:t xml:space="preserve">The dielectric constant is first mapped to the [0,1] design space using material normalization formula (1), where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min</m:t>
            </m:r>
          </m:sub>
        </m:sSub>
      </m:oMath>
      <w:r>
        <w:rPr>
          <w:rFonts w:cs="Times New Roman" w:hint="eastAsia"/>
        </w:rPr>
        <w:t xml:space="preserve"> and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max</m:t>
            </m:r>
          </m:sub>
        </m:sSub>
      </m:oMath>
      <w:r>
        <w:rPr>
          <w:rFonts w:cs="Times New Roman" w:hint="eastAsia"/>
        </w:rPr>
        <w:t xml:space="preserve"> represent the dielectric constants of cladding and core materials, respectively. Subsequently, formula (2) with a top-hat convolution kernel </w:t>
      </w:r>
      <m:oMath>
        <m:r>
          <w:rPr>
            <w:rFonts w:ascii="Cambria Math" w:hAnsi="Cambria Math" w:cs="Times New Roman"/>
          </w:rPr>
          <m:t>w(x)</m:t>
        </m:r>
      </m:oMath>
      <w:r>
        <w:rPr>
          <w:rFonts w:cs="Times New Roman" w:hint="eastAsia"/>
        </w:rPr>
        <w:t xml:space="preserve"> smooths the material distribution, eliminating features such as sharp corners, small holes, and isolated structures. The kernel radius determines the minimum feature size. Finally, formula (3) with a Heaviside filter performs the binarization projection, where </w:t>
      </w:r>
      <m:oMath>
        <m:r>
          <m:rPr>
            <m:sty m:val="p"/>
          </m:rPr>
          <w:rPr>
            <w:rFonts w:ascii="Cambria Math" w:hAnsi="Cambria Math" w:cs="Times New Roman"/>
          </w:rPr>
          <m:t xml:space="preserve">β </m:t>
        </m:r>
      </m:oMath>
      <w:r>
        <w:rPr>
          <w:rFonts w:hAnsi="Cambria Math" w:cs="Times New Roman" w:hint="eastAsia"/>
        </w:rPr>
        <w:t xml:space="preserve">is </w:t>
      </w:r>
      <w:r>
        <w:rPr>
          <w:rFonts w:cs="Times New Roman" w:hint="eastAsia"/>
        </w:rPr>
        <w:t xml:space="preserve">the sharpness parameter and </w:t>
      </w:r>
      <m:oMath>
        <m:r>
          <m:rPr>
            <m:sty m:val="p"/>
          </m:rPr>
          <w:rPr>
            <w:rFonts w:ascii="Cambria Math" w:hAnsi="Cambria Math" w:cs="Times New Roman"/>
          </w:rPr>
          <m:t>η</m:t>
        </m:r>
      </m:oMath>
      <w:r>
        <w:rPr>
          <w:rFonts w:hAnsi="Cambria Math" w:cs="Times New Roman" w:hint="eastAsia"/>
        </w:rPr>
        <w:t xml:space="preserve"> is </w:t>
      </w:r>
      <w:r>
        <w:rPr>
          <w:rFonts w:cs="Times New Roman" w:hint="eastAsia"/>
        </w:rPr>
        <w:t xml:space="preserve">design threshold. As the value of </w:t>
      </w:r>
      <m:oMath>
        <m:r>
          <m:rPr>
            <m:sty m:val="p"/>
          </m:rPr>
          <w:rPr>
            <w:rFonts w:ascii="Cambria Math" w:hAnsi="Cambria Math" w:cs="Times New Roman"/>
          </w:rPr>
          <m:t>β</m:t>
        </m:r>
      </m:oMath>
      <w:r>
        <w:rPr>
          <w:rFonts w:hAnsi="Cambria Math" w:cs="Times New Roman" w:hint="eastAsia"/>
        </w:rPr>
        <w:t xml:space="preserve"> </w:t>
      </w:r>
      <w:r>
        <w:rPr>
          <w:rFonts w:cs="Times New Roman" w:hint="eastAsia"/>
        </w:rPr>
        <w:t>gradually increases, a smooth transition from continuous to discrete parameters is achieved, eventually pushing the dielectric constant values in the design region toward extreme values, and forming a binary distribution</w:t>
      </w:r>
      <w:r>
        <w:rPr>
          <w:rFonts w:cs="Times New Roman" w:hint="eastAsia"/>
          <w:color w:val="4874CB" w:themeColor="accent1"/>
          <w:vertAlign w:val="superscript"/>
        </w:rPr>
        <w:t>1</w:t>
      </w:r>
      <w:r>
        <w:rPr>
          <w:rFonts w:cs="Times New Roman" w:hint="eastAsia"/>
        </w:rPr>
        <w:t>.</w:t>
      </w:r>
    </w:p>
    <w:p w14:paraId="7F211BD4" w14:textId="77777777" w:rsidR="00BC0790" w:rsidRDefault="00000000">
      <w:pPr>
        <w:spacing w:line="360" w:lineRule="auto"/>
        <w:ind w:firstLine="480"/>
        <w:rPr>
          <w:rFonts w:hAnsi="Cambria Math" w:cs="Cambria Math"/>
        </w:rPr>
      </w:pPr>
      <w:r>
        <w:rPr>
          <w:rFonts w:hAnsi="Cambria Math" w:cs="Cambria Math" w:hint="eastAsia"/>
          <w:color w:val="000000" w:themeColor="text1"/>
        </w:rPr>
        <w:t xml:space="preserve">During the design process, </w:t>
      </w:r>
      <w:r>
        <w:rPr>
          <w:rFonts w:hAnsi="Cambria Math" w:cs="Cambria Math" w:hint="eastAsia"/>
        </w:rPr>
        <w:t xml:space="preserve">the device performance is quantitatively evaluated using the broadband optical figure of merit (FOM) formula (7): </w:t>
      </w:r>
    </w:p>
    <w:tbl>
      <w:tblPr>
        <w:tblStyle w:val="a8"/>
        <w:tblW w:w="4861" w:type="pc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110"/>
        <w:gridCol w:w="1557"/>
      </w:tblGrid>
      <w:tr w:rsidR="00BC0790" w14:paraId="6A1B19FE" w14:textId="77777777">
        <w:trPr>
          <w:trHeight w:val="90"/>
        </w:trPr>
        <w:tc>
          <w:tcPr>
            <w:tcW w:w="741" w:type="pct"/>
            <w:tcBorders>
              <w:tl2br w:val="nil"/>
              <w:tr2bl w:val="nil"/>
            </w:tcBorders>
            <w:vAlign w:val="center"/>
          </w:tcPr>
          <w:p w14:paraId="343599EA" w14:textId="77777777" w:rsidR="00BC0790" w:rsidRDefault="00BC0790">
            <w:pPr>
              <w:spacing w:line="360" w:lineRule="auto"/>
              <w:rPr>
                <w:rFonts w:hAnsi="Cambria Math" w:cs="Cambria Math"/>
              </w:rPr>
            </w:pPr>
          </w:p>
        </w:tc>
        <w:tc>
          <w:tcPr>
            <w:tcW w:w="3493" w:type="pct"/>
            <w:tcBorders>
              <w:tl2br w:val="nil"/>
              <w:tr2bl w:val="nil"/>
            </w:tcBorders>
            <w:vAlign w:val="center"/>
          </w:tcPr>
          <w:p w14:paraId="075E7044" w14:textId="77777777" w:rsidR="00BC0790" w:rsidRDefault="00000000">
            <w:pPr>
              <w:spacing w:line="360" w:lineRule="auto"/>
              <w:rPr>
                <w:rFonts w:hAnsi="Cambria Math" w:cs="Cambria Math"/>
              </w:rPr>
            </w:pPr>
            <m:oMathPara>
              <m:oMath>
                <m:r>
                  <m:rPr>
                    <m:sty m:val="p"/>
                  </m:rPr>
                  <w:rPr>
                    <w:rFonts w:ascii="Cambria Math" w:hAnsi="Cambria Math" w:cs="Cambria Math"/>
                  </w:rPr>
                  <m:t>FOM =</m:t>
                </m:r>
                <m:sSup>
                  <m:sSupPr>
                    <m:ctrlPr>
                      <w:rPr>
                        <w:rFonts w:ascii="Cambria Math" w:hAnsi="Cambria Math" w:cs="Cambria Math"/>
                      </w:rPr>
                    </m:ctrlPr>
                  </m:sSupPr>
                  <m:e>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1</m:t>
                        </m:r>
                      </m:num>
                      <m:den>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2</m:t>
                            </m:r>
                          </m:sub>
                        </m:sSub>
                        <m:r>
                          <m:rPr>
                            <m:sty m:val="b"/>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1</m:t>
                            </m:r>
                          </m:sub>
                        </m:sSub>
                      </m:den>
                    </m:f>
                    <m:nary>
                      <m:naryPr>
                        <m:limLoc m:val="subSup"/>
                        <m:ctrlPr>
                          <w:rPr>
                            <w:rFonts w:ascii="Cambria Math" w:hAnsi="Cambria Math" w:cs="Cambria Math"/>
                          </w:rPr>
                        </m:ctrlPr>
                      </m:naryPr>
                      <m:sub>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1</m:t>
                            </m:r>
                          </m:sub>
                        </m:sSub>
                      </m:sub>
                      <m:sup>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2</m:t>
                            </m:r>
                          </m:sub>
                        </m:sSub>
                      </m:sup>
                      <m:e>
                        <m:sSup>
                          <m:sSupPr>
                            <m:ctrlPr>
                              <w:rPr>
                                <w:rFonts w:ascii="Cambria Math" w:hAnsi="Cambria Math" w:cs="Cambria Math"/>
                              </w:rPr>
                            </m:ctrlPr>
                          </m:sSupPr>
                          <m:e>
                            <m:r>
                              <m:rPr>
                                <m:sty m:val="b"/>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T</m:t>
                                </m:r>
                              </m:e>
                              <m:sub>
                                <m:r>
                                  <m:rPr>
                                    <m:sty m:val="p"/>
                                  </m:rPr>
                                  <w:rPr>
                                    <w:rFonts w:ascii="Cambria Math" w:hAnsi="Cambria Math" w:cs="Cambria Math"/>
                                  </w:rPr>
                                  <m:t>0</m:t>
                                </m:r>
                              </m:sub>
                            </m:sSub>
                            <m:r>
                              <m:rPr>
                                <m:sty m:val="p"/>
                              </m:rPr>
                              <w:rPr>
                                <w:rFonts w:ascii="Cambria Math" w:hAnsi="Cambria Math" w:cs="Cambria Math"/>
                              </w:rPr>
                              <m:t>(λ)</m:t>
                            </m:r>
                            <m:r>
                              <m:rPr>
                                <m:sty m:val="b"/>
                              </m:rPr>
                              <w:rPr>
                                <w:rFonts w:ascii="Cambria Math" w:hAnsi="Cambria Math" w:cs="Cambria Math"/>
                              </w:rPr>
                              <m:t>|</m:t>
                            </m:r>
                          </m:e>
                          <m:sup>
                            <m:r>
                              <m:rPr>
                                <m:sty m:val="p"/>
                              </m:rPr>
                              <w:rPr>
                                <w:rFonts w:ascii="Cambria Math" w:hAnsi="Cambria Math" w:cs="Cambria Math"/>
                              </w:rPr>
                              <m:t>p</m:t>
                            </m:r>
                          </m:sup>
                        </m:sSup>
                      </m:e>
                    </m:nary>
                    <m:r>
                      <m:rPr>
                        <m:sty m:val="p"/>
                      </m:rPr>
                      <w:rPr>
                        <w:rFonts w:ascii="Cambria Math" w:hAnsi="Cambria Math" w:cs="Cambria Math"/>
                      </w:rPr>
                      <m:t>dλ)</m:t>
                    </m:r>
                  </m:e>
                  <m:sup>
                    <m:r>
                      <m:rPr>
                        <m:sty m:val="p"/>
                      </m:rPr>
                      <w:rPr>
                        <w:rFonts w:ascii="Cambria Math" w:hAnsi="Cambria Math" w:cs="Cambria Math"/>
                      </w:rPr>
                      <m:t>1/p</m:t>
                    </m:r>
                  </m:sup>
                </m:sSup>
                <m:r>
                  <m:rPr>
                    <m:sty m:val="p"/>
                  </m:rPr>
                  <w:rPr>
                    <w:rFonts w:ascii="Cambria Math" w:hAnsi="Cambria Math" w:cs="Cambria Math"/>
                  </w:rPr>
                  <m:t>-</m:t>
                </m:r>
                <m:sSup>
                  <m:sSupPr>
                    <m:ctrlPr>
                      <w:rPr>
                        <w:rFonts w:ascii="Cambria Math" w:hAnsi="Cambria Math" w:cs="Cambria Math"/>
                      </w:rPr>
                    </m:ctrlPr>
                  </m:sSupPr>
                  <m:e>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1</m:t>
                        </m:r>
                      </m:num>
                      <m:den>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2</m:t>
                            </m:r>
                          </m:sub>
                        </m:sSub>
                        <m:r>
                          <m:rPr>
                            <m:sty m:val="b"/>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1</m:t>
                            </m:r>
                          </m:sub>
                        </m:sSub>
                      </m:den>
                    </m:f>
                    <m:nary>
                      <m:naryPr>
                        <m:limLoc m:val="subSup"/>
                        <m:ctrlPr>
                          <w:rPr>
                            <w:rFonts w:ascii="Cambria Math" w:hAnsi="Cambria Math" w:cs="Cambria Math"/>
                          </w:rPr>
                        </m:ctrlPr>
                      </m:naryPr>
                      <m:sub>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1</m:t>
                            </m:r>
                          </m:sub>
                        </m:sSub>
                      </m:sub>
                      <m:sup>
                        <m:sSub>
                          <m:sSubPr>
                            <m:ctrlPr>
                              <w:rPr>
                                <w:rFonts w:ascii="Cambria Math" w:hAnsi="Cambria Math" w:cs="Cambria Math"/>
                              </w:rPr>
                            </m:ctrlPr>
                          </m:sSubPr>
                          <m:e>
                            <m:r>
                              <m:rPr>
                                <m:sty m:val="p"/>
                              </m:rPr>
                              <w:rPr>
                                <w:rFonts w:ascii="Cambria Math" w:hAnsi="Cambria Math" w:cs="Cambria Math"/>
                              </w:rPr>
                              <m:t>λ</m:t>
                            </m:r>
                          </m:e>
                          <m:sub>
                            <m:r>
                              <m:rPr>
                                <m:sty m:val="p"/>
                              </m:rPr>
                              <w:rPr>
                                <w:rFonts w:ascii="Cambria Math" w:hAnsi="Cambria Math" w:cs="Cambria Math"/>
                              </w:rPr>
                              <m:t>2</m:t>
                            </m:r>
                          </m:sub>
                        </m:sSub>
                      </m:sup>
                      <m:e>
                        <m:sSup>
                          <m:sSupPr>
                            <m:ctrlPr>
                              <w:rPr>
                                <w:rFonts w:ascii="Cambria Math" w:hAnsi="Cambria Math" w:cs="Cambria Math"/>
                              </w:rPr>
                            </m:ctrlPr>
                          </m:sSupPr>
                          <m:e>
                            <m:r>
                              <m:rPr>
                                <m:sty m:val="b"/>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T(λ)-T</m:t>
                                </m:r>
                              </m:e>
                              <m:sub>
                                <m:r>
                                  <m:rPr>
                                    <m:sty m:val="p"/>
                                  </m:rPr>
                                  <w:rPr>
                                    <w:rFonts w:ascii="Cambria Math" w:hAnsi="Cambria Math" w:cs="Cambria Math"/>
                                  </w:rPr>
                                  <m:t>0</m:t>
                                </m:r>
                              </m:sub>
                            </m:sSub>
                            <m:r>
                              <m:rPr>
                                <m:sty m:val="p"/>
                              </m:rPr>
                              <w:rPr>
                                <w:rFonts w:ascii="Cambria Math" w:hAnsi="Cambria Math" w:cs="Cambria Math"/>
                              </w:rPr>
                              <m:t>(λ)</m:t>
                            </m:r>
                            <m:r>
                              <m:rPr>
                                <m:sty m:val="b"/>
                              </m:rPr>
                              <w:rPr>
                                <w:rFonts w:ascii="Cambria Math" w:hAnsi="Cambria Math" w:cs="Cambria Math"/>
                              </w:rPr>
                              <m:t>|</m:t>
                            </m:r>
                          </m:e>
                          <m:sup>
                            <m:r>
                              <m:rPr>
                                <m:sty m:val="p"/>
                              </m:rPr>
                              <w:rPr>
                                <w:rFonts w:ascii="Cambria Math" w:hAnsi="Cambria Math" w:cs="Cambria Math"/>
                              </w:rPr>
                              <m:t>p</m:t>
                            </m:r>
                          </m:sup>
                        </m:sSup>
                      </m:e>
                    </m:nary>
                    <m:r>
                      <m:rPr>
                        <m:sty m:val="p"/>
                      </m:rPr>
                      <w:rPr>
                        <w:rFonts w:ascii="Cambria Math" w:hAnsi="Cambria Math" w:cs="Cambria Math"/>
                      </w:rPr>
                      <m:t>dλ)</m:t>
                    </m:r>
                  </m:e>
                  <m:sup>
                    <m:r>
                      <m:rPr>
                        <m:sty m:val="p"/>
                      </m:rPr>
                      <w:rPr>
                        <w:rFonts w:ascii="Cambria Math" w:hAnsi="Cambria Math" w:cs="Cambria Math"/>
                      </w:rPr>
                      <m:t>1/p</m:t>
                    </m:r>
                  </m:sup>
                </m:sSup>
              </m:oMath>
            </m:oMathPara>
          </w:p>
        </w:tc>
        <w:tc>
          <w:tcPr>
            <w:tcW w:w="765" w:type="pct"/>
            <w:tcBorders>
              <w:tl2br w:val="nil"/>
              <w:tr2bl w:val="nil"/>
            </w:tcBorders>
            <w:vAlign w:val="bottom"/>
          </w:tcPr>
          <w:p w14:paraId="4D059467" w14:textId="77777777" w:rsidR="00BC0790" w:rsidRDefault="00000000">
            <w:pPr>
              <w:spacing w:line="360" w:lineRule="auto"/>
              <w:jc w:val="right"/>
              <w:rPr>
                <w:rFonts w:hAnsi="Cambria Math" w:cs="Cambria Math"/>
              </w:rPr>
            </w:pPr>
            <w:r>
              <w:rPr>
                <w:rFonts w:hAnsi="Cambria Math" w:cs="Cambria Math" w:hint="eastAsia"/>
              </w:rPr>
              <w:t>(7)</w:t>
            </w:r>
          </w:p>
        </w:tc>
      </w:tr>
    </w:tbl>
    <w:p w14:paraId="2CC118AA" w14:textId="77777777" w:rsidR="00BC0790" w:rsidRDefault="00000000">
      <w:pPr>
        <w:spacing w:line="360" w:lineRule="auto"/>
        <w:rPr>
          <w:rFonts w:hAnsi="Cambria Math" w:cs="Cambria Math"/>
        </w:rPr>
      </w:pPr>
      <w:r>
        <w:rPr>
          <w:rFonts w:hAnsi="Cambria Math" w:cs="Cambria Math" w:hint="eastAsia"/>
        </w:rPr>
        <w:t>where</w:t>
      </w:r>
      <m:oMath>
        <m:sSub>
          <m:sSubPr>
            <m:ctrlPr>
              <w:rPr>
                <w:rFonts w:ascii="Cambria Math" w:hAnsi="Cambria Math" w:cs="Cambria Math"/>
              </w:rPr>
            </m:ctrlPr>
          </m:sSubPr>
          <m:e>
            <m:r>
              <m:rPr>
                <m:sty m:val="p"/>
              </m:rPr>
              <w:rPr>
                <w:rFonts w:ascii="Cambria Math" w:hAnsi="Cambria Math" w:cs="Cambria Math"/>
              </w:rPr>
              <m:t xml:space="preserve"> T</m:t>
            </m:r>
          </m:e>
          <m:sub>
            <m:r>
              <m:rPr>
                <m:sty m:val="p"/>
              </m:rPr>
              <w:rPr>
                <w:rFonts w:ascii="Cambria Math" w:hAnsi="Cambria Math" w:cs="Cambria Math"/>
              </w:rPr>
              <m:t>0</m:t>
            </m:r>
          </m:sub>
        </m:sSub>
        <m:r>
          <m:rPr>
            <m:sty m:val="p"/>
          </m:rPr>
          <w:rPr>
            <w:rFonts w:ascii="Cambria Math" w:hAnsi="Cambria Math" w:cs="Cambria Math"/>
          </w:rPr>
          <m:t>(λ</m:t>
        </m:r>
      </m:oMath>
      <w:r>
        <w:rPr>
          <w:rFonts w:hAnsi="Cambria Math" w:cs="Cambria Math" w:hint="eastAsia"/>
        </w:rPr>
        <w:t xml:space="preserve">) is the target forward transmission of light at wavelength </w:t>
      </w:r>
      <m:oMath>
        <m:r>
          <m:rPr>
            <m:sty m:val="p"/>
          </m:rPr>
          <w:rPr>
            <w:rFonts w:ascii="Cambria Math" w:hAnsi="Cambria Math" w:cs="Cambria Math"/>
          </w:rPr>
          <m:t xml:space="preserve">λ </m:t>
        </m:r>
      </m:oMath>
      <w:r>
        <w:rPr>
          <w:rFonts w:hAnsi="Cambria Math" w:cs="Cambria Math" w:hint="eastAsia"/>
        </w:rPr>
        <w:t xml:space="preserve">, while </w:t>
      </w:r>
      <m:oMath>
        <m:r>
          <m:rPr>
            <m:sty m:val="p"/>
          </m:rPr>
          <w:rPr>
            <w:rFonts w:ascii="Cambria Math" w:hAnsi="Cambria Math" w:cs="Cambria Math"/>
          </w:rPr>
          <m:t>T(λ)</m:t>
        </m:r>
      </m:oMath>
      <w:r>
        <w:rPr>
          <w:rFonts w:hAnsi="Cambria Math" w:cs="Cambria Math" w:hint="eastAsia"/>
        </w:rPr>
        <w:t xml:space="preserve"> is the actual forward transmission; and p is the generalized norm value. The update of the FOM is achieved via the adjoint method and gradient formula (8):</w:t>
      </w:r>
    </w:p>
    <w:tbl>
      <w:tblPr>
        <w:tblStyle w:val="a8"/>
        <w:tblW w:w="4859" w:type="pc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7108"/>
        <w:gridCol w:w="1557"/>
      </w:tblGrid>
      <w:tr w:rsidR="00BC0790" w14:paraId="4EE82133" w14:textId="77777777">
        <w:trPr>
          <w:trHeight w:val="90"/>
        </w:trPr>
        <w:tc>
          <w:tcPr>
            <w:tcW w:w="740" w:type="pct"/>
            <w:tcBorders>
              <w:tl2br w:val="nil"/>
              <w:tr2bl w:val="nil"/>
            </w:tcBorders>
            <w:vAlign w:val="center"/>
          </w:tcPr>
          <w:p w14:paraId="06DC011C" w14:textId="77777777" w:rsidR="00BC0790" w:rsidRDefault="00BC0790">
            <w:pPr>
              <w:spacing w:line="360" w:lineRule="auto"/>
              <w:rPr>
                <w:rFonts w:hAnsi="Cambria Math" w:cs="Cambria Math"/>
              </w:rPr>
            </w:pPr>
          </w:p>
        </w:tc>
        <w:tc>
          <w:tcPr>
            <w:tcW w:w="3493" w:type="pct"/>
            <w:tcBorders>
              <w:tl2br w:val="nil"/>
              <w:tr2bl w:val="nil"/>
            </w:tcBorders>
            <w:vAlign w:val="center"/>
          </w:tcPr>
          <w:p w14:paraId="4123505C" w14:textId="77777777" w:rsidR="00BC0790" w:rsidRDefault="00000000">
            <w:pPr>
              <w:spacing w:line="360" w:lineRule="auto"/>
              <w:rPr>
                <w:rFonts w:ascii="Cambria Math" w:hAnsi="Cambria Math" w:cs="Cambria Math"/>
                <w:oMath/>
              </w:rPr>
            </w:pPr>
            <m:oMathPara>
              <m:oMath>
                <m:f>
                  <m:fPr>
                    <m:ctrlPr>
                      <w:rPr>
                        <w:rFonts w:ascii="Cambria Math" w:hAnsi="Cambria Math" w:cs="Cambria Math"/>
                      </w:rPr>
                    </m:ctrlPr>
                  </m:fPr>
                  <m:num>
                    <m:r>
                      <m:rPr>
                        <m:sty m:val="p"/>
                      </m:rPr>
                      <w:rPr>
                        <w:rFonts w:ascii="Cambria Math" w:hAnsi="Cambria Math" w:cs="Cambria Math"/>
                      </w:rPr>
                      <m:t>∂FOM</m:t>
                    </m:r>
                  </m:num>
                  <m:den>
                    <m:r>
                      <m:rPr>
                        <m:sty m:val="p"/>
                      </m:rPr>
                      <w:rPr>
                        <w:rFonts w:ascii="Cambria Math" w:hAnsi="Cambria Math" w:cs="Cambria Math"/>
                      </w:rPr>
                      <m:t>∂ρ</m:t>
                    </m:r>
                  </m:den>
                </m:f>
                <m:r>
                  <m:rPr>
                    <m:sty m:val="p"/>
                  </m:rPr>
                  <w:rPr>
                    <w:rFonts w:ascii="Cambria Math" w:hAnsi="Cambria Math" w:cs="Cambria Math"/>
                  </w:rPr>
                  <m:t xml:space="preserve">= </m:t>
                </m:r>
                <m:sSup>
                  <m:sSupPr>
                    <m:ctrlPr>
                      <w:rPr>
                        <w:rFonts w:ascii="Cambria Math" w:hAnsi="Cambria Math" w:cs="Cambria Math"/>
                      </w:rPr>
                    </m:ctrlPr>
                  </m:sSupPr>
                  <m:e>
                    <m:r>
                      <m:rPr>
                        <m:sty m:val="p"/>
                      </m:rPr>
                      <w:rPr>
                        <w:rFonts w:ascii="Cambria Math" w:hAnsi="Cambria Math" w:cs="Cambria Math"/>
                      </w:rPr>
                      <m:t>V</m:t>
                    </m:r>
                  </m:e>
                  <m:sup>
                    <m:r>
                      <m:rPr>
                        <m:sty m:val="p"/>
                      </m:rPr>
                      <w:rPr>
                        <w:rFonts w:ascii="Cambria Math" w:hAnsi="Cambria Math" w:cs="Cambria Math"/>
                      </w:rPr>
                      <m:t>T</m:t>
                    </m:r>
                  </m:sup>
                </m:sSup>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m:t>
                    </m:r>
                    <m:r>
                      <m:rPr>
                        <m:sty m:val="p"/>
                      </m:rPr>
                      <w:rPr>
                        <w:rFonts w:ascii="Cambria Math" w:hAnsi="Cambria Math" w:cs="Cambria Math" w:hint="eastAsia"/>
                      </w:rPr>
                      <m:t>b</m:t>
                    </m:r>
                  </m:num>
                  <m:den>
                    <m:r>
                      <m:rPr>
                        <m:sty m:val="p"/>
                      </m:rPr>
                      <w:rPr>
                        <w:rFonts w:ascii="Cambria Math" w:hAnsi="Cambria Math" w:cs="Cambria Math"/>
                      </w:rPr>
                      <m:t>∂ρ</m:t>
                    </m:r>
                  </m:den>
                </m:f>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∂A</m:t>
                    </m:r>
                  </m:num>
                  <m:den>
                    <m:r>
                      <m:rPr>
                        <m:sty m:val="p"/>
                      </m:rPr>
                      <w:rPr>
                        <w:rFonts w:ascii="Cambria Math" w:hAnsi="Cambria Math" w:cs="Cambria Math"/>
                      </w:rPr>
                      <m:t>∂ρ</m:t>
                    </m:r>
                  </m:den>
                </m:f>
                <m:r>
                  <m:rPr>
                    <m:sty m:val="p"/>
                  </m:rPr>
                  <w:rPr>
                    <w:rFonts w:ascii="Cambria Math" w:hAnsi="Cambria Math" w:cs="Cambria Math"/>
                  </w:rPr>
                  <m:t>E)</m:t>
                </m:r>
              </m:oMath>
            </m:oMathPara>
          </w:p>
        </w:tc>
        <w:tc>
          <w:tcPr>
            <w:tcW w:w="765" w:type="pct"/>
            <w:tcBorders>
              <w:tl2br w:val="nil"/>
              <w:tr2bl w:val="nil"/>
            </w:tcBorders>
            <w:vAlign w:val="center"/>
          </w:tcPr>
          <w:p w14:paraId="02CEB450" w14:textId="77777777" w:rsidR="00BC0790" w:rsidRDefault="00000000">
            <w:pPr>
              <w:spacing w:line="360" w:lineRule="auto"/>
              <w:jc w:val="right"/>
              <w:rPr>
                <w:rFonts w:hAnsi="Cambria Math" w:cs="Cambria Math"/>
              </w:rPr>
            </w:pPr>
            <w:r>
              <w:rPr>
                <w:rFonts w:hAnsi="Cambria Math" w:cs="Cambria Math" w:hint="eastAsia"/>
              </w:rPr>
              <w:t>(8)</w:t>
            </w:r>
          </w:p>
        </w:tc>
      </w:tr>
    </w:tbl>
    <w:p w14:paraId="3A4E8DF4" w14:textId="5E5E8391" w:rsidR="00BC0790" w:rsidRDefault="00000000">
      <w:pPr>
        <w:spacing w:line="360" w:lineRule="auto"/>
        <w:rPr>
          <w:rFonts w:hAnsi="Cambria Math" w:cs="Cambria Math"/>
        </w:rPr>
      </w:pPr>
      <w:r>
        <w:rPr>
          <w:rFonts w:hAnsi="Cambria Math" w:cs="Cambria Math" w:hint="eastAsia"/>
        </w:rPr>
        <w:t>where b denotes the input vector field, A is the stiffness matrix of the discretized Maxwell's equations, and V is the sensitivity of the FOM to the electric field. The adjoint field V is obtained through a single additional solve (9)</w:t>
      </w:r>
      <w:r w:rsidR="00B95090" w:rsidRPr="00B95090">
        <w:rPr>
          <w:rFonts w:hAnsi="Cambria Math" w:cs="Cambria Math" w:hint="eastAsia"/>
          <w:color w:val="4874CB" w:themeColor="accent1"/>
          <w:vertAlign w:val="superscript"/>
        </w:rPr>
        <w:t>2,3</w:t>
      </w:r>
      <w:r>
        <w:rPr>
          <w:rFonts w:hAnsi="Cambria Math" w:cs="Cambria Math" w:hint="eastAsia"/>
        </w:rPr>
        <w:t>:</w:t>
      </w:r>
    </w:p>
    <w:tbl>
      <w:tblPr>
        <w:tblStyle w:val="a8"/>
        <w:tblW w:w="4860" w:type="pc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109"/>
        <w:gridCol w:w="1556"/>
      </w:tblGrid>
      <w:tr w:rsidR="00BC0790" w14:paraId="191EAA34" w14:textId="77777777">
        <w:trPr>
          <w:trHeight w:val="90"/>
        </w:trPr>
        <w:tc>
          <w:tcPr>
            <w:tcW w:w="741" w:type="pct"/>
            <w:tcBorders>
              <w:tl2br w:val="nil"/>
              <w:tr2bl w:val="nil"/>
            </w:tcBorders>
            <w:vAlign w:val="center"/>
          </w:tcPr>
          <w:p w14:paraId="72A88DBF" w14:textId="77777777" w:rsidR="00BC0790" w:rsidRDefault="00BC0790">
            <w:pPr>
              <w:spacing w:line="360" w:lineRule="auto"/>
              <w:rPr>
                <w:rFonts w:hAnsi="Cambria Math" w:cs="Cambria Math"/>
              </w:rPr>
            </w:pPr>
          </w:p>
        </w:tc>
        <w:tc>
          <w:tcPr>
            <w:tcW w:w="3493" w:type="pct"/>
            <w:tcBorders>
              <w:tl2br w:val="nil"/>
              <w:tr2bl w:val="nil"/>
            </w:tcBorders>
            <w:vAlign w:val="center"/>
          </w:tcPr>
          <w:p w14:paraId="4752DCDC" w14:textId="77777777" w:rsidR="00BC0790" w:rsidRDefault="00000000">
            <w:pPr>
              <w:spacing w:line="360" w:lineRule="auto"/>
              <w:rPr>
                <w:rFonts w:ascii="Cambria Math" w:hAnsi="Cambria Math" w:cs="Cambria Math"/>
                <w:oMath/>
              </w:rPr>
            </w:pPr>
            <m:oMathPara>
              <m:oMath>
                <m:sSup>
                  <m:sSupPr>
                    <m:ctrlPr>
                      <w:rPr>
                        <w:rFonts w:ascii="Cambria Math" w:hAnsi="Cambria Math" w:cs="Cambria Math"/>
                      </w:rPr>
                    </m:ctrlPr>
                  </m:sSupPr>
                  <m:e>
                    <m:r>
                      <m:rPr>
                        <m:sty m:val="p"/>
                      </m:rPr>
                      <w:rPr>
                        <w:rFonts w:ascii="Cambria Math" w:hAnsi="Cambria Math" w:cs="Cambria Math"/>
                      </w:rPr>
                      <m:t>A</m:t>
                    </m:r>
                  </m:e>
                  <m:sup>
                    <m:r>
                      <m:rPr>
                        <m:sty m:val="p"/>
                      </m:rPr>
                      <w:rPr>
                        <w:rFonts w:ascii="Cambria Math" w:hAnsi="Cambria Math" w:cs="Cambria Math"/>
                      </w:rPr>
                      <m:t>T</m:t>
                    </m:r>
                  </m:sup>
                </m:sSup>
                <m:r>
                  <m:rPr>
                    <m:sty m:val="p"/>
                  </m:rPr>
                  <w:rPr>
                    <w:rFonts w:ascii="Cambria Math" w:hAnsi="Cambria Math" w:cs="Cambria Math"/>
                  </w:rPr>
                  <m:t>V=</m:t>
                </m:r>
                <m:sSup>
                  <m:sSupPr>
                    <m:ctrlPr>
                      <w:rPr>
                        <w:rFonts w:ascii="Cambria Math" w:hAnsi="Cambria Math" w:cs="Cambria Math"/>
                      </w:rPr>
                    </m:ctrlPr>
                  </m:sSupPr>
                  <m:e>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∂FOM</m:t>
                        </m:r>
                      </m:num>
                      <m:den>
                        <m:r>
                          <m:rPr>
                            <m:sty m:val="p"/>
                          </m:rPr>
                          <w:rPr>
                            <w:rFonts w:ascii="Cambria Math" w:hAnsi="Cambria Math" w:cs="Cambria Math"/>
                          </w:rPr>
                          <m:t>∂E</m:t>
                        </m:r>
                      </m:den>
                    </m:f>
                    <m:r>
                      <m:rPr>
                        <m:sty m:val="p"/>
                      </m:rPr>
                      <w:rPr>
                        <w:rFonts w:ascii="Cambria Math" w:hAnsi="Cambria Math" w:cs="Cambria Math"/>
                      </w:rPr>
                      <m:t>)</m:t>
                    </m:r>
                  </m:e>
                  <m:sup>
                    <m:r>
                      <m:rPr>
                        <m:sty m:val="p"/>
                      </m:rPr>
                      <w:rPr>
                        <w:rFonts w:ascii="Cambria Math" w:hAnsi="Cambria Math" w:cs="Cambria Math"/>
                      </w:rPr>
                      <m:t>T</m:t>
                    </m:r>
                  </m:sup>
                </m:sSup>
              </m:oMath>
            </m:oMathPara>
          </w:p>
        </w:tc>
        <w:tc>
          <w:tcPr>
            <w:tcW w:w="765" w:type="pct"/>
            <w:tcBorders>
              <w:tl2br w:val="nil"/>
              <w:tr2bl w:val="nil"/>
            </w:tcBorders>
            <w:vAlign w:val="center"/>
          </w:tcPr>
          <w:p w14:paraId="50EFC328" w14:textId="77777777" w:rsidR="00BC0790" w:rsidRDefault="00000000">
            <w:pPr>
              <w:spacing w:line="360" w:lineRule="auto"/>
              <w:jc w:val="right"/>
              <w:rPr>
                <w:rFonts w:hAnsi="Cambria Math" w:cs="Cambria Math"/>
              </w:rPr>
            </w:pPr>
            <w:r>
              <w:rPr>
                <w:rFonts w:hAnsi="Cambria Math" w:cs="Cambria Math" w:hint="eastAsia"/>
              </w:rPr>
              <w:t>(9)</w:t>
            </w:r>
          </w:p>
        </w:tc>
      </w:tr>
    </w:tbl>
    <w:p w14:paraId="48744A1B" w14:textId="77777777" w:rsidR="00BC0790" w:rsidRDefault="00000000">
      <w:pPr>
        <w:spacing w:line="360" w:lineRule="auto"/>
        <w:ind w:firstLine="480"/>
        <w:rPr>
          <w:rFonts w:hAnsi="Cambria Math" w:cs="Cambria Math"/>
        </w:rPr>
      </w:pPr>
      <w:r>
        <w:rPr>
          <w:rFonts w:hAnsi="Cambria Math" w:cs="Cambria Math" w:hint="eastAsia"/>
        </w:rPr>
        <w:t xml:space="preserve">Finally, the limited-memory quasi-Newton method (L-BFGS-B) is utilized to update design variables </w:t>
      </w:r>
      <m:oMath>
        <m:sSup>
          <m:sSupPr>
            <m:ctrlPr>
              <w:rPr>
                <w:rFonts w:ascii="Cambria Math" w:hAnsi="Cambria Math" w:cs="Cambria Math"/>
                <w:i/>
              </w:rPr>
            </m:ctrlPr>
          </m:sSupPr>
          <m:e>
            <m:r>
              <w:rPr>
                <w:rFonts w:ascii="Cambria Math" w:hAnsi="Cambria Math" w:cs="Cambria Math"/>
              </w:rPr>
              <m:t>ρ</m:t>
            </m:r>
          </m:e>
          <m:sup>
            <m:r>
              <w:rPr>
                <w:rFonts w:ascii="Cambria Math" w:hAnsi="Cambria Math" w:cs="Cambria Math"/>
              </w:rPr>
              <m:t>(k)</m:t>
            </m:r>
          </m:sup>
        </m:sSup>
        <m:r>
          <w:rPr>
            <w:rFonts w:ascii="Cambria Math" w:hAnsi="Cambria Math" w:cs="Cambria Math"/>
          </w:rPr>
          <m:t xml:space="preserve"> </m:t>
        </m:r>
      </m:oMath>
      <w:r>
        <w:rPr>
          <w:rFonts w:hAnsi="Cambria Math" w:cs="Cambria Math" w:hint="eastAsia"/>
        </w:rPr>
        <w:t>as shown in Eq. (10), where</w:t>
      </w:r>
      <m:oMath>
        <m:sSub>
          <m:sSubPr>
            <m:ctrlPr>
              <w:rPr>
                <w:rFonts w:ascii="Cambria Math" w:hAnsi="Cambria Math" w:cs="Cambria Math"/>
                <w:i/>
              </w:rPr>
            </m:ctrlPr>
          </m:sSubPr>
          <m:e>
            <m:r>
              <w:rPr>
                <w:rFonts w:ascii="Cambria Math" w:hAnsi="Cambria Math" w:cs="Cambria Math"/>
              </w:rPr>
              <m:t xml:space="preserve"> H</m:t>
            </m:r>
          </m:e>
          <m:sub>
            <m:r>
              <w:rPr>
                <w:rFonts w:ascii="Cambria Math" w:hAnsi="Cambria Math" w:cs="Cambria Math"/>
              </w:rPr>
              <m:t xml:space="preserve">k </m:t>
            </m:r>
            <m:ctrlPr>
              <w:rPr>
                <w:rFonts w:ascii="Cambria Math" w:hAnsi="Cambria Math" w:cs="Cambria Math"/>
              </w:rPr>
            </m:ctrlPr>
          </m:sub>
        </m:sSub>
      </m:oMath>
      <w:r>
        <w:rPr>
          <w:rFonts w:hAnsi="Cambria Math" w:cs="Cambria Math" w:hint="eastAsia"/>
        </w:rPr>
        <w:t>is the quasi-Hessian matrix approximation,</w:t>
      </w:r>
      <m:oMath>
        <m:sSub>
          <m:sSubPr>
            <m:ctrlPr>
              <w:rPr>
                <w:rFonts w:ascii="Cambria Math" w:hAnsi="Cambria Math" w:cs="Cambria Math"/>
                <w:i/>
              </w:rPr>
            </m:ctrlPr>
          </m:sSubPr>
          <m:e>
            <m:r>
              <w:rPr>
                <w:rFonts w:ascii="Cambria Math" w:hAnsi="Cambria Math" w:cs="Cambria Math"/>
              </w:rPr>
              <m:t xml:space="preserve"> α</m:t>
            </m:r>
          </m:e>
          <m:sub>
            <m:r>
              <w:rPr>
                <w:rFonts w:ascii="Cambria Math" w:hAnsi="Cambria Math" w:cs="Cambria Math"/>
              </w:rPr>
              <m:t xml:space="preserve">k </m:t>
            </m:r>
          </m:sub>
        </m:sSub>
      </m:oMath>
      <w:r>
        <w:rPr>
          <w:rFonts w:hAnsi="Cambria Math" w:cs="Cambria Math" w:hint="eastAsia"/>
        </w:rPr>
        <w:t>is the step size determined by line search,</w:t>
      </w:r>
      <m:oMath>
        <m:sSub>
          <m:sSubPr>
            <m:ctrlPr>
              <w:rPr>
                <w:rFonts w:ascii="Cambria Math" w:hAnsi="Cambria Math" w:cs="Cambria Math"/>
                <w:i/>
              </w:rPr>
            </m:ctrlPr>
          </m:sSubPr>
          <m:e>
            <m:r>
              <w:rPr>
                <w:rFonts w:ascii="Cambria Math" w:hAnsi="Cambria Math" w:cs="Cambria Math"/>
              </w:rPr>
              <m:t xml:space="preserve"> d</m:t>
            </m:r>
          </m:e>
          <m:sub>
            <m:r>
              <w:rPr>
                <w:rFonts w:ascii="Cambria Math" w:hAnsi="Cambria Math" w:cs="Cambria Math"/>
              </w:rPr>
              <m:t xml:space="preserve">k </m:t>
            </m:r>
          </m:sub>
        </m:sSub>
      </m:oMath>
      <w:r>
        <w:rPr>
          <w:rFonts w:hAnsi="Cambria Math" w:cs="Cambria Math" w:hint="eastAsia"/>
        </w:rPr>
        <w:t xml:space="preserve">is the search direction vector, and </w:t>
      </w:r>
      <m:oMath>
        <m:sSub>
          <m:sSubPr>
            <m:ctrlPr>
              <w:rPr>
                <w:rFonts w:ascii="Cambria Math" w:hAnsi="Cambria Math" w:cs="Cambria Math"/>
              </w:rPr>
            </m:ctrlPr>
          </m:sSubPr>
          <m:e>
            <m:r>
              <m:rPr>
                <m:sty m:val="p"/>
              </m:rPr>
              <w:rPr>
                <w:rFonts w:ascii="Cambria Math" w:hAnsi="Cambria Math" w:cs="Cambria Math"/>
              </w:rPr>
              <m:t>∇FOM</m:t>
            </m:r>
          </m:e>
          <m:sub>
            <m:r>
              <m:rPr>
                <m:sty m:val="p"/>
              </m:rPr>
              <w:rPr>
                <w:rFonts w:ascii="Cambria Math" w:hAnsi="Cambria Math" w:cs="Cambria Math"/>
              </w:rPr>
              <m:t>k</m:t>
            </m:r>
          </m:sub>
        </m:sSub>
      </m:oMath>
      <w:r>
        <w:rPr>
          <w:rFonts w:hAnsi="Cambria Math" w:cs="Cambria Math" w:hint="eastAsia"/>
        </w:rPr>
        <w:t xml:space="preserve"> is the gradient of FOM. Once the convergence </w:t>
      </w:r>
      <w:r>
        <w:rPr>
          <w:rFonts w:hAnsi="Cambria Math" w:cs="Cambria Math" w:hint="eastAsia"/>
        </w:rPr>
        <w:lastRenderedPageBreak/>
        <w:t>conditions in Eq. (11) are satisfied, the final binarized structure will be output.</w:t>
      </w:r>
    </w:p>
    <w:tbl>
      <w:tblPr>
        <w:tblStyle w:val="a8"/>
        <w:tblW w:w="4860" w:type="pc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109"/>
        <w:gridCol w:w="1556"/>
      </w:tblGrid>
      <w:tr w:rsidR="00BC0790" w14:paraId="75900B68" w14:textId="77777777">
        <w:trPr>
          <w:trHeight w:val="90"/>
        </w:trPr>
        <w:tc>
          <w:tcPr>
            <w:tcW w:w="741" w:type="pct"/>
            <w:tcBorders>
              <w:tl2br w:val="nil"/>
              <w:tr2bl w:val="nil"/>
            </w:tcBorders>
            <w:vAlign w:val="center"/>
          </w:tcPr>
          <w:p w14:paraId="304BD702" w14:textId="77777777" w:rsidR="00BC0790" w:rsidRDefault="00BC0790">
            <w:pPr>
              <w:spacing w:line="360" w:lineRule="auto"/>
              <w:rPr>
                <w:rFonts w:hAnsi="Cambria Math" w:cs="Cambria Math"/>
              </w:rPr>
            </w:pPr>
          </w:p>
        </w:tc>
        <w:tc>
          <w:tcPr>
            <w:tcW w:w="3493" w:type="pct"/>
            <w:tcBorders>
              <w:tl2br w:val="nil"/>
              <w:tr2bl w:val="nil"/>
            </w:tcBorders>
            <w:vAlign w:val="center"/>
          </w:tcPr>
          <w:p w14:paraId="68844276" w14:textId="77777777" w:rsidR="00BC0790" w:rsidRDefault="00000000">
            <w:pPr>
              <w:spacing w:line="360" w:lineRule="auto"/>
              <w:rPr>
                <w:rFonts w:ascii="Cambria Math" w:hAnsi="Cambria Math" w:cs="Cambria Math"/>
                <w:oMath/>
              </w:rPr>
            </w:pPr>
            <m:oMathPara>
              <m:oMath>
                <m:sSup>
                  <m:sSupPr>
                    <m:ctrlPr>
                      <w:rPr>
                        <w:rFonts w:ascii="Cambria Math" w:hAnsi="Cambria Math" w:cs="Cambria Math"/>
                        <w:i/>
                      </w:rPr>
                    </m:ctrlPr>
                  </m:sSupPr>
                  <m:e>
                    <m:r>
                      <w:rPr>
                        <w:rFonts w:ascii="Cambria Math" w:hAnsi="Cambria Math" w:cs="Cambria Math"/>
                      </w:rPr>
                      <m:t>ρ</m:t>
                    </m:r>
                  </m:e>
                  <m:sup>
                    <m:r>
                      <w:rPr>
                        <w:rFonts w:ascii="Cambria Math" w:hAnsi="Cambria Math" w:cs="Cambria Math"/>
                      </w:rPr>
                      <m:t>(k+1)</m:t>
                    </m:r>
                  </m:sup>
                </m:sSup>
                <m:r>
                  <w:rPr>
                    <w:rFonts w:ascii="Cambria Math" w:hAnsi="Cambria Math" w:cs="Cambria Math"/>
                  </w:rPr>
                  <m:t>=</m:t>
                </m:r>
                <m:sSup>
                  <m:sSupPr>
                    <m:ctrlPr>
                      <w:rPr>
                        <w:rFonts w:ascii="Cambria Math" w:hAnsi="Cambria Math" w:cs="Cambria Math"/>
                        <w:i/>
                      </w:rPr>
                    </m:ctrlPr>
                  </m:sSupPr>
                  <m:e>
                    <m:r>
                      <w:rPr>
                        <w:rFonts w:ascii="Cambria Math" w:hAnsi="Cambria Math" w:cs="Cambria Math"/>
                      </w:rPr>
                      <m:t>ρ</m:t>
                    </m:r>
                  </m:e>
                  <m:sup>
                    <m:r>
                      <w:rPr>
                        <w:rFonts w:ascii="Cambria Math" w:hAnsi="Cambria Math" w:cs="Cambria Math"/>
                      </w:rPr>
                      <m:t>(k)</m:t>
                    </m:r>
                  </m:sup>
                </m:sSup>
                <m:r>
                  <w:rPr>
                    <w:rFonts w:ascii="Cambria Math" w:hAnsi="Cambria Math" w:cs="Cambria Math"/>
                  </w:rPr>
                  <m:t>+</m:t>
                </m:r>
                <m:sSub>
                  <m:sSubPr>
                    <m:ctrlPr>
                      <w:rPr>
                        <w:rFonts w:ascii="Cambria Math" w:hAnsi="Cambria Math" w:cs="Cambria Math"/>
                        <w:i/>
                      </w:rPr>
                    </m:ctrlPr>
                  </m:sSubPr>
                  <m:e>
                    <m:r>
                      <w:rPr>
                        <w:rFonts w:ascii="Cambria Math" w:hAnsi="Cambria Math" w:cs="Cambria Math"/>
                      </w:rPr>
                      <m:t>α</m:t>
                    </m:r>
                  </m:e>
                  <m:sub>
                    <m:r>
                      <w:rPr>
                        <w:rFonts w:ascii="Cambria Math" w:hAnsi="Cambria Math" w:cs="Cambria Math"/>
                      </w:rPr>
                      <m:t>k</m:t>
                    </m:r>
                  </m:sub>
                </m:sSub>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k</m:t>
                    </m:r>
                  </m:sub>
                </m:sSub>
                <m:r>
                  <w:rPr>
                    <w:rFonts w:ascii="Cambria Math" w:hAnsi="Cambria Math" w:cs="Cambria Math"/>
                  </w:rPr>
                  <m:t xml:space="preserve"> , </m:t>
                </m:r>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k</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k</m:t>
                    </m:r>
                    <m:ctrlPr>
                      <w:rPr>
                        <w:rFonts w:ascii="Cambria Math" w:hAnsi="Cambria Math" w:cs="Cambria Math"/>
                      </w:rPr>
                    </m:ctrlPr>
                  </m:sub>
                </m:sSub>
                <m:sSub>
                  <m:sSubPr>
                    <m:ctrlPr>
                      <w:rPr>
                        <w:rFonts w:ascii="Cambria Math" w:hAnsi="Cambria Math" w:cs="Cambria Math"/>
                      </w:rPr>
                    </m:ctrlPr>
                  </m:sSubPr>
                  <m:e>
                    <m:r>
                      <m:rPr>
                        <m:sty m:val="p"/>
                      </m:rPr>
                      <w:rPr>
                        <w:rFonts w:ascii="Cambria Math" w:hAnsi="Cambria Math" w:cs="Cambria Math"/>
                      </w:rPr>
                      <m:t>∇FOM</m:t>
                    </m:r>
                  </m:e>
                  <m:sub>
                    <m:r>
                      <m:rPr>
                        <m:sty m:val="p"/>
                      </m:rPr>
                      <w:rPr>
                        <w:rFonts w:ascii="Cambria Math" w:hAnsi="Cambria Math" w:cs="Cambria Math"/>
                      </w:rPr>
                      <m:t>k</m:t>
                    </m:r>
                  </m:sub>
                </m:sSub>
              </m:oMath>
            </m:oMathPara>
          </w:p>
        </w:tc>
        <w:tc>
          <w:tcPr>
            <w:tcW w:w="765" w:type="pct"/>
            <w:tcBorders>
              <w:tl2br w:val="nil"/>
              <w:tr2bl w:val="nil"/>
            </w:tcBorders>
            <w:vAlign w:val="center"/>
          </w:tcPr>
          <w:p w14:paraId="34F6A7CC" w14:textId="77777777" w:rsidR="00BC0790" w:rsidRDefault="00000000">
            <w:pPr>
              <w:spacing w:line="360" w:lineRule="auto"/>
              <w:jc w:val="right"/>
              <w:rPr>
                <w:rFonts w:hAnsi="Cambria Math" w:cs="Cambria Math"/>
              </w:rPr>
            </w:pPr>
            <w:r>
              <w:rPr>
                <w:rFonts w:hAnsi="Cambria Math" w:cs="Cambria Math" w:hint="eastAsia"/>
              </w:rPr>
              <w:t>(10)</w:t>
            </w:r>
          </w:p>
        </w:tc>
      </w:tr>
      <w:tr w:rsidR="00BC0790" w14:paraId="37514143" w14:textId="77777777">
        <w:trPr>
          <w:trHeight w:val="90"/>
        </w:trPr>
        <w:tc>
          <w:tcPr>
            <w:tcW w:w="741" w:type="pct"/>
            <w:tcBorders>
              <w:tl2br w:val="nil"/>
              <w:tr2bl w:val="nil"/>
            </w:tcBorders>
            <w:vAlign w:val="center"/>
          </w:tcPr>
          <w:p w14:paraId="32128DDE" w14:textId="77777777" w:rsidR="00BC0790" w:rsidRDefault="00BC0790">
            <w:pPr>
              <w:spacing w:line="360" w:lineRule="auto"/>
              <w:rPr>
                <w:rFonts w:hAnsi="Cambria Math" w:cs="Cambria Math"/>
              </w:rPr>
            </w:pPr>
          </w:p>
        </w:tc>
        <w:tc>
          <w:tcPr>
            <w:tcW w:w="3493" w:type="pct"/>
            <w:tcBorders>
              <w:tl2br w:val="nil"/>
              <w:tr2bl w:val="nil"/>
            </w:tcBorders>
            <w:vAlign w:val="center"/>
          </w:tcPr>
          <w:p w14:paraId="0CD94582" w14:textId="77777777" w:rsidR="00BC0790" w:rsidRDefault="00000000">
            <w:pPr>
              <w:spacing w:line="360" w:lineRule="auto"/>
              <w:rPr>
                <w:rFonts w:ascii="Cambria Math" w:hAnsi="Cambria Math" w:cs="Cambria Math"/>
                <w:oMath/>
              </w:rPr>
            </w:pPr>
            <m:oMathPara>
              <m:oMath>
                <m:r>
                  <m:rPr>
                    <m:sty m:val="p"/>
                  </m:rPr>
                  <w:rPr>
                    <w:rFonts w:ascii="Cambria Math" w:hAnsi="Cambria Math" w:cs="Cambria Math" w:hint="eastAsia"/>
                  </w:rPr>
                  <m:t>ma</m:t>
                </m:r>
                <m:r>
                  <m:rPr>
                    <m:sty m:val="p"/>
                  </m:rPr>
                  <w:rPr>
                    <w:rFonts w:ascii="Cambria Math" w:hAnsi="Cambria Math" w:cs="Cambria Math"/>
                  </w:rPr>
                  <m:t>x[</m:t>
                </m:r>
                <m:f>
                  <m:fPr>
                    <m:ctrlPr>
                      <w:rPr>
                        <w:rFonts w:ascii="Cambria Math" w:hAnsi="Cambria Math" w:cs="Cambria Math"/>
                      </w:rPr>
                    </m:ctrlPr>
                  </m:fPr>
                  <m:num>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FOM</m:t>
                        </m:r>
                      </m:e>
                      <m:sub>
                        <m:r>
                          <m:rPr>
                            <m:sty m:val="p"/>
                          </m:rPr>
                          <w:rPr>
                            <w:rFonts w:ascii="Cambria Math" w:hAnsi="Cambria Math" w:cs="Cambria Math" w:hint="eastAsia"/>
                          </w:rPr>
                          <m:t>k</m:t>
                        </m:r>
                      </m:sub>
                    </m:sSub>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FOM</m:t>
                        </m:r>
                      </m:e>
                      <m:sub>
                        <m:r>
                          <m:rPr>
                            <m:sty m:val="p"/>
                          </m:rPr>
                          <w:rPr>
                            <w:rFonts w:ascii="Cambria Math" w:hAnsi="Cambria Math" w:cs="Cambria Math" w:hint="eastAsia"/>
                          </w:rPr>
                          <m:t>k</m:t>
                        </m:r>
                        <m:r>
                          <m:rPr>
                            <m:sty m:val="p"/>
                          </m:rPr>
                          <w:rPr>
                            <w:rFonts w:ascii="Cambria Math" w:hAnsi="Cambria Math" w:cs="Cambria Math"/>
                          </w:rPr>
                          <m:t>-1</m:t>
                        </m:r>
                      </m:sub>
                    </m:sSub>
                    <m:r>
                      <m:rPr>
                        <m:sty m:val="p"/>
                      </m:rPr>
                      <w:rPr>
                        <w:rFonts w:ascii="Cambria Math" w:hAnsi="Cambria Math" w:cs="Cambria Math"/>
                      </w:rPr>
                      <m:t>|</m:t>
                    </m:r>
                  </m:num>
                  <m:den>
                    <m:sSub>
                      <m:sSubPr>
                        <m:ctrlPr>
                          <w:rPr>
                            <w:rFonts w:ascii="Cambria Math" w:hAnsi="Cambria Math" w:cs="Cambria Math"/>
                          </w:rPr>
                        </m:ctrlPr>
                      </m:sSubPr>
                      <m:e>
                        <m:r>
                          <m:rPr>
                            <m:sty m:val="p"/>
                          </m:rPr>
                          <w:rPr>
                            <w:rFonts w:ascii="Cambria Math" w:hAnsi="Cambria Math" w:cs="Cambria Math"/>
                          </w:rPr>
                          <m:t>|FOM</m:t>
                        </m:r>
                      </m:e>
                      <m:sub>
                        <m:r>
                          <m:rPr>
                            <m:sty m:val="p"/>
                          </m:rPr>
                          <w:rPr>
                            <w:rFonts w:ascii="Cambria Math" w:hAnsi="Cambria Math" w:cs="Cambria Math" w:hint="eastAsia"/>
                          </w:rPr>
                          <m:t>k</m:t>
                        </m:r>
                      </m:sub>
                    </m:sSub>
                    <m:r>
                      <m:rPr>
                        <m:sty m:val="p"/>
                      </m:rPr>
                      <w:rPr>
                        <w:rFonts w:ascii="Cambria Math" w:hAnsi="Cambria Math" w:cs="Cambria Math"/>
                      </w:rPr>
                      <m:t>|</m:t>
                    </m:r>
                  </m:den>
                </m:f>
                <m:r>
                  <m:rPr>
                    <m:sty m:val="p"/>
                  </m:rPr>
                  <w:rPr>
                    <w:rFonts w:ascii="Cambria Math" w:hAnsi="Cambria Math" w:cs="Cambria Math" w:hint="eastAsia"/>
                  </w:rPr>
                  <m:t>，</m:t>
                </m:r>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∇FOM</m:t>
                    </m:r>
                  </m:e>
                  <m:sub>
                    <m:r>
                      <m:rPr>
                        <m:sty m:val="p"/>
                      </m:rPr>
                      <w:rPr>
                        <w:rFonts w:ascii="Cambria Math" w:hAnsi="Cambria Math" w:cs="Cambria Math"/>
                      </w:rPr>
                      <m:t>k</m:t>
                    </m:r>
                  </m:sub>
                </m:sSub>
                <m:r>
                  <m:rPr>
                    <m:sty m:val="p"/>
                  </m:rPr>
                  <w:rPr>
                    <w:rFonts w:ascii="Cambria Math" w:hAnsi="Cambria Math" w:cs="Cambria Math"/>
                  </w:rPr>
                  <m:t>||]&lt;δ</m:t>
                </m:r>
              </m:oMath>
            </m:oMathPara>
          </w:p>
        </w:tc>
        <w:tc>
          <w:tcPr>
            <w:tcW w:w="765" w:type="pct"/>
            <w:tcBorders>
              <w:tl2br w:val="nil"/>
              <w:tr2bl w:val="nil"/>
            </w:tcBorders>
            <w:vAlign w:val="center"/>
          </w:tcPr>
          <w:p w14:paraId="064C4720" w14:textId="77777777" w:rsidR="00BC0790" w:rsidRDefault="00000000">
            <w:pPr>
              <w:spacing w:line="360" w:lineRule="auto"/>
              <w:jc w:val="right"/>
              <w:rPr>
                <w:rFonts w:hAnsi="Cambria Math" w:cs="Cambria Math"/>
              </w:rPr>
            </w:pPr>
            <w:r>
              <w:rPr>
                <w:rFonts w:hAnsi="Cambria Math" w:cs="Cambria Math" w:hint="eastAsia"/>
              </w:rPr>
              <w:t>(11)</w:t>
            </w:r>
          </w:p>
        </w:tc>
      </w:tr>
    </w:tbl>
    <w:p w14:paraId="43416861" w14:textId="77777777" w:rsidR="00BC0790" w:rsidRDefault="00000000">
      <w:pPr>
        <w:spacing w:line="360" w:lineRule="auto"/>
        <w:ind w:firstLine="480"/>
        <w:rPr>
          <w:rFonts w:cs="Times New Roman"/>
        </w:rPr>
      </w:pPr>
      <w:r>
        <w:rPr>
          <w:rFonts w:cs="Times New Roman" w:hint="eastAsia"/>
        </w:rPr>
        <w:t xml:space="preserve">Meanwhile, electromagnetic and physical constraints exist in the design. </w:t>
      </w:r>
      <w:r>
        <w:rPr>
          <w:rFonts w:cs="Times New Roman"/>
        </w:rPr>
        <w:t>The design variables are input into the FEM solver,</w:t>
      </w:r>
      <w:r>
        <w:rPr>
          <w:rFonts w:cs="Times New Roman" w:hint="eastAsia"/>
        </w:rPr>
        <w:t xml:space="preserve"> </w:t>
      </w:r>
      <w:r>
        <w:rPr>
          <w:rFonts w:cs="Times New Roman"/>
        </w:rPr>
        <w:t>ensuring high-precision solutions to the frequency-domain Maxwell's equations (4):</w:t>
      </w:r>
    </w:p>
    <w:tbl>
      <w:tblPr>
        <w:tblStyle w:val="a8"/>
        <w:tblW w:w="4861" w:type="pc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110"/>
        <w:gridCol w:w="1557"/>
      </w:tblGrid>
      <w:tr w:rsidR="00BC0790" w14:paraId="5E91D01D" w14:textId="77777777">
        <w:trPr>
          <w:trHeight w:val="280"/>
        </w:trPr>
        <w:tc>
          <w:tcPr>
            <w:tcW w:w="741" w:type="pct"/>
            <w:tcBorders>
              <w:tl2br w:val="nil"/>
              <w:tr2bl w:val="nil"/>
            </w:tcBorders>
            <w:vAlign w:val="center"/>
          </w:tcPr>
          <w:p w14:paraId="3F4E1E31" w14:textId="77777777" w:rsidR="00BC0790" w:rsidRDefault="00BC0790">
            <w:pPr>
              <w:spacing w:line="360" w:lineRule="auto"/>
              <w:rPr>
                <w:rFonts w:hAnsi="Cambria Math" w:cs="Cambria Math"/>
              </w:rPr>
            </w:pPr>
          </w:p>
        </w:tc>
        <w:tc>
          <w:tcPr>
            <w:tcW w:w="3493" w:type="pct"/>
            <w:tcBorders>
              <w:tl2br w:val="nil"/>
              <w:tr2bl w:val="nil"/>
            </w:tcBorders>
            <w:vAlign w:val="center"/>
          </w:tcPr>
          <w:p w14:paraId="32E9062F" w14:textId="77777777" w:rsidR="00BC0790" w:rsidRDefault="00000000">
            <w:pPr>
              <w:spacing w:line="360" w:lineRule="auto"/>
              <w:rPr>
                <w:rFonts w:hAnsi="Cambria Math" w:cs="Cambria Math"/>
              </w:rPr>
            </w:pPr>
            <m:oMathPara>
              <m:oMath>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sSub>
                      <m:sSubPr>
                        <m:ctrlPr>
                          <w:rPr>
                            <w:rFonts w:ascii="Cambria Math" w:hAnsi="Cambria Math" w:cs="Times New Roman"/>
                          </w:rPr>
                        </m:ctrlPr>
                      </m:sSubPr>
                      <m:e>
                        <m:sSub>
                          <m:sSubPr>
                            <m:ctrlPr>
                              <w:rPr>
                                <w:rFonts w:ascii="Cambria Math" w:hAnsi="Cambria Math" w:cs="Times New Roman"/>
                              </w:rPr>
                            </m:ctrlPr>
                          </m:sSubPr>
                          <m:e>
                            <m:r>
                              <m:rPr>
                                <m:sty m:val="p"/>
                              </m:rPr>
                              <w:rPr>
                                <w:rFonts w:ascii="Cambria Math" w:hAnsi="Cambria Math" w:cs="Times New Roman"/>
                              </w:rPr>
                              <m:t>µ</m:t>
                            </m:r>
                          </m:e>
                          <m:sub>
                            <m:r>
                              <m:rPr>
                                <m:sty m:val="p"/>
                              </m:rPr>
                              <w:rPr>
                                <w:rFonts w:ascii="Cambria Math" w:hAnsi="Cambria Math" w:cs="Times New Roman"/>
                              </w:rPr>
                              <m:t>0</m:t>
                            </m:r>
                          </m:sub>
                        </m:sSub>
                        <m:r>
                          <m:rPr>
                            <m:sty m:val="p"/>
                          </m:rPr>
                          <w:rPr>
                            <w:rFonts w:ascii="Cambria Math" w:hAnsi="Cambria Math" w:cs="Times New Roman"/>
                          </w:rPr>
                          <m:t>µ</m:t>
                        </m:r>
                      </m:e>
                      <m:sub>
                        <m:r>
                          <m:rPr>
                            <m:sty m:val="p"/>
                          </m:rPr>
                          <w:rPr>
                            <w:rFonts w:ascii="Cambria Math" w:hAnsi="Cambria Math" w:cs="Times New Roman"/>
                          </w:rPr>
                          <m:t>r</m:t>
                        </m:r>
                      </m:sub>
                    </m:sSub>
                  </m:den>
                </m:f>
                <m:r>
                  <m:rPr>
                    <m:sty m:val="p"/>
                  </m:rPr>
                  <w:rPr>
                    <w:rFonts w:ascii="Cambria Math" w:hAnsi="Cambria Math" w:cs="Times New Roman"/>
                  </w:rPr>
                  <m:t>∇×E-</m:t>
                </m:r>
                <m:sSubSup>
                  <m:sSubSupPr>
                    <m:ctrlPr>
                      <w:rPr>
                        <w:rFonts w:ascii="Cambria Math" w:hAnsi="Cambria Math" w:cs="Times New Roman"/>
                      </w:rPr>
                    </m:ctrlPr>
                  </m:sSubSupPr>
                  <m:e>
                    <m:r>
                      <m:rPr>
                        <m:sty m:val="p"/>
                      </m:rPr>
                      <w:rPr>
                        <w:rFonts w:ascii="Cambria Math" w:hAnsi="Cambria Math" w:cs="Times New Roman"/>
                      </w:rPr>
                      <m:t>ω</m:t>
                    </m:r>
                  </m:e>
                  <m:sub>
                    <m:r>
                      <m:rPr>
                        <m:sty m:val="p"/>
                      </m:rPr>
                      <w:rPr>
                        <w:rFonts w:ascii="Cambria Math" w:hAnsi="Cambria Math" w:cs="Times New Roman"/>
                      </w:rPr>
                      <m:t>m</m:t>
                    </m:r>
                  </m:sub>
                  <m:sup>
                    <m:r>
                      <m:rPr>
                        <m:sty m:val="p"/>
                      </m:rP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r</m:t>
                    </m:r>
                  </m:sub>
                </m:sSub>
                <m:r>
                  <w:rPr>
                    <w:rFonts w:ascii="Cambria Math" w:hAnsi="Cambria Math" w:cs="Times New Roman"/>
                  </w:rPr>
                  <m:t>(ρ)E= -i</m:t>
                </m:r>
                <m:sSub>
                  <m:sSubPr>
                    <m:ctrlPr>
                      <w:rPr>
                        <w:rFonts w:ascii="Cambria Math" w:hAnsi="Cambria Math" w:cs="Times New Roman"/>
                      </w:rPr>
                    </m:ctrlPr>
                  </m:sSubPr>
                  <m:e>
                    <m:r>
                      <m:rPr>
                        <m:sty m:val="p"/>
                      </m:rPr>
                      <w:rPr>
                        <w:rFonts w:ascii="Cambria Math" w:hAnsi="Cambria Math" w:cs="Times New Roman"/>
                      </w:rPr>
                      <m:t>ω</m:t>
                    </m:r>
                  </m:e>
                  <m:sub>
                    <m:r>
                      <m:rPr>
                        <m:sty m:val="p"/>
                      </m:rPr>
                      <w:rPr>
                        <w:rFonts w:ascii="Cambria Math" w:hAnsi="Cambria Math" w:cs="Times New Roman"/>
                      </w:rPr>
                      <m:t>m</m:t>
                    </m:r>
                  </m:sub>
                </m:sSub>
                <m:r>
                  <m:rPr>
                    <m:sty m:val="p"/>
                  </m:rPr>
                  <w:rPr>
                    <w:rFonts w:ascii="Cambria Math" w:hAnsi="Cambria Math" w:cs="Times New Roman"/>
                  </w:rPr>
                  <m:t>J</m:t>
                </m:r>
              </m:oMath>
            </m:oMathPara>
          </w:p>
        </w:tc>
        <w:tc>
          <w:tcPr>
            <w:tcW w:w="765" w:type="pct"/>
            <w:tcBorders>
              <w:tl2br w:val="nil"/>
              <w:tr2bl w:val="nil"/>
            </w:tcBorders>
            <w:vAlign w:val="center"/>
          </w:tcPr>
          <w:p w14:paraId="309EFE62" w14:textId="77777777" w:rsidR="00BC0790" w:rsidRDefault="00000000">
            <w:pPr>
              <w:spacing w:line="360" w:lineRule="auto"/>
              <w:jc w:val="right"/>
              <w:rPr>
                <w:rFonts w:hAnsi="Cambria Math" w:cs="Cambria Math"/>
              </w:rPr>
            </w:pPr>
            <w:r>
              <w:rPr>
                <w:rFonts w:hAnsi="Cambria Math" w:cs="Cambria Math" w:hint="eastAsia"/>
              </w:rPr>
              <w:t>(4)</w:t>
            </w:r>
          </w:p>
        </w:tc>
      </w:tr>
      <w:tr w:rsidR="00BC0790" w14:paraId="7A1CB345" w14:textId="77777777">
        <w:trPr>
          <w:trHeight w:val="450"/>
        </w:trPr>
        <w:tc>
          <w:tcPr>
            <w:tcW w:w="741" w:type="pct"/>
            <w:tcBorders>
              <w:tl2br w:val="nil"/>
              <w:tr2bl w:val="nil"/>
            </w:tcBorders>
            <w:vAlign w:val="center"/>
          </w:tcPr>
          <w:p w14:paraId="1AE9D290" w14:textId="77777777" w:rsidR="00BC0790" w:rsidRDefault="00BC0790">
            <w:pPr>
              <w:spacing w:line="360" w:lineRule="auto"/>
              <w:rPr>
                <w:rFonts w:hAnsi="Cambria Math" w:cs="Cambria Math"/>
              </w:rPr>
            </w:pPr>
          </w:p>
        </w:tc>
        <w:tc>
          <w:tcPr>
            <w:tcW w:w="3493" w:type="pct"/>
            <w:tcBorders>
              <w:tl2br w:val="nil"/>
              <w:tr2bl w:val="nil"/>
            </w:tcBorders>
            <w:vAlign w:val="center"/>
          </w:tcPr>
          <w:p w14:paraId="173F929E" w14:textId="77777777" w:rsidR="00BC0790" w:rsidRDefault="00000000">
            <w:pPr>
              <w:spacing w:line="360" w:lineRule="auto"/>
              <w:rPr>
                <w:rFonts w:hAnsi="Cambria Math" w:cs="Cambria Math"/>
              </w:rPr>
            </w:pPr>
            <m:oMathPara>
              <m:oMath>
                <m:r>
                  <m:rPr>
                    <m:sty m:val="p"/>
                  </m:rPr>
                  <w:rPr>
                    <w:rFonts w:ascii="Cambria Math" w:hAnsi="Cambria Math" w:cs="Times New Roman"/>
                  </w:rPr>
                  <m:t>0</m:t>
                </m:r>
                <m:r>
                  <m:rPr>
                    <m:sty m:val="p"/>
                  </m:rPr>
                  <w:rPr>
                    <w:rFonts w:ascii="Cambria Math" w:hAnsi="Cambria Math" w:cs="Cambria Math"/>
                  </w:rPr>
                  <m:t>≤</m:t>
                </m:r>
                <m:r>
                  <w:rPr>
                    <w:rFonts w:ascii="Cambria Math" w:hAnsi="Cambria Math" w:cs="Cambria Math"/>
                  </w:rPr>
                  <m:t>ρ</m:t>
                </m:r>
                <m:r>
                  <m:rPr>
                    <m:sty m:val="p"/>
                  </m:rPr>
                  <w:rPr>
                    <w:rFonts w:ascii="Cambria Math" w:hAnsi="Cambria Math" w:cs="Cambria Math"/>
                  </w:rPr>
                  <m:t>≤</m:t>
                </m:r>
                <m:r>
                  <m:rPr>
                    <m:sty m:val="p"/>
                  </m:rPr>
                  <w:rPr>
                    <w:rFonts w:ascii="Cambria Math" w:hAnsi="Cambria Math" w:cs="Times New Roman"/>
                  </w:rPr>
                  <m:t>1</m:t>
                </m:r>
              </m:oMath>
            </m:oMathPara>
          </w:p>
        </w:tc>
        <w:tc>
          <w:tcPr>
            <w:tcW w:w="765" w:type="pct"/>
            <w:tcBorders>
              <w:tl2br w:val="nil"/>
              <w:tr2bl w:val="nil"/>
            </w:tcBorders>
            <w:vAlign w:val="center"/>
          </w:tcPr>
          <w:p w14:paraId="7CE862A1" w14:textId="77777777" w:rsidR="00BC0790" w:rsidRDefault="00000000">
            <w:pPr>
              <w:spacing w:line="360" w:lineRule="auto"/>
              <w:jc w:val="right"/>
              <w:rPr>
                <w:rFonts w:hAnsi="Cambria Math" w:cs="Cambria Math"/>
              </w:rPr>
            </w:pPr>
            <w:r>
              <w:rPr>
                <w:rFonts w:hAnsi="Cambria Math" w:cs="Cambria Math" w:hint="eastAsia"/>
              </w:rPr>
              <w:t>(5)</w:t>
            </w:r>
          </w:p>
        </w:tc>
      </w:tr>
      <w:tr w:rsidR="00BC0790" w14:paraId="05991091" w14:textId="77777777">
        <w:tc>
          <w:tcPr>
            <w:tcW w:w="741" w:type="pct"/>
            <w:tcBorders>
              <w:tl2br w:val="nil"/>
              <w:tr2bl w:val="nil"/>
            </w:tcBorders>
            <w:vAlign w:val="center"/>
          </w:tcPr>
          <w:p w14:paraId="3A1656C7" w14:textId="77777777" w:rsidR="00BC0790" w:rsidRDefault="00BC0790">
            <w:pPr>
              <w:spacing w:line="360" w:lineRule="auto"/>
              <w:rPr>
                <w:rFonts w:hAnsi="Cambria Math" w:cs="Cambria Math"/>
              </w:rPr>
            </w:pPr>
          </w:p>
        </w:tc>
        <w:tc>
          <w:tcPr>
            <w:tcW w:w="3493" w:type="pct"/>
            <w:tcBorders>
              <w:tl2br w:val="nil"/>
              <w:tr2bl w:val="nil"/>
            </w:tcBorders>
            <w:vAlign w:val="center"/>
          </w:tcPr>
          <w:p w14:paraId="060BDBC0" w14:textId="77777777" w:rsidR="00BC0790" w:rsidRDefault="00000000">
            <w:pPr>
              <w:spacing w:line="360" w:lineRule="auto"/>
              <w:rPr>
                <w:rFonts w:hAnsi="Cambria Math" w:cs="Cambria Math"/>
              </w:rPr>
            </w:pPr>
            <m:oMathPara>
              <m:oMath>
                <m:sSub>
                  <m:sSubPr>
                    <m:ctrlPr>
                      <w:rPr>
                        <w:rFonts w:ascii="Cambria Math" w:hAnsi="Cambria Math" w:cs="Times New Roman"/>
                      </w:rPr>
                    </m:ctrlPr>
                  </m:sSubPr>
                  <m:e>
                    <m:r>
                      <m:rPr>
                        <m:sty m:val="p"/>
                      </m:rPr>
                      <w:rPr>
                        <w:rFonts w:ascii="Cambria Math" w:hAnsi="Cambria Math" w:cs="Times New Roman"/>
                      </w:rPr>
                      <m:t>g</m:t>
                    </m:r>
                  </m:e>
                  <m:sub>
                    <m:r>
                      <m:rPr>
                        <m:sty m:val="p"/>
                      </m:rPr>
                      <w:rPr>
                        <w:rFonts w:ascii="Cambria Math" w:hAnsi="Cambria Math" w:cs="Times New Roman" w:hint="eastAsia"/>
                      </w:rPr>
                      <m:t>k</m:t>
                    </m:r>
                  </m:sub>
                </m:sSub>
                <m:r>
                  <m:rPr>
                    <m:sty m:val="p"/>
                  </m:rPr>
                  <w:rPr>
                    <w:rFonts w:ascii="Cambria Math" w:hAnsi="Cambria Math" w:cs="Times New Roman"/>
                  </w:rPr>
                  <m:t>(</m:t>
                </m:r>
                <m:r>
                  <w:rPr>
                    <w:rFonts w:ascii="Cambria Math" w:hAnsi="Cambria Math" w:cs="Times New Roman"/>
                  </w:rPr>
                  <m:t>ρ</m:t>
                </m:r>
                <m:r>
                  <m:rPr>
                    <m:sty m:val="p"/>
                  </m:rPr>
                  <w:rPr>
                    <w:rFonts w:ascii="Cambria Math" w:hAnsi="Cambria Math" w:cs="Times New Roman"/>
                  </w:rPr>
                  <m:t>)</m:t>
                </m:r>
                <m:r>
                  <m:rPr>
                    <m:sty m:val="p"/>
                  </m:rPr>
                  <w:rPr>
                    <w:rFonts w:ascii="Cambria Math" w:hAnsi="Cambria Math" w:cs="Cambria Math"/>
                  </w:rPr>
                  <m:t>≤</m:t>
                </m:r>
                <m:r>
                  <m:rPr>
                    <m:sty m:val="p"/>
                  </m:rPr>
                  <w:rPr>
                    <w:rFonts w:ascii="Cambria Math" w:hAnsi="Cambria Math" w:cs="Times New Roman"/>
                  </w:rPr>
                  <m:t xml:space="preserve"> 0</m:t>
                </m:r>
              </m:oMath>
            </m:oMathPara>
          </w:p>
        </w:tc>
        <w:tc>
          <w:tcPr>
            <w:tcW w:w="765" w:type="pct"/>
            <w:tcBorders>
              <w:tl2br w:val="nil"/>
              <w:tr2bl w:val="nil"/>
            </w:tcBorders>
            <w:vAlign w:val="center"/>
          </w:tcPr>
          <w:p w14:paraId="0FFA04DB" w14:textId="77777777" w:rsidR="00BC0790" w:rsidRDefault="00000000">
            <w:pPr>
              <w:spacing w:line="360" w:lineRule="auto"/>
              <w:jc w:val="right"/>
              <w:rPr>
                <w:rFonts w:hAnsi="Cambria Math" w:cs="Cambria Math"/>
              </w:rPr>
            </w:pPr>
            <w:r>
              <w:rPr>
                <w:rFonts w:hAnsi="Cambria Math" w:cs="Cambria Math" w:hint="eastAsia"/>
              </w:rPr>
              <w:t>(6)</w:t>
            </w:r>
          </w:p>
        </w:tc>
      </w:tr>
    </w:tbl>
    <w:p w14:paraId="5C1D3755" w14:textId="77777777" w:rsidR="00BC0790" w:rsidRDefault="00000000">
      <w:pPr>
        <w:spacing w:line="360" w:lineRule="auto"/>
        <w:rPr>
          <w:rFonts w:hAnsi="Cambria Math" w:cs="Cambria Math"/>
        </w:rPr>
      </w:pPr>
      <w:r>
        <w:rPr>
          <w:rFonts w:hAnsi="Cambria Math" w:cs="Cambria Math" w:hint="eastAsia"/>
        </w:rPr>
        <w:t xml:space="preserve">where </w:t>
      </w:r>
      <m:oMath>
        <m:sSub>
          <m:sSubPr>
            <m:ctrlPr>
              <w:rPr>
                <w:rFonts w:ascii="Cambria Math" w:hAnsi="Cambria Math" w:cs="Times New Roman"/>
              </w:rPr>
            </m:ctrlPr>
          </m:sSubPr>
          <m:e>
            <m:r>
              <m:rPr>
                <m:sty m:val="p"/>
              </m:rPr>
              <w:rPr>
                <w:rFonts w:ascii="Cambria Math" w:hAnsi="Cambria Math" w:cs="Times New Roman"/>
              </w:rPr>
              <m:t>µ</m:t>
            </m:r>
          </m:e>
          <m:sub>
            <m:r>
              <m:rPr>
                <m:sty m:val="p"/>
              </m:rPr>
              <w:rPr>
                <w:rFonts w:ascii="Cambria Math" w:hAnsi="Cambria Math" w:cs="Times New Roman"/>
              </w:rPr>
              <m:t>0</m:t>
            </m:r>
          </m:sub>
        </m:sSub>
        <m:r>
          <m:rPr>
            <m:sty m:val="p"/>
          </m:rPr>
          <w:rPr>
            <w:rFonts w:ascii="Cambria Math" w:hAnsi="Cambria Math" w:cs="Times New Roman"/>
          </w:rPr>
          <m:t xml:space="preserve"> </m:t>
        </m:r>
      </m:oMath>
      <w:r>
        <w:rPr>
          <w:rFonts w:hAnsi="Cambria Math" w:cs="Times New Roman" w:hint="eastAsia"/>
        </w:rPr>
        <w:t xml:space="preserve">is the </w:t>
      </w:r>
      <w:r>
        <w:rPr>
          <w:rFonts w:hAnsi="Cambria Math" w:cs="Cambria Math" w:hint="eastAsia"/>
        </w:rPr>
        <w:t>vacuum permeability,</w:t>
      </w:r>
      <m:oMath>
        <m:sSub>
          <m:sSubPr>
            <m:ctrlPr>
              <w:rPr>
                <w:rFonts w:ascii="Cambria Math" w:hAnsi="Cambria Math" w:cs="Times New Roman"/>
              </w:rPr>
            </m:ctrlPr>
          </m:sSubPr>
          <m:e>
            <m:r>
              <m:rPr>
                <m:sty m:val="p"/>
              </m:rPr>
              <w:rPr>
                <w:rFonts w:ascii="Cambria Math" w:hAnsi="Cambria Math" w:cs="Times New Roman"/>
              </w:rPr>
              <m:t xml:space="preserve"> µ</m:t>
            </m:r>
          </m:e>
          <m:sub>
            <m:r>
              <m:rPr>
                <m:sty m:val="p"/>
              </m:rPr>
              <w:rPr>
                <w:rFonts w:ascii="Cambria Math" w:hAnsi="Cambria Math" w:cs="Times New Roman"/>
              </w:rPr>
              <m:t>r</m:t>
            </m:r>
          </m:sub>
        </m:sSub>
        <m:r>
          <m:rPr>
            <m:sty m:val="p"/>
          </m:rPr>
          <w:rPr>
            <w:rFonts w:ascii="Cambria Math" w:hAnsi="Cambria Math" w:cs="Times New Roman"/>
          </w:rPr>
          <m:t xml:space="preserve"> </m:t>
        </m:r>
      </m:oMath>
      <w:r>
        <w:rPr>
          <w:rFonts w:hAnsi="Cambria Math" w:cs="Times New Roman" w:hint="eastAsia"/>
        </w:rPr>
        <w:t xml:space="preserve">is </w:t>
      </w:r>
      <w:r>
        <w:rPr>
          <w:rFonts w:hAnsi="Cambria Math" w:cs="Cambria Math" w:hint="eastAsia"/>
        </w:rPr>
        <w:t>the relative permeability,</w:t>
      </w:r>
      <m:oMath>
        <m:sSub>
          <m:sSubPr>
            <m:ctrlPr>
              <w:rPr>
                <w:rFonts w:ascii="Cambria Math" w:hAnsi="Cambria Math" w:cs="Times New Roman"/>
                <w:i/>
              </w:rPr>
            </m:ctrlPr>
          </m:sSubPr>
          <m:e>
            <m:r>
              <w:rPr>
                <w:rFonts w:ascii="Cambria Math" w:hAnsi="Cambria Math" w:cs="Times New Roman"/>
              </w:rPr>
              <m:t xml:space="preserve"> ε</m:t>
            </m:r>
          </m:e>
          <m:sub>
            <m:r>
              <w:rPr>
                <w:rFonts w:ascii="Cambria Math" w:hAnsi="Cambria Math" w:cs="Times New Roman"/>
              </w:rPr>
              <m:t>0</m:t>
            </m:r>
          </m:sub>
        </m:sSub>
        <m:r>
          <w:rPr>
            <w:rFonts w:ascii="Cambria Math" w:hAnsi="Cambria Math" w:cs="Times New Roman"/>
          </w:rPr>
          <m:t xml:space="preserve"> </m:t>
        </m:r>
      </m:oMath>
      <w:r>
        <w:rPr>
          <w:rFonts w:hAnsi="Cambria Math" w:cs="Times New Roman" w:hint="eastAsia"/>
        </w:rPr>
        <w:t xml:space="preserve">is </w:t>
      </w:r>
      <w:r>
        <w:rPr>
          <w:rFonts w:hAnsi="Cambria Math" w:cs="Cambria Math" w:hint="eastAsia"/>
        </w:rPr>
        <w:t>the vacuum permittivity,</w:t>
      </w:r>
      <m:oMath>
        <m:sSub>
          <m:sSubPr>
            <m:ctrlPr>
              <w:rPr>
                <w:rFonts w:ascii="Cambria Math" w:hAnsi="Cambria Math" w:cs="Times New Roman"/>
                <w:i/>
              </w:rPr>
            </m:ctrlPr>
          </m:sSubPr>
          <m:e>
            <m:r>
              <w:rPr>
                <w:rFonts w:ascii="Cambria Math" w:hAnsi="Cambria Math" w:cs="Times New Roman"/>
              </w:rPr>
              <m:t xml:space="preserve"> ε</m:t>
            </m:r>
          </m:e>
          <m:sub>
            <m:r>
              <w:rPr>
                <w:rFonts w:ascii="Cambria Math" w:hAnsi="Cambria Math" w:cs="Times New Roman"/>
              </w:rPr>
              <m:t>r</m:t>
            </m:r>
          </m:sub>
        </m:sSub>
        <m:r>
          <w:rPr>
            <w:rFonts w:ascii="Cambria Math" w:hAnsi="Cambria Math" w:cs="Times New Roman"/>
          </w:rPr>
          <m:t xml:space="preserve"> </m:t>
        </m:r>
      </m:oMath>
      <w:r>
        <w:rPr>
          <w:rFonts w:hAnsi="Cambria Math" w:cs="Times New Roman" w:hint="eastAsia"/>
        </w:rPr>
        <w:t xml:space="preserve">is </w:t>
      </w:r>
      <w:r>
        <w:rPr>
          <w:rFonts w:hAnsi="Cambria Math" w:cs="Cambria Math" w:hint="eastAsia"/>
        </w:rPr>
        <w:t xml:space="preserve">the relative permittivity, </w:t>
      </w:r>
      <m:oMath>
        <m:r>
          <w:rPr>
            <w:rFonts w:ascii="Cambria Math" w:hAnsi="Cambria Math" w:cs="Times New Roman"/>
          </w:rPr>
          <m:t>E</m:t>
        </m:r>
      </m:oMath>
      <w:r>
        <w:rPr>
          <w:rFonts w:hAnsi="Cambria Math" w:cs="Times New Roman" w:hint="eastAsia"/>
        </w:rPr>
        <w:t xml:space="preserve"> is </w:t>
      </w:r>
      <w:r>
        <w:rPr>
          <w:rFonts w:hAnsi="Cambria Math" w:cs="Cambria Math" w:hint="eastAsia"/>
        </w:rPr>
        <w:t>the electric field distribution,</w:t>
      </w:r>
      <m:oMath>
        <m:r>
          <m:rPr>
            <m:sty m:val="p"/>
          </m:rPr>
          <w:rPr>
            <w:rFonts w:ascii="Cambria Math" w:hAnsi="Cambria Math" w:cs="Cambria Math"/>
          </w:rPr>
          <m:t xml:space="preserve"> ω</m:t>
        </m:r>
      </m:oMath>
      <w:r>
        <w:rPr>
          <w:rFonts w:hAnsi="Cambria Math" w:cs="Cambria Math" w:hint="eastAsia"/>
        </w:rPr>
        <w:t xml:space="preserve"> is the angular frequency,</w:t>
      </w:r>
      <m:oMath>
        <m:r>
          <m:rPr>
            <m:sty m:val="p"/>
          </m:rPr>
          <w:rPr>
            <w:rFonts w:ascii="Cambria Math" w:hAnsi="Cambria Math" w:cs="Cambria Math"/>
          </w:rPr>
          <m:t xml:space="preserve"> </m:t>
        </m:r>
        <m:r>
          <m:rPr>
            <m:sty m:val="p"/>
          </m:rPr>
          <w:rPr>
            <w:rFonts w:ascii="Cambria Math" w:hAnsi="Cambria Math" w:cs="Times New Roman"/>
          </w:rPr>
          <m:t>J</m:t>
        </m:r>
      </m:oMath>
      <w:r>
        <w:rPr>
          <w:rFonts w:hAnsi="Cambria Math" w:cs="Times New Roman" w:hint="eastAsia"/>
        </w:rPr>
        <w:t xml:space="preserve"> is </w:t>
      </w:r>
      <w:r>
        <w:rPr>
          <w:rFonts w:hAnsi="Cambria Math" w:cs="Cambria Math" w:hint="eastAsia"/>
        </w:rPr>
        <w:t xml:space="preserve">the current density, and </w:t>
      </w:r>
      <m:oMath>
        <m:r>
          <m:rPr>
            <m:sty m:val="p"/>
          </m:rPr>
          <w:rPr>
            <w:rFonts w:ascii="Cambria Math" w:hAnsi="Cambria Math" w:cs="Times New Roman"/>
          </w:rPr>
          <m:t>m∈{1,2,...,M}</m:t>
        </m:r>
      </m:oMath>
      <w:r>
        <w:rPr>
          <w:rFonts w:hAnsi="Cambria Math" w:cs="Cambria Math" w:hint="eastAsia"/>
        </w:rPr>
        <w:t xml:space="preserve"> represents each frequency point of broadband light. Material boundary constraints in Eq. (5) ensure that the dielectric constant stays within the physically realizable range. Additional constraints in Eq. (6), such as the minimum-linewidth constraint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lw</m:t>
            </m:r>
          </m:sub>
        </m:sSub>
      </m:oMath>
      <w:r>
        <w:rPr>
          <w:rFonts w:hAnsi="Cambria Math" w:cs="Cambria Math" w:hint="eastAsia"/>
        </w:rPr>
        <w:t xml:space="preserve"> and the minimum-linespacing constraint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ls</m:t>
            </m:r>
          </m:sub>
        </m:sSub>
      </m:oMath>
      <w:r>
        <w:rPr>
          <w:rFonts w:hAnsi="Cambria Math" w:cs="Cambria Math" w:hint="eastAsia"/>
        </w:rPr>
        <w:t>, ensure the feasibility of fabrication processes</w:t>
      </w:r>
      <w:r>
        <w:rPr>
          <w:rFonts w:hAnsi="Cambria Math" w:cs="Times New Roman" w:hint="eastAsia"/>
          <w:color w:val="4874CB" w:themeColor="accent1"/>
          <w:vertAlign w:val="superscript"/>
        </w:rPr>
        <w:t>4</w:t>
      </w:r>
      <w:r>
        <w:rPr>
          <w:rFonts w:hAnsi="Cambria Math" w:cs="Cambria Math" w:hint="eastAsia"/>
        </w:rPr>
        <w:t>.</w:t>
      </w:r>
    </w:p>
    <w:p w14:paraId="67E09B9B" w14:textId="639077FB" w:rsidR="00BC0790" w:rsidRDefault="00000000">
      <w:pPr>
        <w:spacing w:before="100" w:beforeAutospacing="1" w:line="360" w:lineRule="auto"/>
        <w:rPr>
          <w:rFonts w:hAnsi="Cambria Math" w:cs="Cambria Math"/>
          <w:b/>
          <w:bCs/>
          <w:i/>
          <w:iCs/>
        </w:rPr>
      </w:pPr>
      <w:r>
        <w:rPr>
          <w:rFonts w:hAnsi="Cambria Math" w:cs="Cambria Math" w:hint="eastAsia"/>
          <w:b/>
          <w:bCs/>
          <w:i/>
          <w:iCs/>
        </w:rPr>
        <w:t xml:space="preserve">S5. Experiment </w:t>
      </w:r>
      <w:r w:rsidR="00FC7D81">
        <w:rPr>
          <w:rFonts w:hAnsi="Cambria Math" w:cs="Cambria Math" w:hint="eastAsia"/>
          <w:b/>
          <w:bCs/>
          <w:i/>
          <w:iCs/>
        </w:rPr>
        <w:t>setup</w:t>
      </w:r>
    </w:p>
    <w:p w14:paraId="2EBE8072" w14:textId="77777777" w:rsidR="00BC0790" w:rsidRDefault="00000000">
      <w:pPr>
        <w:spacing w:line="360" w:lineRule="auto"/>
        <w:jc w:val="center"/>
      </w:pPr>
      <w:r>
        <w:rPr>
          <w:rFonts w:hint="eastAsia"/>
          <w:noProof/>
        </w:rPr>
        <w:drawing>
          <wp:inline distT="0" distB="0" distL="114300" distR="114300" wp14:anchorId="6E6C5B61" wp14:editId="4DFA7839">
            <wp:extent cx="5814695" cy="2284095"/>
            <wp:effectExtent l="0" t="0" r="1905" b="1905"/>
            <wp:docPr id="24" name="图片 24" descr="experiment_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xperiment_device"/>
                    <pic:cNvPicPr>
                      <a:picLocks noChangeAspect="1"/>
                    </pic:cNvPicPr>
                  </pic:nvPicPr>
                  <pic:blipFill>
                    <a:blip r:embed="rId16"/>
                    <a:stretch>
                      <a:fillRect/>
                    </a:stretch>
                  </pic:blipFill>
                  <pic:spPr>
                    <a:xfrm>
                      <a:off x="0" y="0"/>
                      <a:ext cx="5814695" cy="2284095"/>
                    </a:xfrm>
                    <a:prstGeom prst="rect">
                      <a:avLst/>
                    </a:prstGeom>
                  </pic:spPr>
                </pic:pic>
              </a:graphicData>
            </a:graphic>
          </wp:inline>
        </w:drawing>
      </w:r>
    </w:p>
    <w:p w14:paraId="5D5267E9" w14:textId="77777777" w:rsidR="00BC0790" w:rsidRDefault="00000000">
      <w:pPr>
        <w:spacing w:line="360" w:lineRule="auto"/>
        <w:jc w:val="center"/>
        <w:rPr>
          <w:b/>
          <w:bCs/>
          <w:sz w:val="21"/>
          <w:szCs w:val="21"/>
        </w:rPr>
      </w:pPr>
      <w:r>
        <w:rPr>
          <w:rFonts w:hint="eastAsia"/>
          <w:b/>
          <w:bCs/>
          <w:sz w:val="21"/>
          <w:szCs w:val="21"/>
        </w:rPr>
        <w:t>Fig. S7 Schematic diagram of static and dynamic experimental setup.</w:t>
      </w:r>
    </w:p>
    <w:p w14:paraId="3D692EF6" w14:textId="77777777" w:rsidR="00BC0790" w:rsidRDefault="00000000">
      <w:pPr>
        <w:spacing w:line="360" w:lineRule="auto"/>
        <w:rPr>
          <w:rFonts w:hAnsi="Cambria Math" w:cs="Cambria Math"/>
        </w:rPr>
      </w:pPr>
      <w:r>
        <w:rPr>
          <w:rFonts w:hAnsi="Cambria Math" w:cs="Cambria Math"/>
        </w:rPr>
        <w:t xml:space="preserve">The experimental setup is shown in </w:t>
      </w:r>
      <w:r w:rsidRPr="000958BB">
        <w:rPr>
          <w:rFonts w:hAnsi="Cambria Math" w:cs="Cambria Math"/>
          <w:b/>
          <w:bCs/>
        </w:rPr>
        <w:t>Fig</w:t>
      </w:r>
      <w:r w:rsidRPr="000958BB">
        <w:rPr>
          <w:rFonts w:hAnsi="Cambria Math" w:cs="Cambria Math" w:hint="eastAsia"/>
          <w:b/>
          <w:bCs/>
        </w:rPr>
        <w:t>.</w:t>
      </w:r>
      <w:r w:rsidRPr="000958BB">
        <w:rPr>
          <w:rFonts w:hAnsi="Cambria Math" w:cs="Cambria Math"/>
          <w:b/>
          <w:bCs/>
        </w:rPr>
        <w:t xml:space="preserve"> </w:t>
      </w:r>
      <w:r w:rsidRPr="000958BB">
        <w:rPr>
          <w:rFonts w:hAnsi="Cambria Math" w:cs="Cambria Math" w:hint="eastAsia"/>
          <w:b/>
          <w:bCs/>
        </w:rPr>
        <w:t>S7</w:t>
      </w:r>
      <w:r>
        <w:rPr>
          <w:rFonts w:hAnsi="Cambria Math" w:cs="Cambria Math"/>
        </w:rPr>
        <w:t xml:space="preserve">. The static </w:t>
      </w:r>
      <w:r>
        <w:rPr>
          <w:rFonts w:hAnsi="Cambria Math" w:cs="Cambria Math" w:hint="eastAsia"/>
        </w:rPr>
        <w:t>experimental</w:t>
      </w:r>
      <w:r>
        <w:rPr>
          <w:rFonts w:hAnsi="Cambria Math" w:cs="Cambria Math"/>
        </w:rPr>
        <w:t xml:space="preserve"> </w:t>
      </w:r>
      <w:r>
        <w:rPr>
          <w:rFonts w:hAnsi="Cambria Math" w:cs="Cambria Math" w:hint="eastAsia"/>
        </w:rPr>
        <w:t xml:space="preserve">setup consists of </w:t>
      </w:r>
      <w:r>
        <w:rPr>
          <w:rFonts w:hAnsi="Cambria Math" w:cs="Cambria Math"/>
        </w:rPr>
        <w:t xml:space="preserve">a tunable laser (TL), a polarization controller (PC), </w:t>
      </w:r>
      <w:r>
        <w:rPr>
          <w:rFonts w:hAnsi="Cambria Math" w:cs="Cambria Math" w:hint="eastAsia"/>
        </w:rPr>
        <w:t xml:space="preserve">the multimode photonic circuit (MPC) </w:t>
      </w:r>
      <w:r>
        <w:rPr>
          <w:rFonts w:hAnsi="Cambria Math" w:cs="Cambria Math"/>
        </w:rPr>
        <w:t xml:space="preserve">and an </w:t>
      </w:r>
      <w:bookmarkStart w:id="2" w:name="_Hlk202375174"/>
      <w:r>
        <w:rPr>
          <w:rFonts w:hAnsi="Cambria Math" w:cs="Cambria Math"/>
        </w:rPr>
        <w:t>optical spectrum analyzer</w:t>
      </w:r>
      <w:bookmarkEnd w:id="2"/>
      <w:r>
        <w:rPr>
          <w:rFonts w:hAnsi="Cambria Math" w:cs="Cambria Math"/>
        </w:rPr>
        <w:t xml:space="preserve"> (OSA)</w:t>
      </w:r>
      <w:r>
        <w:rPr>
          <w:rFonts w:hAnsi="Cambria Math" w:cs="Cambria Math" w:hint="eastAsia"/>
        </w:rPr>
        <w:t>.</w:t>
      </w:r>
      <w:r>
        <w:rPr>
          <w:rFonts w:hAnsi="Cambria Math" w:cs="Cambria Math"/>
        </w:rPr>
        <w:t xml:space="preserve"> </w:t>
      </w:r>
      <w:r>
        <w:rPr>
          <w:rFonts w:hAnsi="Cambria Math" w:cs="Cambria Math" w:hint="eastAsia"/>
        </w:rPr>
        <w:t>In addition to the TL and PC, t</w:t>
      </w:r>
      <w:r>
        <w:rPr>
          <w:rFonts w:hAnsi="Cambria Math" w:cs="Cambria Math"/>
        </w:rPr>
        <w:t xml:space="preserve">he dynamic </w:t>
      </w:r>
      <w:r>
        <w:rPr>
          <w:rFonts w:hAnsi="Cambria Math" w:cs="Cambria Math" w:hint="eastAsia"/>
        </w:rPr>
        <w:t>experimental</w:t>
      </w:r>
      <w:r>
        <w:rPr>
          <w:rFonts w:hAnsi="Cambria Math" w:cs="Cambria Math"/>
        </w:rPr>
        <w:t xml:space="preserve"> </w:t>
      </w:r>
      <w:r>
        <w:rPr>
          <w:rFonts w:hAnsi="Cambria Math" w:cs="Cambria Math" w:hint="eastAsia"/>
        </w:rPr>
        <w:t>setup also consists of</w:t>
      </w:r>
      <w:r>
        <w:rPr>
          <w:rFonts w:hAnsi="Cambria Math" w:cs="Cambria Math"/>
        </w:rPr>
        <w:t xml:space="preserve"> </w:t>
      </w:r>
      <w:r>
        <w:rPr>
          <w:rFonts w:hAnsi="Cambria Math" w:cs="Cambria Math" w:hint="eastAsia"/>
        </w:rPr>
        <w:t>the o</w:t>
      </w:r>
      <w:r>
        <w:rPr>
          <w:rFonts w:hAnsi="Cambria Math" w:cs="Cambria Math"/>
        </w:rPr>
        <w:t xml:space="preserve">n-chip </w:t>
      </w:r>
      <w:r>
        <w:rPr>
          <w:rFonts w:hAnsi="Cambria Math" w:cs="Cambria Math" w:hint="eastAsia"/>
        </w:rPr>
        <w:t>e</w:t>
      </w:r>
      <w:r>
        <w:rPr>
          <w:rFonts w:hAnsi="Cambria Math" w:cs="Cambria Math"/>
        </w:rPr>
        <w:t>lectro-</w:t>
      </w:r>
      <w:r>
        <w:rPr>
          <w:rFonts w:hAnsi="Cambria Math" w:cs="Cambria Math" w:hint="eastAsia"/>
        </w:rPr>
        <w:t>o</w:t>
      </w:r>
      <w:r>
        <w:rPr>
          <w:rFonts w:hAnsi="Cambria Math" w:cs="Cambria Math"/>
        </w:rPr>
        <w:t xml:space="preserve">ptic </w:t>
      </w:r>
      <w:r>
        <w:rPr>
          <w:rFonts w:hAnsi="Cambria Math" w:cs="Cambria Math" w:hint="eastAsia"/>
        </w:rPr>
        <w:t>m</w:t>
      </w:r>
      <w:r>
        <w:rPr>
          <w:rFonts w:hAnsi="Cambria Math" w:cs="Cambria Math"/>
        </w:rPr>
        <w:t>odulator (EOM)</w:t>
      </w:r>
      <w:r>
        <w:rPr>
          <w:rFonts w:hAnsi="Cambria Math" w:cs="Cambria Math" w:hint="eastAsia"/>
        </w:rPr>
        <w:t xml:space="preserve">, </w:t>
      </w:r>
      <w:r>
        <w:rPr>
          <w:rFonts w:hAnsi="Cambria Math" w:cs="Cambria Math"/>
        </w:rPr>
        <w:t>an arbitrary waveform generator</w:t>
      </w:r>
      <w:r>
        <w:rPr>
          <w:rFonts w:hAnsi="Cambria Math" w:cs="Cambria Math" w:hint="eastAsia"/>
        </w:rPr>
        <w:t xml:space="preserve"> (AWG), </w:t>
      </w:r>
      <w:r>
        <w:rPr>
          <w:rFonts w:hAnsi="Cambria Math" w:cs="Cambria Math"/>
        </w:rPr>
        <w:t>an erbium-doped fiber amplifier (EDFA), an optical tunable filter (OTF), and a digital communication analyzer (DCA).</w:t>
      </w:r>
    </w:p>
    <w:p w14:paraId="073B5AA1" w14:textId="77777777" w:rsidR="00BC0790" w:rsidRDefault="00000000">
      <w:pPr>
        <w:spacing w:before="100" w:beforeAutospacing="1" w:line="360" w:lineRule="auto"/>
        <w:rPr>
          <w:rFonts w:eastAsia="宋体" w:cs="Times New Roman"/>
          <w:b/>
          <w:i/>
          <w:iCs/>
          <w:color w:val="222222"/>
          <w:kern w:val="0"/>
          <w:sz w:val="28"/>
          <w:szCs w:val="28"/>
        </w:rPr>
      </w:pPr>
      <w:r>
        <w:rPr>
          <w:rFonts w:eastAsia="宋体" w:cs="Times New Roman" w:hint="eastAsia"/>
          <w:b/>
          <w:i/>
          <w:iCs/>
          <w:color w:val="222222"/>
          <w:kern w:val="0"/>
          <w:sz w:val="28"/>
          <w:szCs w:val="28"/>
        </w:rPr>
        <w:lastRenderedPageBreak/>
        <w:t>References</w:t>
      </w:r>
    </w:p>
    <w:p w14:paraId="0B107C01" w14:textId="5C33422B" w:rsidR="00BC0790" w:rsidRDefault="00B95090">
      <w:pPr>
        <w:widowControl/>
        <w:numPr>
          <w:ilvl w:val="0"/>
          <w:numId w:val="1"/>
        </w:numPr>
        <w:spacing w:after="100" w:afterAutospacing="1" w:line="360" w:lineRule="auto"/>
        <w:ind w:left="357" w:hanging="357"/>
        <w:rPr>
          <w:rFonts w:eastAsia="宋体" w:cs="Times New Roman"/>
          <w:b/>
          <w:bCs/>
          <w:color w:val="222222"/>
          <w:kern w:val="0"/>
        </w:rPr>
      </w:pPr>
      <w:r>
        <w:rPr>
          <w:rFonts w:eastAsia="宋体" w:cs="Times New Roman" w:hint="eastAsia"/>
          <w:color w:val="222222"/>
          <w:kern w:val="0"/>
        </w:rPr>
        <w:t xml:space="preserve">Hammond, A., Oskooi, A., Johnson, S., &amp; Ralph, S. Photonic topology optimization with semiconductor-foundry design-rule constraints. </w:t>
      </w:r>
      <w:r w:rsidRPr="00B95090">
        <w:rPr>
          <w:rFonts w:eastAsia="宋体" w:cs="Times New Roman" w:hint="eastAsia"/>
          <w:i/>
          <w:iCs/>
          <w:color w:val="222222"/>
          <w:kern w:val="0"/>
        </w:rPr>
        <w:t>Opt. Express</w:t>
      </w:r>
      <w:r>
        <w:rPr>
          <w:rFonts w:eastAsia="宋体" w:cs="Times New Roman" w:hint="eastAsia"/>
          <w:color w:val="222222"/>
          <w:kern w:val="0"/>
        </w:rPr>
        <w:t xml:space="preserve"> </w:t>
      </w:r>
      <w:r>
        <w:rPr>
          <w:rFonts w:eastAsia="宋体" w:cs="Times New Roman" w:hint="eastAsia"/>
          <w:b/>
          <w:bCs/>
          <w:color w:val="222222"/>
          <w:kern w:val="0"/>
        </w:rPr>
        <w:t>29</w:t>
      </w:r>
      <w:r>
        <w:rPr>
          <w:rFonts w:eastAsia="宋体" w:cs="Times New Roman" w:hint="eastAsia"/>
          <w:color w:val="222222"/>
          <w:kern w:val="0"/>
        </w:rPr>
        <w:t>, 23916-23938 (2021).</w:t>
      </w:r>
    </w:p>
    <w:p w14:paraId="1271D79B" w14:textId="33F4F717" w:rsidR="00BC0790" w:rsidRDefault="00B95090">
      <w:pPr>
        <w:widowControl/>
        <w:numPr>
          <w:ilvl w:val="0"/>
          <w:numId w:val="1"/>
        </w:numPr>
        <w:spacing w:line="360" w:lineRule="auto"/>
        <w:ind w:left="357" w:hanging="357"/>
        <w:rPr>
          <w:rFonts w:eastAsia="宋体" w:cs="Times New Roman"/>
          <w:color w:val="222222"/>
          <w:kern w:val="0"/>
        </w:rPr>
      </w:pPr>
      <w:r>
        <w:rPr>
          <w:rFonts w:eastAsia="宋体" w:cs="Times New Roman" w:hint="eastAsia"/>
          <w:color w:val="222222"/>
          <w:kern w:val="0"/>
        </w:rPr>
        <w:t xml:space="preserve">Lalau-Keraly, C.M., Bhargava, S., Miller, O., &amp; Yablonovitch, E. Adjoint shape optimization applied to electromagnetic design. </w:t>
      </w:r>
      <w:r w:rsidRPr="00B95090">
        <w:rPr>
          <w:rFonts w:eastAsia="宋体" w:cs="Times New Roman" w:hint="eastAsia"/>
          <w:i/>
          <w:iCs/>
          <w:color w:val="222222"/>
          <w:kern w:val="0"/>
        </w:rPr>
        <w:t>Opt. Express</w:t>
      </w:r>
      <w:r>
        <w:rPr>
          <w:rFonts w:eastAsia="宋体" w:cs="Times New Roman" w:hint="eastAsia"/>
          <w:color w:val="222222"/>
          <w:kern w:val="0"/>
        </w:rPr>
        <w:t xml:space="preserve"> </w:t>
      </w:r>
      <w:r>
        <w:rPr>
          <w:rFonts w:eastAsia="宋体" w:cs="Times New Roman" w:hint="eastAsia"/>
          <w:b/>
          <w:bCs/>
          <w:color w:val="222222"/>
          <w:kern w:val="0"/>
        </w:rPr>
        <w:t>21</w:t>
      </w:r>
      <w:r>
        <w:rPr>
          <w:rFonts w:eastAsia="宋体" w:cs="Times New Roman" w:hint="eastAsia"/>
          <w:color w:val="222222"/>
          <w:kern w:val="0"/>
        </w:rPr>
        <w:t>, 21693-21701 (2013).</w:t>
      </w:r>
    </w:p>
    <w:p w14:paraId="3469135A" w14:textId="403EB7FA" w:rsidR="00BC0790" w:rsidRDefault="00000000">
      <w:pPr>
        <w:widowControl/>
        <w:numPr>
          <w:ilvl w:val="0"/>
          <w:numId w:val="1"/>
        </w:numPr>
        <w:spacing w:line="360" w:lineRule="auto"/>
        <w:ind w:left="357" w:hanging="357"/>
        <w:rPr>
          <w:rFonts w:cs="Times New Roman"/>
        </w:rPr>
      </w:pPr>
      <w:r>
        <w:rPr>
          <w:rFonts w:eastAsia="宋体" w:cs="Times New Roman"/>
          <w:color w:val="222222"/>
          <w:shd w:val="clear" w:color="auto" w:fill="FFFFFF"/>
        </w:rPr>
        <w:t>Lalau-Keraly</w:t>
      </w:r>
      <w:r w:rsidR="00B95090">
        <w:rPr>
          <w:rFonts w:eastAsia="宋体" w:cs="Times New Roman" w:hint="eastAsia"/>
          <w:color w:val="222222"/>
          <w:shd w:val="clear" w:color="auto" w:fill="FFFFFF"/>
        </w:rPr>
        <w:t>,</w:t>
      </w:r>
      <w:r>
        <w:rPr>
          <w:rFonts w:eastAsia="宋体" w:cs="Times New Roman"/>
          <w:color w:val="222222"/>
          <w:shd w:val="clear" w:color="auto" w:fill="FFFFFF"/>
        </w:rPr>
        <w:t xml:space="preserve"> C</w:t>
      </w:r>
      <w:r w:rsidR="00B95090">
        <w:rPr>
          <w:rFonts w:eastAsia="宋体" w:cs="Times New Roman" w:hint="eastAsia"/>
          <w:color w:val="222222"/>
          <w:shd w:val="clear" w:color="auto" w:fill="FFFFFF"/>
        </w:rPr>
        <w:t>.</w:t>
      </w:r>
      <w:r>
        <w:rPr>
          <w:rFonts w:eastAsia="宋体" w:cs="Times New Roman"/>
          <w:color w:val="222222"/>
          <w:shd w:val="clear" w:color="auto" w:fill="FFFFFF"/>
        </w:rPr>
        <w:t>M. Optimizing Nanophotonics: from Photoreceivers to</w:t>
      </w:r>
      <w:r>
        <w:rPr>
          <w:rFonts w:eastAsia="宋体" w:cs="Times New Roman" w:hint="eastAsia"/>
          <w:color w:val="222222"/>
          <w:shd w:val="clear" w:color="auto" w:fill="FFFFFF"/>
        </w:rPr>
        <w:t xml:space="preserve"> </w:t>
      </w:r>
      <w:r>
        <w:rPr>
          <w:rFonts w:eastAsia="宋体" w:cs="Times New Roman"/>
          <w:color w:val="222222"/>
          <w:shd w:val="clear" w:color="auto" w:fill="FFFFFF"/>
        </w:rPr>
        <w:t>Waveguides. University of California, Berkeley</w:t>
      </w:r>
      <w:r>
        <w:rPr>
          <w:rFonts w:eastAsia="宋体" w:cs="Times New Roman" w:hint="eastAsia"/>
          <w:color w:val="222222"/>
          <w:shd w:val="clear" w:color="auto" w:fill="FFFFFF"/>
        </w:rPr>
        <w:t xml:space="preserve"> (</w:t>
      </w:r>
      <w:r>
        <w:rPr>
          <w:rFonts w:eastAsia="宋体" w:cs="Times New Roman"/>
          <w:color w:val="222222"/>
          <w:shd w:val="clear" w:color="auto" w:fill="FFFFFF"/>
        </w:rPr>
        <w:t>2016</w:t>
      </w:r>
      <w:r>
        <w:rPr>
          <w:rFonts w:eastAsia="宋体" w:cs="Times New Roman" w:hint="eastAsia"/>
          <w:color w:val="222222"/>
          <w:shd w:val="clear" w:color="auto" w:fill="FFFFFF"/>
        </w:rPr>
        <w:t>)</w:t>
      </w:r>
      <w:r>
        <w:rPr>
          <w:rFonts w:eastAsia="宋体" w:cs="Times New Roman"/>
          <w:color w:val="222222"/>
          <w:shd w:val="clear" w:color="auto" w:fill="FFFFFF"/>
        </w:rPr>
        <w:t>.</w:t>
      </w:r>
    </w:p>
    <w:p w14:paraId="3E182675" w14:textId="1B1F03BD" w:rsidR="00BC0790" w:rsidRDefault="005C743E">
      <w:pPr>
        <w:widowControl/>
        <w:numPr>
          <w:ilvl w:val="0"/>
          <w:numId w:val="1"/>
        </w:numPr>
        <w:spacing w:line="360" w:lineRule="auto"/>
        <w:ind w:left="357" w:hanging="357"/>
        <w:rPr>
          <w:rFonts w:cs="Times New Roman"/>
        </w:rPr>
      </w:pPr>
      <w:r w:rsidRPr="005C743E">
        <w:rPr>
          <w:rFonts w:eastAsia="宋体" w:cs="Times New Roman"/>
          <w:color w:val="222222"/>
          <w:kern w:val="0"/>
        </w:rPr>
        <w:t>Zhou, M., Lazarov, B.S., Wang, F., &amp; Sigmund, O.</w:t>
      </w:r>
      <w:r w:rsidRPr="005C743E">
        <w:rPr>
          <w:rFonts w:eastAsia="宋体" w:cs="Times New Roman" w:hint="eastAsia"/>
          <w:color w:val="222222"/>
          <w:kern w:val="0"/>
        </w:rPr>
        <w:t xml:space="preserve"> </w:t>
      </w:r>
      <w:r>
        <w:rPr>
          <w:rFonts w:eastAsia="宋体" w:cs="Times New Roman" w:hint="eastAsia"/>
          <w:color w:val="222222"/>
          <w:kern w:val="0"/>
        </w:rPr>
        <w:t xml:space="preserve">Minimum length scale in topology optimization by geometric constraints. </w:t>
      </w:r>
      <w:r w:rsidRPr="005C743E">
        <w:rPr>
          <w:rFonts w:eastAsia="宋体" w:cs="Times New Roman" w:hint="eastAsia"/>
          <w:i/>
          <w:iCs/>
          <w:color w:val="222222"/>
          <w:kern w:val="0"/>
        </w:rPr>
        <w:t>Comput. Methods Appl. Mech. Eng.</w:t>
      </w:r>
      <w:r>
        <w:rPr>
          <w:rFonts w:eastAsia="宋体" w:cs="Times New Roman" w:hint="eastAsia"/>
          <w:color w:val="222222"/>
          <w:kern w:val="0"/>
        </w:rPr>
        <w:t xml:space="preserve"> </w:t>
      </w:r>
      <w:r w:rsidRPr="005C743E">
        <w:rPr>
          <w:rFonts w:eastAsia="宋体" w:cs="Times New Roman" w:hint="eastAsia"/>
          <w:b/>
          <w:bCs/>
          <w:color w:val="222222"/>
          <w:kern w:val="0"/>
        </w:rPr>
        <w:t>293</w:t>
      </w:r>
      <w:r>
        <w:rPr>
          <w:rFonts w:eastAsia="宋体" w:cs="Times New Roman" w:hint="eastAsia"/>
          <w:color w:val="222222"/>
          <w:kern w:val="0"/>
        </w:rPr>
        <w:t>, 266-282 (2015).</w:t>
      </w:r>
    </w:p>
    <w:sectPr w:rsidR="00BC0790">
      <w:pgSz w:w="11906" w:h="16838"/>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76E39" w14:textId="77777777" w:rsidR="0072733E" w:rsidRDefault="0072733E" w:rsidP="003F759E">
      <w:r>
        <w:separator/>
      </w:r>
    </w:p>
  </w:endnote>
  <w:endnote w:type="continuationSeparator" w:id="0">
    <w:p w14:paraId="6B792A80" w14:textId="77777777" w:rsidR="0072733E" w:rsidRDefault="0072733E" w:rsidP="003F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5ED91" w14:textId="77777777" w:rsidR="0072733E" w:rsidRDefault="0072733E" w:rsidP="003F759E">
      <w:r>
        <w:separator/>
      </w:r>
    </w:p>
  </w:footnote>
  <w:footnote w:type="continuationSeparator" w:id="0">
    <w:p w14:paraId="6063549F" w14:textId="77777777" w:rsidR="0072733E" w:rsidRDefault="0072733E" w:rsidP="003F7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7B33D0"/>
    <w:multiLevelType w:val="multilevel"/>
    <w:tmpl w:val="507B33D0"/>
    <w:lvl w:ilvl="0">
      <w:start w:val="1"/>
      <w:numFmt w:val="decimal"/>
      <w:lvlText w:val="%1."/>
      <w:lvlJc w:val="left"/>
      <w:pPr>
        <w:ind w:left="360" w:hanging="360"/>
      </w:pPr>
      <w:rPr>
        <w:rFonts w:hint="default"/>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629941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8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B55FA6"/>
    <w:rsid w:val="000415D5"/>
    <w:rsid w:val="0006125E"/>
    <w:rsid w:val="000629F4"/>
    <w:rsid w:val="00066745"/>
    <w:rsid w:val="000958BB"/>
    <w:rsid w:val="000B1BEB"/>
    <w:rsid w:val="000B3EA3"/>
    <w:rsid w:val="000E63E3"/>
    <w:rsid w:val="0010045C"/>
    <w:rsid w:val="00102F1C"/>
    <w:rsid w:val="00112859"/>
    <w:rsid w:val="001325D5"/>
    <w:rsid w:val="0014397D"/>
    <w:rsid w:val="001B50C3"/>
    <w:rsid w:val="001E5170"/>
    <w:rsid w:val="001E734F"/>
    <w:rsid w:val="00264AF3"/>
    <w:rsid w:val="00287167"/>
    <w:rsid w:val="002A0863"/>
    <w:rsid w:val="002A4C21"/>
    <w:rsid w:val="003101C1"/>
    <w:rsid w:val="00340B67"/>
    <w:rsid w:val="003E1669"/>
    <w:rsid w:val="003F759E"/>
    <w:rsid w:val="004573D1"/>
    <w:rsid w:val="004604CD"/>
    <w:rsid w:val="00497554"/>
    <w:rsid w:val="005264D9"/>
    <w:rsid w:val="00533AD4"/>
    <w:rsid w:val="00571EF7"/>
    <w:rsid w:val="00582ABA"/>
    <w:rsid w:val="005851D5"/>
    <w:rsid w:val="005A48E6"/>
    <w:rsid w:val="005C743E"/>
    <w:rsid w:val="006225E0"/>
    <w:rsid w:val="00682E2A"/>
    <w:rsid w:val="006D2A98"/>
    <w:rsid w:val="0072733E"/>
    <w:rsid w:val="00755D0B"/>
    <w:rsid w:val="00761B98"/>
    <w:rsid w:val="00820EBD"/>
    <w:rsid w:val="00847FE1"/>
    <w:rsid w:val="008B426A"/>
    <w:rsid w:val="00902151"/>
    <w:rsid w:val="0093620D"/>
    <w:rsid w:val="009452E8"/>
    <w:rsid w:val="00AA74DE"/>
    <w:rsid w:val="00B95090"/>
    <w:rsid w:val="00BA7048"/>
    <w:rsid w:val="00BB6899"/>
    <w:rsid w:val="00BC0790"/>
    <w:rsid w:val="00BD7F34"/>
    <w:rsid w:val="00C037C6"/>
    <w:rsid w:val="00C33E53"/>
    <w:rsid w:val="00C54D1A"/>
    <w:rsid w:val="00C7427F"/>
    <w:rsid w:val="00C76A8A"/>
    <w:rsid w:val="00CA645C"/>
    <w:rsid w:val="00CC00B6"/>
    <w:rsid w:val="00D0245C"/>
    <w:rsid w:val="00D738D5"/>
    <w:rsid w:val="00DB3518"/>
    <w:rsid w:val="00DD1240"/>
    <w:rsid w:val="00E87108"/>
    <w:rsid w:val="00ED62FD"/>
    <w:rsid w:val="00F87177"/>
    <w:rsid w:val="00FC1A62"/>
    <w:rsid w:val="00FC7D81"/>
    <w:rsid w:val="010F25BB"/>
    <w:rsid w:val="01205D5C"/>
    <w:rsid w:val="01626374"/>
    <w:rsid w:val="019127B6"/>
    <w:rsid w:val="01E4595F"/>
    <w:rsid w:val="020166A7"/>
    <w:rsid w:val="020858D9"/>
    <w:rsid w:val="021A6E1B"/>
    <w:rsid w:val="021F738A"/>
    <w:rsid w:val="02252058"/>
    <w:rsid w:val="0241005D"/>
    <w:rsid w:val="0286733B"/>
    <w:rsid w:val="0334789D"/>
    <w:rsid w:val="0370464D"/>
    <w:rsid w:val="04061BAD"/>
    <w:rsid w:val="043B4C5B"/>
    <w:rsid w:val="045533CC"/>
    <w:rsid w:val="04660D78"/>
    <w:rsid w:val="047F2C29"/>
    <w:rsid w:val="04D56F5C"/>
    <w:rsid w:val="04E6780F"/>
    <w:rsid w:val="051F632A"/>
    <w:rsid w:val="05791862"/>
    <w:rsid w:val="059E4890"/>
    <w:rsid w:val="05AF42A2"/>
    <w:rsid w:val="05C658EC"/>
    <w:rsid w:val="06074C38"/>
    <w:rsid w:val="067F560B"/>
    <w:rsid w:val="06887E0D"/>
    <w:rsid w:val="06A35E22"/>
    <w:rsid w:val="073F7B8A"/>
    <w:rsid w:val="077F52D6"/>
    <w:rsid w:val="07925AB6"/>
    <w:rsid w:val="079B4657"/>
    <w:rsid w:val="07E13D6B"/>
    <w:rsid w:val="07E464E8"/>
    <w:rsid w:val="085F360E"/>
    <w:rsid w:val="086C249E"/>
    <w:rsid w:val="088210AA"/>
    <w:rsid w:val="0940560C"/>
    <w:rsid w:val="09495BE0"/>
    <w:rsid w:val="094B3B92"/>
    <w:rsid w:val="09777000"/>
    <w:rsid w:val="09A77BE3"/>
    <w:rsid w:val="09EF451D"/>
    <w:rsid w:val="0A530095"/>
    <w:rsid w:val="0A6E23E3"/>
    <w:rsid w:val="0B0F299D"/>
    <w:rsid w:val="0B0F5352"/>
    <w:rsid w:val="0B2A05DB"/>
    <w:rsid w:val="0B333733"/>
    <w:rsid w:val="0B837613"/>
    <w:rsid w:val="0BA046D8"/>
    <w:rsid w:val="0BC814CA"/>
    <w:rsid w:val="0BCF2858"/>
    <w:rsid w:val="0C0B3ED6"/>
    <w:rsid w:val="0C10060B"/>
    <w:rsid w:val="0C2030B4"/>
    <w:rsid w:val="0C4A2112"/>
    <w:rsid w:val="0C507C91"/>
    <w:rsid w:val="0C75635D"/>
    <w:rsid w:val="0D3A55CB"/>
    <w:rsid w:val="0D476406"/>
    <w:rsid w:val="0D5A6456"/>
    <w:rsid w:val="0DF00EB4"/>
    <w:rsid w:val="0E0B033E"/>
    <w:rsid w:val="0E406536"/>
    <w:rsid w:val="0E407A3D"/>
    <w:rsid w:val="0E4C2E04"/>
    <w:rsid w:val="0F0C375D"/>
    <w:rsid w:val="0F1A3C19"/>
    <w:rsid w:val="0F234C69"/>
    <w:rsid w:val="0F39623B"/>
    <w:rsid w:val="0F7554C5"/>
    <w:rsid w:val="0F94743F"/>
    <w:rsid w:val="0FB84295"/>
    <w:rsid w:val="0FDE750E"/>
    <w:rsid w:val="100A4880"/>
    <w:rsid w:val="107E484D"/>
    <w:rsid w:val="10BB1255"/>
    <w:rsid w:val="10E66141"/>
    <w:rsid w:val="111629CD"/>
    <w:rsid w:val="11205904"/>
    <w:rsid w:val="1127521B"/>
    <w:rsid w:val="11457A94"/>
    <w:rsid w:val="11BA1AF1"/>
    <w:rsid w:val="12BB577E"/>
    <w:rsid w:val="12BE3627"/>
    <w:rsid w:val="12C02EFB"/>
    <w:rsid w:val="12FF7247"/>
    <w:rsid w:val="134C51F9"/>
    <w:rsid w:val="13670BBD"/>
    <w:rsid w:val="13B66FB0"/>
    <w:rsid w:val="13D022A5"/>
    <w:rsid w:val="145A4DD9"/>
    <w:rsid w:val="14625AD2"/>
    <w:rsid w:val="149B2A75"/>
    <w:rsid w:val="14C34F24"/>
    <w:rsid w:val="14E67A56"/>
    <w:rsid w:val="15095C7E"/>
    <w:rsid w:val="15211C4B"/>
    <w:rsid w:val="156E6DF9"/>
    <w:rsid w:val="158B7F66"/>
    <w:rsid w:val="15B72B3B"/>
    <w:rsid w:val="16365331"/>
    <w:rsid w:val="16A3500D"/>
    <w:rsid w:val="16AD3796"/>
    <w:rsid w:val="17826121"/>
    <w:rsid w:val="18695DE3"/>
    <w:rsid w:val="18971776"/>
    <w:rsid w:val="18DD00BF"/>
    <w:rsid w:val="18DE057F"/>
    <w:rsid w:val="191808CF"/>
    <w:rsid w:val="19B252DC"/>
    <w:rsid w:val="19B723FF"/>
    <w:rsid w:val="19C6759D"/>
    <w:rsid w:val="19D149EC"/>
    <w:rsid w:val="19E217C3"/>
    <w:rsid w:val="1A54752D"/>
    <w:rsid w:val="1A581D2B"/>
    <w:rsid w:val="1A7D23B7"/>
    <w:rsid w:val="1AA17AB6"/>
    <w:rsid w:val="1B09044A"/>
    <w:rsid w:val="1B155DAE"/>
    <w:rsid w:val="1B2666DA"/>
    <w:rsid w:val="1B544B28"/>
    <w:rsid w:val="1BCD3E9A"/>
    <w:rsid w:val="1C053387"/>
    <w:rsid w:val="1C1278FA"/>
    <w:rsid w:val="1C1F5D6C"/>
    <w:rsid w:val="1C8054A9"/>
    <w:rsid w:val="1CD86EA2"/>
    <w:rsid w:val="1CDA105D"/>
    <w:rsid w:val="1D3F136B"/>
    <w:rsid w:val="1D6D1ED1"/>
    <w:rsid w:val="1D90796E"/>
    <w:rsid w:val="1DB573D4"/>
    <w:rsid w:val="1DD71A40"/>
    <w:rsid w:val="1E024B96"/>
    <w:rsid w:val="1E4569AA"/>
    <w:rsid w:val="1E674B72"/>
    <w:rsid w:val="1E6D3A99"/>
    <w:rsid w:val="1E803A9B"/>
    <w:rsid w:val="1ED700AA"/>
    <w:rsid w:val="1EE937D9"/>
    <w:rsid w:val="1F120F76"/>
    <w:rsid w:val="1F366A93"/>
    <w:rsid w:val="1F403CF4"/>
    <w:rsid w:val="1F560A50"/>
    <w:rsid w:val="1F9B463A"/>
    <w:rsid w:val="1FAB0286"/>
    <w:rsid w:val="1FC50859"/>
    <w:rsid w:val="2000702C"/>
    <w:rsid w:val="205B635F"/>
    <w:rsid w:val="20C42253"/>
    <w:rsid w:val="20DF4E94"/>
    <w:rsid w:val="20E17046"/>
    <w:rsid w:val="214B166A"/>
    <w:rsid w:val="21680B92"/>
    <w:rsid w:val="21B52099"/>
    <w:rsid w:val="21C83FC3"/>
    <w:rsid w:val="21E942E6"/>
    <w:rsid w:val="221C1E74"/>
    <w:rsid w:val="22404231"/>
    <w:rsid w:val="22502E56"/>
    <w:rsid w:val="226777D7"/>
    <w:rsid w:val="229F4CB7"/>
    <w:rsid w:val="23233278"/>
    <w:rsid w:val="23294AEC"/>
    <w:rsid w:val="237F1D63"/>
    <w:rsid w:val="243B0042"/>
    <w:rsid w:val="24455956"/>
    <w:rsid w:val="24C30872"/>
    <w:rsid w:val="2536704D"/>
    <w:rsid w:val="2549580B"/>
    <w:rsid w:val="25907B75"/>
    <w:rsid w:val="25B34B41"/>
    <w:rsid w:val="26F40F6D"/>
    <w:rsid w:val="27035E54"/>
    <w:rsid w:val="27207561"/>
    <w:rsid w:val="272A2BE1"/>
    <w:rsid w:val="27906EE8"/>
    <w:rsid w:val="279E0B42"/>
    <w:rsid w:val="27AE653F"/>
    <w:rsid w:val="283965C3"/>
    <w:rsid w:val="28582F70"/>
    <w:rsid w:val="287C7652"/>
    <w:rsid w:val="2886653D"/>
    <w:rsid w:val="28907410"/>
    <w:rsid w:val="28B906C0"/>
    <w:rsid w:val="28ED34CE"/>
    <w:rsid w:val="29C73158"/>
    <w:rsid w:val="2A53244F"/>
    <w:rsid w:val="2A573E05"/>
    <w:rsid w:val="2B2D4A4E"/>
    <w:rsid w:val="2B8149FB"/>
    <w:rsid w:val="2B834F11"/>
    <w:rsid w:val="2BB56FE4"/>
    <w:rsid w:val="2C0053B3"/>
    <w:rsid w:val="2C983D35"/>
    <w:rsid w:val="2CBE5B7E"/>
    <w:rsid w:val="2CC338BC"/>
    <w:rsid w:val="2CF2314A"/>
    <w:rsid w:val="2CF46E83"/>
    <w:rsid w:val="2CFC2438"/>
    <w:rsid w:val="2D105FAB"/>
    <w:rsid w:val="2D12039F"/>
    <w:rsid w:val="2D35408E"/>
    <w:rsid w:val="2D376BAE"/>
    <w:rsid w:val="2D4D13D7"/>
    <w:rsid w:val="2DB43204"/>
    <w:rsid w:val="2E02075B"/>
    <w:rsid w:val="2E0A0F8F"/>
    <w:rsid w:val="2EA66FF1"/>
    <w:rsid w:val="2EBE25FD"/>
    <w:rsid w:val="2EC333C5"/>
    <w:rsid w:val="2EC60895"/>
    <w:rsid w:val="2ED208A0"/>
    <w:rsid w:val="2F6923E0"/>
    <w:rsid w:val="2F6D2868"/>
    <w:rsid w:val="2F876C1B"/>
    <w:rsid w:val="2FE93C34"/>
    <w:rsid w:val="2FFB1A6A"/>
    <w:rsid w:val="30474804"/>
    <w:rsid w:val="306C5CB2"/>
    <w:rsid w:val="30803872"/>
    <w:rsid w:val="310821E5"/>
    <w:rsid w:val="316C2EA2"/>
    <w:rsid w:val="31B23EFF"/>
    <w:rsid w:val="31C75BFC"/>
    <w:rsid w:val="31E77D87"/>
    <w:rsid w:val="32295B32"/>
    <w:rsid w:val="323D57AC"/>
    <w:rsid w:val="324A4137"/>
    <w:rsid w:val="32846BD4"/>
    <w:rsid w:val="32A0644D"/>
    <w:rsid w:val="32BF68D3"/>
    <w:rsid w:val="32DD2D7E"/>
    <w:rsid w:val="336C2D9A"/>
    <w:rsid w:val="33D45BC1"/>
    <w:rsid w:val="34B13F09"/>
    <w:rsid w:val="352E7D40"/>
    <w:rsid w:val="352F17FA"/>
    <w:rsid w:val="3550415A"/>
    <w:rsid w:val="35852BFF"/>
    <w:rsid w:val="35C00117"/>
    <w:rsid w:val="35C054B6"/>
    <w:rsid w:val="35C13F24"/>
    <w:rsid w:val="35FE3BB6"/>
    <w:rsid w:val="360633C2"/>
    <w:rsid w:val="360B261A"/>
    <w:rsid w:val="362E429C"/>
    <w:rsid w:val="36DA1F2E"/>
    <w:rsid w:val="36FA25D0"/>
    <w:rsid w:val="37002EA1"/>
    <w:rsid w:val="376C6CB3"/>
    <w:rsid w:val="37831E19"/>
    <w:rsid w:val="380C796E"/>
    <w:rsid w:val="38376F0C"/>
    <w:rsid w:val="38382B37"/>
    <w:rsid w:val="38961E84"/>
    <w:rsid w:val="38C373A5"/>
    <w:rsid w:val="38E726E0"/>
    <w:rsid w:val="38F92413"/>
    <w:rsid w:val="38FF610C"/>
    <w:rsid w:val="39316275"/>
    <w:rsid w:val="39597CDF"/>
    <w:rsid w:val="39C62CD0"/>
    <w:rsid w:val="3A663AD8"/>
    <w:rsid w:val="3B0C28D2"/>
    <w:rsid w:val="3B1D688D"/>
    <w:rsid w:val="3B6B3A9C"/>
    <w:rsid w:val="3B895CD0"/>
    <w:rsid w:val="3BD10EFB"/>
    <w:rsid w:val="3C2055D3"/>
    <w:rsid w:val="3C3A04AE"/>
    <w:rsid w:val="3C522566"/>
    <w:rsid w:val="3C7715E4"/>
    <w:rsid w:val="3C9C5ED7"/>
    <w:rsid w:val="3CBE56B2"/>
    <w:rsid w:val="3CC13782"/>
    <w:rsid w:val="3CE84C78"/>
    <w:rsid w:val="3D3D6D72"/>
    <w:rsid w:val="3E09759C"/>
    <w:rsid w:val="3E225321"/>
    <w:rsid w:val="3E3315F3"/>
    <w:rsid w:val="3F026A5A"/>
    <w:rsid w:val="3F04075C"/>
    <w:rsid w:val="3F1C7CF6"/>
    <w:rsid w:val="3F362EEF"/>
    <w:rsid w:val="3FB1045F"/>
    <w:rsid w:val="40243A0E"/>
    <w:rsid w:val="40517ED9"/>
    <w:rsid w:val="40672DCA"/>
    <w:rsid w:val="408B3D18"/>
    <w:rsid w:val="408E7E98"/>
    <w:rsid w:val="40B97058"/>
    <w:rsid w:val="40E37896"/>
    <w:rsid w:val="40E76324"/>
    <w:rsid w:val="41280164"/>
    <w:rsid w:val="41281AE7"/>
    <w:rsid w:val="412B12FB"/>
    <w:rsid w:val="41390199"/>
    <w:rsid w:val="41BD012C"/>
    <w:rsid w:val="42162288"/>
    <w:rsid w:val="42497AA8"/>
    <w:rsid w:val="427A051D"/>
    <w:rsid w:val="42CB06DB"/>
    <w:rsid w:val="444262CF"/>
    <w:rsid w:val="4484797D"/>
    <w:rsid w:val="44B01BBA"/>
    <w:rsid w:val="44E13BAF"/>
    <w:rsid w:val="44F06DC0"/>
    <w:rsid w:val="45322F35"/>
    <w:rsid w:val="455D70B3"/>
    <w:rsid w:val="45A801C9"/>
    <w:rsid w:val="45D842A1"/>
    <w:rsid w:val="460F6F8F"/>
    <w:rsid w:val="466E147D"/>
    <w:rsid w:val="469F00F9"/>
    <w:rsid w:val="46BB5EFC"/>
    <w:rsid w:val="47624855"/>
    <w:rsid w:val="47853BE9"/>
    <w:rsid w:val="479202EB"/>
    <w:rsid w:val="47D66A59"/>
    <w:rsid w:val="487255ED"/>
    <w:rsid w:val="488A4F0B"/>
    <w:rsid w:val="48CE77DB"/>
    <w:rsid w:val="48EA1893"/>
    <w:rsid w:val="49000BBA"/>
    <w:rsid w:val="49386E85"/>
    <w:rsid w:val="494D5008"/>
    <w:rsid w:val="495F0ABC"/>
    <w:rsid w:val="49957F36"/>
    <w:rsid w:val="4A574CDF"/>
    <w:rsid w:val="4A657785"/>
    <w:rsid w:val="4ABE0BED"/>
    <w:rsid w:val="4AD649B1"/>
    <w:rsid w:val="4AFC06ED"/>
    <w:rsid w:val="4B4734B2"/>
    <w:rsid w:val="4B6B5E13"/>
    <w:rsid w:val="4C2C2DD4"/>
    <w:rsid w:val="4C5C2AE1"/>
    <w:rsid w:val="4C853456"/>
    <w:rsid w:val="4C9359CC"/>
    <w:rsid w:val="4C9A58C3"/>
    <w:rsid w:val="4D1C6CF3"/>
    <w:rsid w:val="4D3D2E1D"/>
    <w:rsid w:val="4D4128AF"/>
    <w:rsid w:val="4D664D3B"/>
    <w:rsid w:val="4DCB2F70"/>
    <w:rsid w:val="4DCF2CF9"/>
    <w:rsid w:val="4E013DEC"/>
    <w:rsid w:val="4EF456FF"/>
    <w:rsid w:val="4F023896"/>
    <w:rsid w:val="4F097FCA"/>
    <w:rsid w:val="4F343D4D"/>
    <w:rsid w:val="4F4B42E1"/>
    <w:rsid w:val="4F626D03"/>
    <w:rsid w:val="4F8F4266"/>
    <w:rsid w:val="4FC155E1"/>
    <w:rsid w:val="4FEE2A0C"/>
    <w:rsid w:val="504F52E3"/>
    <w:rsid w:val="50AA6E17"/>
    <w:rsid w:val="50AC198A"/>
    <w:rsid w:val="50CB5D4B"/>
    <w:rsid w:val="51990A7C"/>
    <w:rsid w:val="51CC4711"/>
    <w:rsid w:val="51D86272"/>
    <w:rsid w:val="51E6648F"/>
    <w:rsid w:val="52140128"/>
    <w:rsid w:val="524F307C"/>
    <w:rsid w:val="52642286"/>
    <w:rsid w:val="529C5149"/>
    <w:rsid w:val="52B01C7F"/>
    <w:rsid w:val="52C74B5B"/>
    <w:rsid w:val="52FA43B9"/>
    <w:rsid w:val="53657201"/>
    <w:rsid w:val="53924B71"/>
    <w:rsid w:val="53C31BC5"/>
    <w:rsid w:val="53F438E8"/>
    <w:rsid w:val="540B7CE8"/>
    <w:rsid w:val="546832F7"/>
    <w:rsid w:val="5474391D"/>
    <w:rsid w:val="5507618C"/>
    <w:rsid w:val="5511700B"/>
    <w:rsid w:val="556A5C4D"/>
    <w:rsid w:val="55BA2143"/>
    <w:rsid w:val="55F05B77"/>
    <w:rsid w:val="55F67FAE"/>
    <w:rsid w:val="562543F0"/>
    <w:rsid w:val="568D244F"/>
    <w:rsid w:val="56C8194B"/>
    <w:rsid w:val="577949F3"/>
    <w:rsid w:val="57AF48B9"/>
    <w:rsid w:val="57DD1426"/>
    <w:rsid w:val="57F616F8"/>
    <w:rsid w:val="57FD73D2"/>
    <w:rsid w:val="5879667E"/>
    <w:rsid w:val="58B5795F"/>
    <w:rsid w:val="58D50FC5"/>
    <w:rsid w:val="58D71993"/>
    <w:rsid w:val="58FC1D80"/>
    <w:rsid w:val="59352B9C"/>
    <w:rsid w:val="59387870"/>
    <w:rsid w:val="5A0850AB"/>
    <w:rsid w:val="5A674602"/>
    <w:rsid w:val="5C163158"/>
    <w:rsid w:val="5C9365F8"/>
    <w:rsid w:val="5C9B26DD"/>
    <w:rsid w:val="5CB55FA6"/>
    <w:rsid w:val="5CBA1D36"/>
    <w:rsid w:val="5E225DE5"/>
    <w:rsid w:val="5E763175"/>
    <w:rsid w:val="5E86584A"/>
    <w:rsid w:val="5EAC1B52"/>
    <w:rsid w:val="5F412B1F"/>
    <w:rsid w:val="5F6A7950"/>
    <w:rsid w:val="5F864BC4"/>
    <w:rsid w:val="5FA665A1"/>
    <w:rsid w:val="5FCF78A6"/>
    <w:rsid w:val="5FED14F2"/>
    <w:rsid w:val="605D3429"/>
    <w:rsid w:val="60732927"/>
    <w:rsid w:val="60802A2C"/>
    <w:rsid w:val="61357BDD"/>
    <w:rsid w:val="61430B84"/>
    <w:rsid w:val="619E04DC"/>
    <w:rsid w:val="61FE7100"/>
    <w:rsid w:val="62145FD9"/>
    <w:rsid w:val="6240712E"/>
    <w:rsid w:val="62624078"/>
    <w:rsid w:val="626C11E6"/>
    <w:rsid w:val="62712E97"/>
    <w:rsid w:val="62B1419E"/>
    <w:rsid w:val="62B47227"/>
    <w:rsid w:val="62C94BB0"/>
    <w:rsid w:val="63FD075A"/>
    <w:rsid w:val="65366619"/>
    <w:rsid w:val="658C06C2"/>
    <w:rsid w:val="65C82364"/>
    <w:rsid w:val="66070380"/>
    <w:rsid w:val="66784A66"/>
    <w:rsid w:val="668138C4"/>
    <w:rsid w:val="66AE1992"/>
    <w:rsid w:val="66AF21DF"/>
    <w:rsid w:val="66D00EBA"/>
    <w:rsid w:val="67177DB9"/>
    <w:rsid w:val="6744501E"/>
    <w:rsid w:val="67650BBF"/>
    <w:rsid w:val="67836389"/>
    <w:rsid w:val="681C08CC"/>
    <w:rsid w:val="684A6664"/>
    <w:rsid w:val="68617509"/>
    <w:rsid w:val="68770A1F"/>
    <w:rsid w:val="689B6592"/>
    <w:rsid w:val="68C71E2C"/>
    <w:rsid w:val="68C84DDF"/>
    <w:rsid w:val="68D72FAB"/>
    <w:rsid w:val="690C441C"/>
    <w:rsid w:val="692E2178"/>
    <w:rsid w:val="69AD5FFA"/>
    <w:rsid w:val="69CD3B38"/>
    <w:rsid w:val="69E623BC"/>
    <w:rsid w:val="69FA10B6"/>
    <w:rsid w:val="6A291CEC"/>
    <w:rsid w:val="6A6E4160"/>
    <w:rsid w:val="6AA030E9"/>
    <w:rsid w:val="6B021A64"/>
    <w:rsid w:val="6B9F6CC6"/>
    <w:rsid w:val="6C04283C"/>
    <w:rsid w:val="6C095A4A"/>
    <w:rsid w:val="6C131164"/>
    <w:rsid w:val="6C1963C2"/>
    <w:rsid w:val="6C20303D"/>
    <w:rsid w:val="6C437E2A"/>
    <w:rsid w:val="6C482C89"/>
    <w:rsid w:val="6CBE3D9E"/>
    <w:rsid w:val="6CCF1940"/>
    <w:rsid w:val="6CCF2031"/>
    <w:rsid w:val="6D3F28C7"/>
    <w:rsid w:val="6D754347"/>
    <w:rsid w:val="6DAB483C"/>
    <w:rsid w:val="6DC75CD7"/>
    <w:rsid w:val="6DEB2CE5"/>
    <w:rsid w:val="6EDC04F7"/>
    <w:rsid w:val="6EF44538"/>
    <w:rsid w:val="70125218"/>
    <w:rsid w:val="702F5093"/>
    <w:rsid w:val="70333E81"/>
    <w:rsid w:val="70645DE9"/>
    <w:rsid w:val="707D6EAA"/>
    <w:rsid w:val="70AE52B6"/>
    <w:rsid w:val="71387BB5"/>
    <w:rsid w:val="714E58E9"/>
    <w:rsid w:val="71AE477E"/>
    <w:rsid w:val="71E74F23"/>
    <w:rsid w:val="71E80C9B"/>
    <w:rsid w:val="7258372B"/>
    <w:rsid w:val="725974A3"/>
    <w:rsid w:val="72620A4E"/>
    <w:rsid w:val="726E73F3"/>
    <w:rsid w:val="72853B30"/>
    <w:rsid w:val="72A526E9"/>
    <w:rsid w:val="72BB1F0C"/>
    <w:rsid w:val="73337CF4"/>
    <w:rsid w:val="73906E45"/>
    <w:rsid w:val="739E3FA4"/>
    <w:rsid w:val="740D49E9"/>
    <w:rsid w:val="742227EF"/>
    <w:rsid w:val="747359D4"/>
    <w:rsid w:val="74B66E2F"/>
    <w:rsid w:val="75002EF4"/>
    <w:rsid w:val="752E10BB"/>
    <w:rsid w:val="7595181C"/>
    <w:rsid w:val="75A346C9"/>
    <w:rsid w:val="75F50835"/>
    <w:rsid w:val="76263E3D"/>
    <w:rsid w:val="76434C52"/>
    <w:rsid w:val="76854AE4"/>
    <w:rsid w:val="778E09AE"/>
    <w:rsid w:val="77AD4519"/>
    <w:rsid w:val="77C06439"/>
    <w:rsid w:val="77C40936"/>
    <w:rsid w:val="77F415C5"/>
    <w:rsid w:val="783C764B"/>
    <w:rsid w:val="78616F22"/>
    <w:rsid w:val="786931D0"/>
    <w:rsid w:val="794C5FB4"/>
    <w:rsid w:val="79766B8D"/>
    <w:rsid w:val="7987219A"/>
    <w:rsid w:val="798A3666"/>
    <w:rsid w:val="798B3D99"/>
    <w:rsid w:val="79FF4DD4"/>
    <w:rsid w:val="7A6A54E3"/>
    <w:rsid w:val="7A7D61C1"/>
    <w:rsid w:val="7A944B5C"/>
    <w:rsid w:val="7B1A4BD7"/>
    <w:rsid w:val="7B22312E"/>
    <w:rsid w:val="7B3D5980"/>
    <w:rsid w:val="7B471652"/>
    <w:rsid w:val="7B716301"/>
    <w:rsid w:val="7BBF0F61"/>
    <w:rsid w:val="7BD72ADC"/>
    <w:rsid w:val="7BEF1922"/>
    <w:rsid w:val="7C8F68E3"/>
    <w:rsid w:val="7CCC724B"/>
    <w:rsid w:val="7D0D15B6"/>
    <w:rsid w:val="7D67516A"/>
    <w:rsid w:val="7D7A0CAD"/>
    <w:rsid w:val="7D7E04FD"/>
    <w:rsid w:val="7D877684"/>
    <w:rsid w:val="7DAF2296"/>
    <w:rsid w:val="7DB01C6F"/>
    <w:rsid w:val="7E8A7362"/>
    <w:rsid w:val="7E987415"/>
    <w:rsid w:val="7EB50157"/>
    <w:rsid w:val="7EC30AC6"/>
    <w:rsid w:val="7F7368D2"/>
    <w:rsid w:val="7FFC31CE"/>
    <w:rsid w:val="7FFD1DB6"/>
  </w:rsids>
  <m:mathPr>
    <m:mathFont m:val="Cambria Math"/>
    <m:brkBin m:val="before"/>
    <m:brkBinSub m:val="--"/>
    <m:smallFrac m:val="0"/>
    <m:dispDef/>
    <m:lMargin m:val="0"/>
    <m:rMargin m:val="0"/>
    <m:defJc m:val="centerGroup"/>
    <m:wrapIndent m:val="85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7EC357"/>
  <w15:docId w15:val="{0AB17249-B22E-4171-A503-372234D8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heme="minorEastAsia" w:cstheme="minorBidi"/>
      <w:kern w:val="2"/>
      <w:sz w:val="24"/>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qFormat/>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FollowedHyperlink"/>
    <w:basedOn w:val="a0"/>
    <w:qFormat/>
    <w:rPr>
      <w:color w:val="800080"/>
      <w:u w:val="single"/>
    </w:rPr>
  </w:style>
  <w:style w:type="character" w:styleId="ab">
    <w:name w:val="Emphasis"/>
    <w:basedOn w:val="a0"/>
    <w:qFormat/>
    <w:rPr>
      <w:i/>
    </w:rPr>
  </w:style>
  <w:style w:type="character" w:styleId="ac">
    <w:name w:val="Hyperlink"/>
    <w:basedOn w:val="a0"/>
    <w:uiPriority w:val="99"/>
    <w:qFormat/>
    <w:rPr>
      <w:color w:val="0000FF"/>
      <w:u w:val="single"/>
    </w:rPr>
  </w:style>
  <w:style w:type="paragraph" w:customStyle="1" w:styleId="c-article-author-listitem">
    <w:name w:val="c-article-author-list__item"/>
    <w:basedOn w:val="a"/>
    <w:qFormat/>
    <w:pPr>
      <w:widowControl/>
      <w:spacing w:before="100" w:beforeAutospacing="1" w:after="100" w:afterAutospacing="1"/>
      <w:jc w:val="left"/>
    </w:pPr>
    <w:rPr>
      <w:rFonts w:ascii="宋体" w:eastAsia="宋体" w:hAnsi="宋体" w:cs="宋体"/>
      <w:kern w:val="0"/>
    </w:rPr>
  </w:style>
  <w:style w:type="character" w:customStyle="1" w:styleId="a6">
    <w:name w:val="页眉 字符"/>
    <w:basedOn w:val="a0"/>
    <w:link w:val="a5"/>
    <w:qFormat/>
    <w:rPr>
      <w:rFonts w:eastAsiaTheme="minorEastAsia" w:cstheme="minorBidi"/>
      <w:kern w:val="2"/>
      <w:sz w:val="18"/>
      <w:szCs w:val="18"/>
    </w:rPr>
  </w:style>
  <w:style w:type="character" w:customStyle="1" w:styleId="a4">
    <w:name w:val="页脚 字符"/>
    <w:basedOn w:val="a0"/>
    <w:link w:val="a3"/>
    <w:qFormat/>
    <w:rPr>
      <w:rFonts w:eastAsiaTheme="minorEastAsia"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ianyh@lzu.edu.cn"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uanghui.ren@rmit.edu.au"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mailto:hjxia@hfut.edu.cn" TargetMode="External"/><Relationship Id="rId14" Type="http://schemas.openxmlformats.org/officeDocument/2006/relationships/image" Target="media/image5.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10</Pages>
  <Words>1954</Words>
  <Characters>11281</Characters>
  <Application>Microsoft Office Word</Application>
  <DocSecurity>0</DocSecurity>
  <Lines>181</Lines>
  <Paragraphs>82</Paragraphs>
  <ScaleCrop>false</ScaleCrop>
  <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微信用户</dc:creator>
  <cp:lastModifiedBy>Xu Han</cp:lastModifiedBy>
  <cp:revision>14</cp:revision>
  <dcterms:created xsi:type="dcterms:W3CDTF">2025-08-11T06:44:00Z</dcterms:created>
  <dcterms:modified xsi:type="dcterms:W3CDTF">2025-08-27T05:31:00Z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4A8F79341A544A46B56D0EF26F80A9E3_13</vt:lpwstr>
  </property>
  <property fmtid="{D5CDD505-2E9C-101B-9397-08002B2CF9AE}" pid="4" name="KSOTemplateDocerSaveRecord">
    <vt:lpwstr>eyJoZGlkIjoiOTExMWU1YjRlOTAxNDMzZjNjYWFlYTg2ODQ5MjQ3OTciLCJ1c2VySWQiOiIxMzMzMzgyMjUxIn0=</vt:lpwstr>
  </property>
</Properties>
</file>