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5DF1D" w14:textId="77777777" w:rsidR="005D3AAA" w:rsidRPr="00983B97" w:rsidRDefault="005D3AAA" w:rsidP="005D3AAA">
      <w:pPr>
        <w:pStyle w:val="GJUS1Balk"/>
      </w:pPr>
      <w:r w:rsidRPr="00983B97">
        <w:t>APPENDIX</w:t>
      </w:r>
    </w:p>
    <w:p w14:paraId="1EAD415D" w14:textId="77777777" w:rsidR="005D3AAA" w:rsidRPr="00983B97" w:rsidRDefault="005D3AAA" w:rsidP="005D3AAA">
      <w:pPr>
        <w:pStyle w:val="GJUSGvde"/>
      </w:pPr>
      <w:r w:rsidRPr="00983B97">
        <w:t xml:space="preserve">This appendix presents a comprehensive table that integrates both the structured four-phase approach of IDBMF with quantitative validation data, demonstrating its effectiveness in BIM data governance, interoperability, security, and maturity progression. </w:t>
      </w:r>
      <w:r w:rsidRPr="00983B97">
        <w:fldChar w:fldCharType="begin"/>
      </w:r>
      <w:r w:rsidRPr="00983B97">
        <w:instrText xml:space="preserve"> REF _Ref201079436 \h  \* MERGEFORMAT </w:instrText>
      </w:r>
      <w:r w:rsidRPr="00983B97">
        <w:fldChar w:fldCharType="separate"/>
      </w:r>
      <w:r w:rsidRPr="00983B97">
        <w:t xml:space="preserve">Appendix </w:t>
      </w:r>
      <w:r w:rsidRPr="00983B97">
        <w:rPr>
          <w:noProof/>
        </w:rPr>
        <w:t>1</w:t>
      </w:r>
      <w:r w:rsidRPr="00983B97">
        <w:fldChar w:fldCharType="end"/>
      </w:r>
      <w:r w:rsidRPr="00983B97">
        <w:t xml:space="preserve"> systematically aligns ISO 19650’s structured workflows with DMBoK2’s governance principles, ensuring a standardized, adaptable, and scalable data management framework for BIM environments. By quantifying the measured improvements, the data validates IDBMF’s ability to enhance documentation accuracy, optimize real-time collaboration, strengthen security controls, and establish scalable governance models. The structured evaluation of these parameters offers a robust foundation for further academic research and industry applications, reinforcing the framework’s practical viability.</w:t>
      </w:r>
    </w:p>
    <w:p w14:paraId="77B160DA" w14:textId="77777777" w:rsidR="005D3AAA" w:rsidRPr="00983B97" w:rsidRDefault="005D3AAA" w:rsidP="005D3AAA">
      <w:pPr>
        <w:pStyle w:val="GJUSTable"/>
        <w:rPr>
          <w:color w:val="auto"/>
        </w:rPr>
      </w:pPr>
      <w:bookmarkStart w:id="0" w:name="_Ref201079436"/>
      <w:r w:rsidRPr="00983B97">
        <w:rPr>
          <w:color w:val="auto"/>
        </w:rPr>
        <w:t xml:space="preserve">Appendix </w:t>
      </w:r>
      <w:r w:rsidRPr="00983B97">
        <w:rPr>
          <w:color w:val="auto"/>
        </w:rPr>
        <w:fldChar w:fldCharType="begin"/>
      </w:r>
      <w:r w:rsidRPr="00983B97">
        <w:rPr>
          <w:color w:val="auto"/>
        </w:rPr>
        <w:instrText xml:space="preserve"> SEQ Appendix \* ARABIC </w:instrText>
      </w:r>
      <w:r w:rsidRPr="00983B97">
        <w:rPr>
          <w:color w:val="auto"/>
        </w:rPr>
        <w:fldChar w:fldCharType="separate"/>
      </w:r>
      <w:r w:rsidRPr="00983B97">
        <w:rPr>
          <w:noProof/>
          <w:color w:val="auto"/>
        </w:rPr>
        <w:t>1</w:t>
      </w:r>
      <w:r w:rsidRPr="00983B97">
        <w:rPr>
          <w:color w:val="auto"/>
        </w:rPr>
        <w:fldChar w:fldCharType="end"/>
      </w:r>
      <w:bookmarkEnd w:id="0"/>
      <w:r w:rsidRPr="00983B97">
        <w:rPr>
          <w:color w:val="auto"/>
        </w:rPr>
        <w:t xml:space="preserve">. </w:t>
      </w:r>
      <w:r w:rsidRPr="00983B97">
        <w:rPr>
          <w:b w:val="0"/>
          <w:bCs w:val="0"/>
          <w:color w:val="auto"/>
        </w:rPr>
        <w:t>Comprehensive table integrating the structured four-phase approach of IDBMF with quantitative validation data.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7"/>
        <w:gridCol w:w="1066"/>
        <w:gridCol w:w="1098"/>
        <w:gridCol w:w="1153"/>
        <w:gridCol w:w="1194"/>
        <w:gridCol w:w="1194"/>
        <w:gridCol w:w="1051"/>
        <w:gridCol w:w="1153"/>
      </w:tblGrid>
      <w:tr w:rsidR="005D3AAA" w:rsidRPr="00983B97" w14:paraId="4F21310D" w14:textId="77777777" w:rsidTr="00106A08">
        <w:trPr>
          <w:tblHeader/>
        </w:trPr>
        <w:tc>
          <w:tcPr>
            <w:tcW w:w="1668" w:type="dxa"/>
          </w:tcPr>
          <w:p w14:paraId="6ADD83C1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Phase</w:t>
            </w:r>
          </w:p>
        </w:tc>
        <w:tc>
          <w:tcPr>
            <w:tcW w:w="1559" w:type="dxa"/>
          </w:tcPr>
          <w:p w14:paraId="4F1466FE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ISO 19650 Integration</w:t>
            </w:r>
          </w:p>
        </w:tc>
        <w:tc>
          <w:tcPr>
            <w:tcW w:w="1843" w:type="dxa"/>
          </w:tcPr>
          <w:p w14:paraId="5CBFFD0E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DMBoK2 Knowledge Area</w:t>
            </w:r>
          </w:p>
        </w:tc>
        <w:tc>
          <w:tcPr>
            <w:tcW w:w="2117" w:type="dxa"/>
          </w:tcPr>
          <w:p w14:paraId="4C5BF9AC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Metric Evaluated</w:t>
            </w:r>
          </w:p>
        </w:tc>
        <w:tc>
          <w:tcPr>
            <w:tcW w:w="1745" w:type="dxa"/>
          </w:tcPr>
          <w:p w14:paraId="7F86116C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Pre-Implementation</w:t>
            </w:r>
          </w:p>
        </w:tc>
        <w:tc>
          <w:tcPr>
            <w:tcW w:w="1750" w:type="dxa"/>
          </w:tcPr>
          <w:p w14:paraId="5557698C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Post-Implementation</w:t>
            </w:r>
          </w:p>
        </w:tc>
        <w:tc>
          <w:tcPr>
            <w:tcW w:w="0" w:type="auto"/>
          </w:tcPr>
          <w:p w14:paraId="15790FE1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Improvement (%)</w:t>
            </w:r>
          </w:p>
        </w:tc>
        <w:tc>
          <w:tcPr>
            <w:tcW w:w="0" w:type="auto"/>
          </w:tcPr>
          <w:p w14:paraId="6062F36B" w14:textId="77777777" w:rsidR="005D3AAA" w:rsidRPr="00983B97" w:rsidRDefault="005D3AAA" w:rsidP="00106A08">
            <w:pPr>
              <w:pStyle w:val="GJUSTabloKoyu"/>
              <w:rPr>
                <w:szCs w:val="22"/>
              </w:rPr>
            </w:pPr>
            <w:r w:rsidRPr="00983B97">
              <w:rPr>
                <w:szCs w:val="22"/>
              </w:rPr>
              <w:t>Framework Contribution</w:t>
            </w:r>
          </w:p>
        </w:tc>
      </w:tr>
      <w:tr w:rsidR="005D3AAA" w:rsidRPr="00983B97" w14:paraId="5C2AE080" w14:textId="77777777" w:rsidTr="00106A08">
        <w:tc>
          <w:tcPr>
            <w:tcW w:w="1668" w:type="dxa"/>
            <w:vMerge w:val="restart"/>
          </w:tcPr>
          <w:p w14:paraId="4763B01D" w14:textId="77777777" w:rsidR="005D3AAA" w:rsidRPr="00983B97" w:rsidRDefault="005D3AAA" w:rsidP="00106A08">
            <w:pPr>
              <w:pStyle w:val="GJUSTabloGvde"/>
            </w:pPr>
            <w:r w:rsidRPr="00983B97">
              <w:t>Phase 01: Defining Information Requirements</w:t>
            </w:r>
          </w:p>
        </w:tc>
        <w:tc>
          <w:tcPr>
            <w:tcW w:w="1559" w:type="dxa"/>
            <w:vMerge w:val="restart"/>
          </w:tcPr>
          <w:p w14:paraId="5668340E" w14:textId="77777777" w:rsidR="005D3AAA" w:rsidRPr="00983B97" w:rsidRDefault="005D3AAA" w:rsidP="00106A08">
            <w:pPr>
              <w:pStyle w:val="GJUSTabloGvde"/>
            </w:pPr>
            <w:r w:rsidRPr="00983B97">
              <w:t>EIR &amp; BEP structured documentation</w:t>
            </w:r>
          </w:p>
        </w:tc>
        <w:tc>
          <w:tcPr>
            <w:tcW w:w="1843" w:type="dxa"/>
            <w:vMerge w:val="restart"/>
          </w:tcPr>
          <w:p w14:paraId="76A1F006" w14:textId="77777777" w:rsidR="005D3AAA" w:rsidRPr="00983B97" w:rsidRDefault="005D3AAA" w:rsidP="00106A08">
            <w:pPr>
              <w:pStyle w:val="GJUSTabloGvde"/>
            </w:pPr>
            <w:r w:rsidRPr="00983B97">
              <w:t>Metadata governance &amp; traceability</w:t>
            </w:r>
          </w:p>
        </w:tc>
        <w:tc>
          <w:tcPr>
            <w:tcW w:w="2117" w:type="dxa"/>
          </w:tcPr>
          <w:p w14:paraId="3D820872" w14:textId="77777777" w:rsidR="005D3AAA" w:rsidRPr="00983B97" w:rsidRDefault="005D3AAA" w:rsidP="00106A08">
            <w:pPr>
              <w:pStyle w:val="GJUSTabloGvde"/>
            </w:pPr>
            <w:r w:rsidRPr="00983B97">
              <w:t>Standardized Documentation Consistency</w:t>
            </w:r>
          </w:p>
        </w:tc>
        <w:tc>
          <w:tcPr>
            <w:tcW w:w="1745" w:type="dxa"/>
          </w:tcPr>
          <w:p w14:paraId="408AD767" w14:textId="77777777" w:rsidR="005D3AAA" w:rsidRPr="00983B97" w:rsidRDefault="005D3AAA" w:rsidP="00106A08">
            <w:pPr>
              <w:pStyle w:val="GJUSTabloGvde"/>
            </w:pPr>
            <w:r w:rsidRPr="00983B97">
              <w:t>60%</w:t>
            </w:r>
          </w:p>
        </w:tc>
        <w:tc>
          <w:tcPr>
            <w:tcW w:w="1750" w:type="dxa"/>
          </w:tcPr>
          <w:p w14:paraId="29766A07" w14:textId="77777777" w:rsidR="005D3AAA" w:rsidRPr="00983B97" w:rsidRDefault="005D3AAA" w:rsidP="00106A08">
            <w:pPr>
              <w:pStyle w:val="GJUSTabloGvde"/>
            </w:pPr>
            <w:r w:rsidRPr="00983B97">
              <w:t>88%</w:t>
            </w:r>
          </w:p>
        </w:tc>
        <w:tc>
          <w:tcPr>
            <w:tcW w:w="0" w:type="auto"/>
          </w:tcPr>
          <w:p w14:paraId="3ECE5FB1" w14:textId="77777777" w:rsidR="005D3AAA" w:rsidRPr="00983B97" w:rsidRDefault="005D3AAA" w:rsidP="00106A08">
            <w:pPr>
              <w:pStyle w:val="GJUSTabloGvde"/>
            </w:pPr>
            <w:r w:rsidRPr="00983B97">
              <w:t>+28%</w:t>
            </w:r>
          </w:p>
        </w:tc>
        <w:tc>
          <w:tcPr>
            <w:tcW w:w="0" w:type="auto"/>
          </w:tcPr>
          <w:p w14:paraId="0E39D847" w14:textId="77777777" w:rsidR="005D3AAA" w:rsidRPr="00983B97" w:rsidRDefault="005D3AAA" w:rsidP="00106A08">
            <w:pPr>
              <w:pStyle w:val="GJUSTabloGvde"/>
            </w:pPr>
            <w:r w:rsidRPr="00983B97">
              <w:t>Ensured structured deliverables and improved clarity in data exchange.</w:t>
            </w:r>
          </w:p>
        </w:tc>
      </w:tr>
      <w:tr w:rsidR="005D3AAA" w:rsidRPr="00983B97" w14:paraId="0713C315" w14:textId="77777777" w:rsidTr="00106A08">
        <w:tc>
          <w:tcPr>
            <w:tcW w:w="1668" w:type="dxa"/>
            <w:vMerge/>
          </w:tcPr>
          <w:p w14:paraId="73F37DFE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559" w:type="dxa"/>
            <w:vMerge/>
          </w:tcPr>
          <w:p w14:paraId="5F355DE7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843" w:type="dxa"/>
            <w:vMerge/>
          </w:tcPr>
          <w:p w14:paraId="1D603EA9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2117" w:type="dxa"/>
          </w:tcPr>
          <w:p w14:paraId="1050A7C6" w14:textId="77777777" w:rsidR="005D3AAA" w:rsidRPr="00983B97" w:rsidRDefault="005D3AAA" w:rsidP="00106A08">
            <w:pPr>
              <w:pStyle w:val="GJUSTabloGvde"/>
            </w:pPr>
            <w:r w:rsidRPr="00983B97">
              <w:t>Metadata Traceability</w:t>
            </w:r>
          </w:p>
        </w:tc>
        <w:tc>
          <w:tcPr>
            <w:tcW w:w="1745" w:type="dxa"/>
          </w:tcPr>
          <w:p w14:paraId="01410A42" w14:textId="77777777" w:rsidR="005D3AAA" w:rsidRPr="00983B97" w:rsidRDefault="005D3AAA" w:rsidP="00106A08">
            <w:pPr>
              <w:pStyle w:val="GJUSTabloGvde"/>
            </w:pPr>
            <w:r w:rsidRPr="00983B97">
              <w:t>55%</w:t>
            </w:r>
          </w:p>
        </w:tc>
        <w:tc>
          <w:tcPr>
            <w:tcW w:w="1750" w:type="dxa"/>
          </w:tcPr>
          <w:p w14:paraId="373349B6" w14:textId="77777777" w:rsidR="005D3AAA" w:rsidRPr="00983B97" w:rsidRDefault="005D3AAA" w:rsidP="00106A08">
            <w:pPr>
              <w:pStyle w:val="GJUSTabloGvde"/>
            </w:pPr>
            <w:r w:rsidRPr="00983B97">
              <w:t>90%</w:t>
            </w:r>
          </w:p>
        </w:tc>
        <w:tc>
          <w:tcPr>
            <w:tcW w:w="0" w:type="auto"/>
          </w:tcPr>
          <w:p w14:paraId="459FACC0" w14:textId="77777777" w:rsidR="005D3AAA" w:rsidRPr="00983B97" w:rsidRDefault="005D3AAA" w:rsidP="00106A08">
            <w:pPr>
              <w:pStyle w:val="GJUSTabloGvde"/>
            </w:pPr>
            <w:r w:rsidRPr="00983B97">
              <w:t>+35%</w:t>
            </w:r>
          </w:p>
        </w:tc>
        <w:tc>
          <w:tcPr>
            <w:tcW w:w="0" w:type="auto"/>
          </w:tcPr>
          <w:p w14:paraId="19B31AB1" w14:textId="77777777" w:rsidR="005D3AAA" w:rsidRPr="00983B97" w:rsidRDefault="005D3AAA" w:rsidP="00106A08">
            <w:pPr>
              <w:pStyle w:val="GJUSTabloGvde"/>
            </w:pPr>
            <w:r w:rsidRPr="00983B97">
              <w:t>Optimized information retrieval and reinforced structured workflows.</w:t>
            </w:r>
          </w:p>
        </w:tc>
      </w:tr>
      <w:tr w:rsidR="005D3AAA" w:rsidRPr="00983B97" w14:paraId="2EF007AE" w14:textId="77777777" w:rsidTr="00106A08">
        <w:tc>
          <w:tcPr>
            <w:tcW w:w="1668" w:type="dxa"/>
            <w:vMerge w:val="restart"/>
          </w:tcPr>
          <w:p w14:paraId="1C2FBABF" w14:textId="77777777" w:rsidR="005D3AAA" w:rsidRPr="00983B97" w:rsidRDefault="005D3AAA" w:rsidP="00106A08">
            <w:pPr>
              <w:pStyle w:val="GJUSTabloGvde"/>
            </w:pPr>
            <w:r w:rsidRPr="00983B97">
              <w:t>Phase 02: Enhancing Interoperability Through Data Standards</w:t>
            </w:r>
          </w:p>
        </w:tc>
        <w:tc>
          <w:tcPr>
            <w:tcW w:w="1559" w:type="dxa"/>
            <w:vMerge w:val="restart"/>
          </w:tcPr>
          <w:p w14:paraId="6E1BFB1D" w14:textId="77777777" w:rsidR="005D3AAA" w:rsidRPr="00983B97" w:rsidRDefault="005D3AAA" w:rsidP="00106A08">
            <w:pPr>
              <w:pStyle w:val="GJUSTabloGvde"/>
            </w:pPr>
            <w:r w:rsidRPr="00983B97">
              <w:t>Common Data Environment (CDE)</w:t>
            </w:r>
          </w:p>
        </w:tc>
        <w:tc>
          <w:tcPr>
            <w:tcW w:w="1843" w:type="dxa"/>
            <w:vMerge w:val="restart"/>
          </w:tcPr>
          <w:p w14:paraId="427D7D8C" w14:textId="77777777" w:rsidR="005D3AAA" w:rsidRPr="00983B97" w:rsidRDefault="005D3AAA" w:rsidP="00106A08">
            <w:pPr>
              <w:pStyle w:val="GJUSTabloGvde"/>
            </w:pPr>
            <w:r w:rsidRPr="00983B97">
              <w:t>Data integration &amp; interoperability models</w:t>
            </w:r>
          </w:p>
        </w:tc>
        <w:tc>
          <w:tcPr>
            <w:tcW w:w="2117" w:type="dxa"/>
          </w:tcPr>
          <w:p w14:paraId="634640FE" w14:textId="77777777" w:rsidR="005D3AAA" w:rsidRPr="00983B97" w:rsidRDefault="005D3AAA" w:rsidP="00106A08">
            <w:pPr>
              <w:pStyle w:val="GJUSTabloGvde"/>
            </w:pPr>
            <w:r w:rsidRPr="00983B97">
              <w:t>BIM Model Coordination Errors</w:t>
            </w:r>
          </w:p>
        </w:tc>
        <w:tc>
          <w:tcPr>
            <w:tcW w:w="1745" w:type="dxa"/>
          </w:tcPr>
          <w:p w14:paraId="19384803" w14:textId="77777777" w:rsidR="005D3AAA" w:rsidRPr="00983B97" w:rsidRDefault="005D3AAA" w:rsidP="00106A08">
            <w:pPr>
              <w:pStyle w:val="GJUSTabloGvde"/>
            </w:pPr>
            <w:r w:rsidRPr="00983B97">
              <w:t>18%</w:t>
            </w:r>
          </w:p>
        </w:tc>
        <w:tc>
          <w:tcPr>
            <w:tcW w:w="1750" w:type="dxa"/>
          </w:tcPr>
          <w:p w14:paraId="1F2F589C" w14:textId="77777777" w:rsidR="005D3AAA" w:rsidRPr="00983B97" w:rsidRDefault="005D3AAA" w:rsidP="00106A08">
            <w:pPr>
              <w:pStyle w:val="GJUSTabloGvde"/>
            </w:pPr>
            <w:r w:rsidRPr="00983B97">
              <w:t>4%</w:t>
            </w:r>
          </w:p>
        </w:tc>
        <w:tc>
          <w:tcPr>
            <w:tcW w:w="0" w:type="auto"/>
          </w:tcPr>
          <w:p w14:paraId="76671104" w14:textId="77777777" w:rsidR="005D3AAA" w:rsidRPr="00983B97" w:rsidRDefault="005D3AAA" w:rsidP="00106A08">
            <w:pPr>
              <w:pStyle w:val="GJUSTabloGvde"/>
            </w:pPr>
            <w:r w:rsidRPr="00983B97">
              <w:t>-77%</w:t>
            </w:r>
          </w:p>
        </w:tc>
        <w:tc>
          <w:tcPr>
            <w:tcW w:w="0" w:type="auto"/>
          </w:tcPr>
          <w:p w14:paraId="6B04B711" w14:textId="77777777" w:rsidR="005D3AAA" w:rsidRPr="00983B97" w:rsidRDefault="005D3AAA" w:rsidP="00106A08">
            <w:pPr>
              <w:pStyle w:val="GJUSTabloGvde"/>
            </w:pPr>
            <w:r w:rsidRPr="00983B97">
              <w:t>Reduced interdisciplinary conflicts by applying CDE-based standardization.</w:t>
            </w:r>
          </w:p>
        </w:tc>
      </w:tr>
      <w:tr w:rsidR="005D3AAA" w:rsidRPr="00983B97" w14:paraId="386A9EBD" w14:textId="77777777" w:rsidTr="00106A08">
        <w:tc>
          <w:tcPr>
            <w:tcW w:w="1668" w:type="dxa"/>
            <w:vMerge/>
          </w:tcPr>
          <w:p w14:paraId="49636578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559" w:type="dxa"/>
            <w:vMerge/>
          </w:tcPr>
          <w:p w14:paraId="05387C79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843" w:type="dxa"/>
            <w:vMerge/>
          </w:tcPr>
          <w:p w14:paraId="630BD332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2117" w:type="dxa"/>
          </w:tcPr>
          <w:p w14:paraId="57B20991" w14:textId="77777777" w:rsidR="005D3AAA" w:rsidRPr="00983B97" w:rsidRDefault="005D3AAA" w:rsidP="00106A08">
            <w:pPr>
              <w:pStyle w:val="GJUSTabloGvde"/>
            </w:pPr>
            <w:r w:rsidRPr="00983B97">
              <w:t>Model Synchronization Time</w:t>
            </w:r>
          </w:p>
        </w:tc>
        <w:tc>
          <w:tcPr>
            <w:tcW w:w="1745" w:type="dxa"/>
          </w:tcPr>
          <w:p w14:paraId="6425E8CC" w14:textId="77777777" w:rsidR="005D3AAA" w:rsidRPr="00983B97" w:rsidRDefault="005D3AAA" w:rsidP="00106A08">
            <w:pPr>
              <w:pStyle w:val="GJUSTabloGvde"/>
            </w:pPr>
            <w:r w:rsidRPr="00983B97">
              <w:t>8 hours</w:t>
            </w:r>
          </w:p>
        </w:tc>
        <w:tc>
          <w:tcPr>
            <w:tcW w:w="1750" w:type="dxa"/>
          </w:tcPr>
          <w:p w14:paraId="1D60D43F" w14:textId="77777777" w:rsidR="005D3AAA" w:rsidRPr="00983B97" w:rsidRDefault="005D3AAA" w:rsidP="00106A08">
            <w:pPr>
              <w:pStyle w:val="GJUSTabloGvde"/>
            </w:pPr>
            <w:r w:rsidRPr="00983B97">
              <w:t>3.5 hours</w:t>
            </w:r>
          </w:p>
        </w:tc>
        <w:tc>
          <w:tcPr>
            <w:tcW w:w="0" w:type="auto"/>
          </w:tcPr>
          <w:p w14:paraId="26BB2B36" w14:textId="77777777" w:rsidR="005D3AAA" w:rsidRPr="00983B97" w:rsidRDefault="005D3AAA" w:rsidP="00106A08">
            <w:pPr>
              <w:pStyle w:val="GJUSTabloGvde"/>
            </w:pPr>
            <w:r w:rsidRPr="00983B97">
              <w:t>-56%</w:t>
            </w:r>
          </w:p>
        </w:tc>
        <w:tc>
          <w:tcPr>
            <w:tcW w:w="0" w:type="auto"/>
          </w:tcPr>
          <w:p w14:paraId="7575848A" w14:textId="77777777" w:rsidR="005D3AAA" w:rsidRPr="00983B97" w:rsidRDefault="005D3AAA" w:rsidP="00106A08">
            <w:pPr>
              <w:pStyle w:val="GJUSTabloGvde"/>
            </w:pPr>
            <w:r w:rsidRPr="00983B97">
              <w:t>Improved efficiency through real-time BIM model synchronization mechanisms.</w:t>
            </w:r>
          </w:p>
        </w:tc>
      </w:tr>
      <w:tr w:rsidR="005D3AAA" w:rsidRPr="00983B97" w14:paraId="087AFADD" w14:textId="77777777" w:rsidTr="00106A08">
        <w:tc>
          <w:tcPr>
            <w:tcW w:w="1668" w:type="dxa"/>
            <w:vMerge/>
          </w:tcPr>
          <w:p w14:paraId="6D589532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559" w:type="dxa"/>
            <w:vMerge/>
          </w:tcPr>
          <w:p w14:paraId="7A608583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843" w:type="dxa"/>
            <w:vMerge/>
          </w:tcPr>
          <w:p w14:paraId="63EEF796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2117" w:type="dxa"/>
          </w:tcPr>
          <w:p w14:paraId="619D1F37" w14:textId="77777777" w:rsidR="005D3AAA" w:rsidRPr="00983B97" w:rsidRDefault="005D3AAA" w:rsidP="00106A08">
            <w:pPr>
              <w:pStyle w:val="GJUSTabloGvde"/>
            </w:pPr>
            <w:r w:rsidRPr="00983B97">
              <w:t>Data Exchange Consistency</w:t>
            </w:r>
          </w:p>
        </w:tc>
        <w:tc>
          <w:tcPr>
            <w:tcW w:w="1745" w:type="dxa"/>
          </w:tcPr>
          <w:p w14:paraId="63C36622" w14:textId="77777777" w:rsidR="005D3AAA" w:rsidRPr="00983B97" w:rsidRDefault="005D3AAA" w:rsidP="00106A08">
            <w:pPr>
              <w:pStyle w:val="GJUSTabloGvde"/>
            </w:pPr>
            <w:r w:rsidRPr="00983B97">
              <w:t>65%</w:t>
            </w:r>
          </w:p>
        </w:tc>
        <w:tc>
          <w:tcPr>
            <w:tcW w:w="1750" w:type="dxa"/>
          </w:tcPr>
          <w:p w14:paraId="5A32086E" w14:textId="77777777" w:rsidR="005D3AAA" w:rsidRPr="00983B97" w:rsidRDefault="005D3AAA" w:rsidP="00106A08">
            <w:pPr>
              <w:pStyle w:val="GJUSTabloGvde"/>
            </w:pPr>
            <w:r w:rsidRPr="00983B97">
              <w:t>92%</w:t>
            </w:r>
          </w:p>
        </w:tc>
        <w:tc>
          <w:tcPr>
            <w:tcW w:w="0" w:type="auto"/>
          </w:tcPr>
          <w:p w14:paraId="4C7A5B3F" w14:textId="77777777" w:rsidR="005D3AAA" w:rsidRPr="00983B97" w:rsidRDefault="005D3AAA" w:rsidP="00106A08">
            <w:pPr>
              <w:pStyle w:val="GJUSTabloGvde"/>
            </w:pPr>
            <w:r w:rsidRPr="00983B97">
              <w:t>+27%</w:t>
            </w:r>
          </w:p>
        </w:tc>
        <w:tc>
          <w:tcPr>
            <w:tcW w:w="0" w:type="auto"/>
          </w:tcPr>
          <w:p w14:paraId="0D0B6053" w14:textId="77777777" w:rsidR="005D3AAA" w:rsidRPr="00983B97" w:rsidRDefault="005D3AAA" w:rsidP="00106A08">
            <w:pPr>
              <w:pStyle w:val="GJUSTabloGvde"/>
            </w:pPr>
            <w:r w:rsidRPr="00983B97">
              <w:t>Strengthened interoperability with automated synchronization protocols.</w:t>
            </w:r>
          </w:p>
        </w:tc>
      </w:tr>
      <w:tr w:rsidR="005D3AAA" w:rsidRPr="00983B97" w14:paraId="328D3EAB" w14:textId="77777777" w:rsidTr="00106A08">
        <w:tc>
          <w:tcPr>
            <w:tcW w:w="1668" w:type="dxa"/>
            <w:vMerge w:val="restart"/>
          </w:tcPr>
          <w:p w14:paraId="70F6B84A" w14:textId="77777777" w:rsidR="005D3AAA" w:rsidRPr="00983B97" w:rsidRDefault="005D3AAA" w:rsidP="00106A08">
            <w:pPr>
              <w:pStyle w:val="GJUSTabloGvde"/>
            </w:pPr>
            <w:r w:rsidRPr="00983B97">
              <w:t>Phase 03: Implementing Data Quality &amp; Security Controls</w:t>
            </w:r>
          </w:p>
        </w:tc>
        <w:tc>
          <w:tcPr>
            <w:tcW w:w="1559" w:type="dxa"/>
            <w:vMerge w:val="restart"/>
          </w:tcPr>
          <w:p w14:paraId="4408DE14" w14:textId="77777777" w:rsidR="005D3AAA" w:rsidRPr="00983B97" w:rsidRDefault="005D3AAA" w:rsidP="00106A08">
            <w:pPr>
              <w:pStyle w:val="GJUSTabloGvde"/>
            </w:pPr>
            <w:r w:rsidRPr="00983B97">
              <w:t>ISO 19650-5 security access protocols</w:t>
            </w:r>
          </w:p>
        </w:tc>
        <w:tc>
          <w:tcPr>
            <w:tcW w:w="1843" w:type="dxa"/>
            <w:vMerge w:val="restart"/>
          </w:tcPr>
          <w:p w14:paraId="233C6E06" w14:textId="77777777" w:rsidR="005D3AAA" w:rsidRPr="00983B97" w:rsidRDefault="005D3AAA" w:rsidP="00106A08">
            <w:pPr>
              <w:pStyle w:val="GJUSTabloGvde"/>
            </w:pPr>
            <w:r w:rsidRPr="00983B97">
              <w:t>Data security &amp; compliance monitoring</w:t>
            </w:r>
          </w:p>
        </w:tc>
        <w:tc>
          <w:tcPr>
            <w:tcW w:w="2117" w:type="dxa"/>
          </w:tcPr>
          <w:p w14:paraId="60559DF7" w14:textId="77777777" w:rsidR="005D3AAA" w:rsidRPr="00983B97" w:rsidRDefault="005D3AAA" w:rsidP="00106A08">
            <w:pPr>
              <w:pStyle w:val="GJUSTabloGvde"/>
            </w:pPr>
            <w:r w:rsidRPr="00983B97">
              <w:t>Unauthorized Access Attempts</w:t>
            </w:r>
          </w:p>
        </w:tc>
        <w:tc>
          <w:tcPr>
            <w:tcW w:w="1745" w:type="dxa"/>
          </w:tcPr>
          <w:p w14:paraId="4F99F900" w14:textId="77777777" w:rsidR="005D3AAA" w:rsidRPr="00983B97" w:rsidRDefault="005D3AAA" w:rsidP="00106A08">
            <w:pPr>
              <w:pStyle w:val="GJUSTabloGvde"/>
            </w:pPr>
            <w:r w:rsidRPr="00983B97">
              <w:t>35 cases/month</w:t>
            </w:r>
          </w:p>
        </w:tc>
        <w:tc>
          <w:tcPr>
            <w:tcW w:w="1750" w:type="dxa"/>
          </w:tcPr>
          <w:p w14:paraId="60F260E5" w14:textId="77777777" w:rsidR="005D3AAA" w:rsidRPr="00983B97" w:rsidRDefault="005D3AAA" w:rsidP="00106A08">
            <w:pPr>
              <w:pStyle w:val="GJUSTabloGvde"/>
            </w:pPr>
            <w:r w:rsidRPr="00983B97">
              <w:t>3 cases/month</w:t>
            </w:r>
          </w:p>
        </w:tc>
        <w:tc>
          <w:tcPr>
            <w:tcW w:w="0" w:type="auto"/>
          </w:tcPr>
          <w:p w14:paraId="4D7C209C" w14:textId="77777777" w:rsidR="005D3AAA" w:rsidRPr="00983B97" w:rsidRDefault="005D3AAA" w:rsidP="00106A08">
            <w:pPr>
              <w:pStyle w:val="GJUSTabloGvde"/>
            </w:pPr>
            <w:r w:rsidRPr="00983B97">
              <w:t>-92%</w:t>
            </w:r>
          </w:p>
        </w:tc>
        <w:tc>
          <w:tcPr>
            <w:tcW w:w="0" w:type="auto"/>
          </w:tcPr>
          <w:p w14:paraId="2DFBDE55" w14:textId="77777777" w:rsidR="005D3AAA" w:rsidRPr="00983B97" w:rsidRDefault="005D3AAA" w:rsidP="00106A08">
            <w:pPr>
              <w:pStyle w:val="GJUSTabloGvde"/>
            </w:pPr>
            <w:r w:rsidRPr="00983B97">
              <w:t>Applied ISO 19650-5 access controls and DMBoK2 encryption strategies.</w:t>
            </w:r>
          </w:p>
        </w:tc>
      </w:tr>
      <w:tr w:rsidR="005D3AAA" w:rsidRPr="00983B97" w14:paraId="7671BF08" w14:textId="77777777" w:rsidTr="00106A08">
        <w:tc>
          <w:tcPr>
            <w:tcW w:w="1668" w:type="dxa"/>
            <w:vMerge/>
          </w:tcPr>
          <w:p w14:paraId="6FA9ED27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559" w:type="dxa"/>
            <w:vMerge/>
          </w:tcPr>
          <w:p w14:paraId="64FBD27F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843" w:type="dxa"/>
            <w:vMerge/>
          </w:tcPr>
          <w:p w14:paraId="2BC7508B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2117" w:type="dxa"/>
          </w:tcPr>
          <w:p w14:paraId="1869A862" w14:textId="77777777" w:rsidR="005D3AAA" w:rsidRPr="00983B97" w:rsidRDefault="005D3AAA" w:rsidP="00106A08">
            <w:pPr>
              <w:pStyle w:val="GJUSTabloGvde"/>
            </w:pPr>
            <w:r w:rsidRPr="00983B97">
              <w:t>Data Loss Incidents</w:t>
            </w:r>
          </w:p>
        </w:tc>
        <w:tc>
          <w:tcPr>
            <w:tcW w:w="1745" w:type="dxa"/>
          </w:tcPr>
          <w:p w14:paraId="286D80CF" w14:textId="77777777" w:rsidR="005D3AAA" w:rsidRPr="00983B97" w:rsidRDefault="005D3AAA" w:rsidP="00106A08">
            <w:pPr>
              <w:pStyle w:val="GJUSTabloGvde"/>
            </w:pPr>
            <w:r w:rsidRPr="00983B97">
              <w:t>8 incidents/month</w:t>
            </w:r>
          </w:p>
        </w:tc>
        <w:tc>
          <w:tcPr>
            <w:tcW w:w="1750" w:type="dxa"/>
          </w:tcPr>
          <w:p w14:paraId="0BF34A70" w14:textId="77777777" w:rsidR="005D3AAA" w:rsidRPr="00983B97" w:rsidRDefault="005D3AAA" w:rsidP="00106A08">
            <w:pPr>
              <w:pStyle w:val="GJUSTabloGvde"/>
            </w:pPr>
            <w:r w:rsidRPr="00983B97">
              <w:t>1 incident/month</w:t>
            </w:r>
          </w:p>
        </w:tc>
        <w:tc>
          <w:tcPr>
            <w:tcW w:w="0" w:type="auto"/>
          </w:tcPr>
          <w:p w14:paraId="0F7B57DF" w14:textId="77777777" w:rsidR="005D3AAA" w:rsidRPr="00983B97" w:rsidRDefault="005D3AAA" w:rsidP="00106A08">
            <w:pPr>
              <w:pStyle w:val="GJUSTabloGvde"/>
            </w:pPr>
            <w:r w:rsidRPr="00983B97">
              <w:t>-88%</w:t>
            </w:r>
          </w:p>
        </w:tc>
        <w:tc>
          <w:tcPr>
            <w:tcW w:w="0" w:type="auto"/>
          </w:tcPr>
          <w:p w14:paraId="09E6CDCC" w14:textId="77777777" w:rsidR="005D3AAA" w:rsidRPr="00983B97" w:rsidRDefault="005D3AAA" w:rsidP="00106A08">
            <w:pPr>
              <w:pStyle w:val="GJUSTabloGvde"/>
            </w:pPr>
            <w:r w:rsidRPr="00983B97">
              <w:t>Reinforced long-term data retention and protection measures.</w:t>
            </w:r>
          </w:p>
        </w:tc>
      </w:tr>
      <w:tr w:rsidR="005D3AAA" w:rsidRPr="00983B97" w14:paraId="6AEA3EC5" w14:textId="77777777" w:rsidTr="00106A08">
        <w:tc>
          <w:tcPr>
            <w:tcW w:w="1668" w:type="dxa"/>
            <w:vMerge/>
          </w:tcPr>
          <w:p w14:paraId="04BA9164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559" w:type="dxa"/>
            <w:vMerge/>
          </w:tcPr>
          <w:p w14:paraId="046869FF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843" w:type="dxa"/>
            <w:vMerge/>
          </w:tcPr>
          <w:p w14:paraId="34B705BF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2117" w:type="dxa"/>
          </w:tcPr>
          <w:p w14:paraId="6C644D5F" w14:textId="77777777" w:rsidR="005D3AAA" w:rsidRPr="00983B97" w:rsidRDefault="005D3AAA" w:rsidP="00106A08">
            <w:pPr>
              <w:pStyle w:val="GJUSTabloGvde"/>
            </w:pPr>
            <w:r w:rsidRPr="00983B97">
              <w:t>Compliance Accuracy</w:t>
            </w:r>
          </w:p>
        </w:tc>
        <w:tc>
          <w:tcPr>
            <w:tcW w:w="1745" w:type="dxa"/>
          </w:tcPr>
          <w:p w14:paraId="5EF91F4F" w14:textId="77777777" w:rsidR="005D3AAA" w:rsidRPr="00983B97" w:rsidRDefault="005D3AAA" w:rsidP="00106A08">
            <w:pPr>
              <w:pStyle w:val="GJUSTabloGvde"/>
            </w:pPr>
            <w:r w:rsidRPr="00983B97">
              <w:t>68%</w:t>
            </w:r>
          </w:p>
        </w:tc>
        <w:tc>
          <w:tcPr>
            <w:tcW w:w="1750" w:type="dxa"/>
          </w:tcPr>
          <w:p w14:paraId="163305D3" w14:textId="77777777" w:rsidR="005D3AAA" w:rsidRPr="00983B97" w:rsidRDefault="005D3AAA" w:rsidP="00106A08">
            <w:pPr>
              <w:pStyle w:val="GJUSTabloGvde"/>
            </w:pPr>
            <w:r w:rsidRPr="00983B97">
              <w:t>94%</w:t>
            </w:r>
          </w:p>
        </w:tc>
        <w:tc>
          <w:tcPr>
            <w:tcW w:w="0" w:type="auto"/>
          </w:tcPr>
          <w:p w14:paraId="3E732740" w14:textId="77777777" w:rsidR="005D3AAA" w:rsidRPr="00983B97" w:rsidRDefault="005D3AAA" w:rsidP="00106A08">
            <w:pPr>
              <w:pStyle w:val="GJUSTabloGvde"/>
            </w:pPr>
            <w:r w:rsidRPr="00983B97">
              <w:t>+26%</w:t>
            </w:r>
          </w:p>
        </w:tc>
        <w:tc>
          <w:tcPr>
            <w:tcW w:w="0" w:type="auto"/>
          </w:tcPr>
          <w:p w14:paraId="62B5938C" w14:textId="77777777" w:rsidR="005D3AAA" w:rsidRPr="00983B97" w:rsidRDefault="005D3AAA" w:rsidP="00106A08">
            <w:pPr>
              <w:pStyle w:val="GJUSTabloGvde"/>
            </w:pPr>
            <w:r w:rsidRPr="00983B97">
              <w:t>Enhanced regulatory adherence through automated governance mechanisms.</w:t>
            </w:r>
          </w:p>
        </w:tc>
      </w:tr>
      <w:tr w:rsidR="005D3AAA" w:rsidRPr="00983B97" w14:paraId="1F6A9963" w14:textId="77777777" w:rsidTr="00106A08">
        <w:tc>
          <w:tcPr>
            <w:tcW w:w="1668" w:type="dxa"/>
            <w:vMerge w:val="restart"/>
          </w:tcPr>
          <w:p w14:paraId="3776EE66" w14:textId="77777777" w:rsidR="005D3AAA" w:rsidRPr="00983B97" w:rsidRDefault="005D3AAA" w:rsidP="00106A08">
            <w:pPr>
              <w:pStyle w:val="GJUSTabloGvde"/>
            </w:pPr>
            <w:r w:rsidRPr="00983B97">
              <w:t>Phase 04: Establishing a Maturity-Based BIM Data Management Model</w:t>
            </w:r>
          </w:p>
        </w:tc>
        <w:tc>
          <w:tcPr>
            <w:tcW w:w="1559" w:type="dxa"/>
            <w:vMerge w:val="restart"/>
          </w:tcPr>
          <w:p w14:paraId="68A48902" w14:textId="77777777" w:rsidR="005D3AAA" w:rsidRPr="00983B97" w:rsidRDefault="005D3AAA" w:rsidP="00106A08">
            <w:pPr>
              <w:pStyle w:val="GJUSTabloGvde"/>
            </w:pPr>
            <w:r w:rsidRPr="00983B97">
              <w:t>Governance maturity evaluation aligned with ISO standards</w:t>
            </w:r>
          </w:p>
        </w:tc>
        <w:tc>
          <w:tcPr>
            <w:tcW w:w="1843" w:type="dxa"/>
            <w:vMerge w:val="restart"/>
          </w:tcPr>
          <w:p w14:paraId="0B28F649" w14:textId="77777777" w:rsidR="005D3AAA" w:rsidRPr="00983B97" w:rsidRDefault="005D3AAA" w:rsidP="00106A08">
            <w:pPr>
              <w:pStyle w:val="GJUSTabloGvde"/>
            </w:pPr>
            <w:r w:rsidRPr="00983B97">
              <w:t>Data lifecycle management &amp; scalability</w:t>
            </w:r>
          </w:p>
        </w:tc>
        <w:tc>
          <w:tcPr>
            <w:tcW w:w="2117" w:type="dxa"/>
          </w:tcPr>
          <w:p w14:paraId="3D7CF8DB" w14:textId="77777777" w:rsidR="005D3AAA" w:rsidRPr="00983B97" w:rsidRDefault="005D3AAA" w:rsidP="00106A08">
            <w:pPr>
              <w:pStyle w:val="GJUSTabloGvde"/>
            </w:pPr>
            <w:r w:rsidRPr="00983B97">
              <w:t>Initial Governance Maturity</w:t>
            </w:r>
          </w:p>
        </w:tc>
        <w:tc>
          <w:tcPr>
            <w:tcW w:w="1745" w:type="dxa"/>
          </w:tcPr>
          <w:p w14:paraId="7E63B515" w14:textId="77777777" w:rsidR="005D3AAA" w:rsidRPr="00983B97" w:rsidRDefault="005D3AAA" w:rsidP="00106A08">
            <w:pPr>
              <w:pStyle w:val="GJUSTabloGvde"/>
            </w:pPr>
            <w:r w:rsidRPr="00983B97">
              <w:t>45%</w:t>
            </w:r>
          </w:p>
        </w:tc>
        <w:tc>
          <w:tcPr>
            <w:tcW w:w="1750" w:type="dxa"/>
          </w:tcPr>
          <w:p w14:paraId="5226EA6D" w14:textId="77777777" w:rsidR="005D3AAA" w:rsidRPr="00983B97" w:rsidRDefault="005D3AAA" w:rsidP="00106A08">
            <w:pPr>
              <w:pStyle w:val="GJUSTabloGvde"/>
            </w:pPr>
            <w:r w:rsidRPr="00983B97">
              <w:t>82%</w:t>
            </w:r>
          </w:p>
        </w:tc>
        <w:tc>
          <w:tcPr>
            <w:tcW w:w="0" w:type="auto"/>
          </w:tcPr>
          <w:p w14:paraId="39FC44EB" w14:textId="77777777" w:rsidR="005D3AAA" w:rsidRPr="00983B97" w:rsidRDefault="005D3AAA" w:rsidP="00106A08">
            <w:pPr>
              <w:pStyle w:val="GJUSTabloGvde"/>
            </w:pPr>
            <w:r w:rsidRPr="00983B97">
              <w:t>+37%</w:t>
            </w:r>
          </w:p>
        </w:tc>
        <w:tc>
          <w:tcPr>
            <w:tcW w:w="0" w:type="auto"/>
          </w:tcPr>
          <w:p w14:paraId="1DECC5BD" w14:textId="77777777" w:rsidR="005D3AAA" w:rsidRPr="00983B97" w:rsidRDefault="005D3AAA" w:rsidP="00106A08">
            <w:pPr>
              <w:pStyle w:val="GJUSTabloGvde"/>
            </w:pPr>
            <w:r w:rsidRPr="00983B97">
              <w:t>Established structured processes for scalable BIM governance.</w:t>
            </w:r>
          </w:p>
        </w:tc>
      </w:tr>
      <w:tr w:rsidR="005D3AAA" w:rsidRPr="00983B97" w14:paraId="2669DF08" w14:textId="77777777" w:rsidTr="00106A08">
        <w:tc>
          <w:tcPr>
            <w:tcW w:w="1668" w:type="dxa"/>
            <w:vMerge/>
          </w:tcPr>
          <w:p w14:paraId="578B2781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559" w:type="dxa"/>
            <w:vMerge/>
          </w:tcPr>
          <w:p w14:paraId="10777714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843" w:type="dxa"/>
            <w:vMerge/>
          </w:tcPr>
          <w:p w14:paraId="521FED5E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2117" w:type="dxa"/>
          </w:tcPr>
          <w:p w14:paraId="2DE20458" w14:textId="77777777" w:rsidR="005D3AAA" w:rsidRPr="00983B97" w:rsidRDefault="005D3AAA" w:rsidP="00106A08">
            <w:pPr>
              <w:pStyle w:val="GJUSTabloGvde"/>
            </w:pPr>
            <w:r w:rsidRPr="00983B97">
              <w:t>Intermediate Maturity Level</w:t>
            </w:r>
          </w:p>
        </w:tc>
        <w:tc>
          <w:tcPr>
            <w:tcW w:w="1745" w:type="dxa"/>
          </w:tcPr>
          <w:p w14:paraId="52CD6B99" w14:textId="77777777" w:rsidR="005D3AAA" w:rsidRPr="00983B97" w:rsidRDefault="005D3AAA" w:rsidP="00106A08">
            <w:pPr>
              <w:pStyle w:val="GJUSTabloGvde"/>
            </w:pPr>
            <w:r w:rsidRPr="00983B97">
              <w:t>60%</w:t>
            </w:r>
          </w:p>
        </w:tc>
        <w:tc>
          <w:tcPr>
            <w:tcW w:w="1750" w:type="dxa"/>
          </w:tcPr>
          <w:p w14:paraId="2DA5BF4C" w14:textId="77777777" w:rsidR="005D3AAA" w:rsidRPr="00983B97" w:rsidRDefault="005D3AAA" w:rsidP="00106A08">
            <w:pPr>
              <w:pStyle w:val="GJUSTabloGvde"/>
            </w:pPr>
            <w:r w:rsidRPr="00983B97">
              <w:t>90%</w:t>
            </w:r>
          </w:p>
        </w:tc>
        <w:tc>
          <w:tcPr>
            <w:tcW w:w="0" w:type="auto"/>
          </w:tcPr>
          <w:p w14:paraId="4AA8A3F8" w14:textId="77777777" w:rsidR="005D3AAA" w:rsidRPr="00983B97" w:rsidRDefault="005D3AAA" w:rsidP="00106A08">
            <w:pPr>
              <w:pStyle w:val="GJUSTabloGvde"/>
            </w:pPr>
            <w:r w:rsidRPr="00983B97">
              <w:t>+30%</w:t>
            </w:r>
          </w:p>
        </w:tc>
        <w:tc>
          <w:tcPr>
            <w:tcW w:w="0" w:type="auto"/>
          </w:tcPr>
          <w:p w14:paraId="42A7475F" w14:textId="77777777" w:rsidR="005D3AAA" w:rsidRPr="00983B97" w:rsidRDefault="005D3AAA" w:rsidP="00106A08">
            <w:pPr>
              <w:pStyle w:val="GJUSTabloGvde"/>
            </w:pPr>
            <w:r w:rsidRPr="00983B97">
              <w:t xml:space="preserve">Strengthened data security and interoperability across </w:t>
            </w:r>
            <w:r w:rsidRPr="00983B97">
              <w:lastRenderedPageBreak/>
              <w:t>project phases.</w:t>
            </w:r>
          </w:p>
        </w:tc>
      </w:tr>
      <w:tr w:rsidR="005D3AAA" w:rsidRPr="00983B97" w14:paraId="0EEBDEAB" w14:textId="77777777" w:rsidTr="00106A08">
        <w:tc>
          <w:tcPr>
            <w:tcW w:w="1668" w:type="dxa"/>
            <w:vMerge/>
          </w:tcPr>
          <w:p w14:paraId="469DEF60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559" w:type="dxa"/>
            <w:vMerge/>
          </w:tcPr>
          <w:p w14:paraId="33F51BEE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1843" w:type="dxa"/>
            <w:vMerge/>
          </w:tcPr>
          <w:p w14:paraId="5D3D3C12" w14:textId="77777777" w:rsidR="005D3AAA" w:rsidRPr="00983B97" w:rsidRDefault="005D3AAA" w:rsidP="00106A08">
            <w:pPr>
              <w:pStyle w:val="GJUSTabloGvde"/>
            </w:pPr>
          </w:p>
        </w:tc>
        <w:tc>
          <w:tcPr>
            <w:tcW w:w="2117" w:type="dxa"/>
          </w:tcPr>
          <w:p w14:paraId="11366ABD" w14:textId="77777777" w:rsidR="005D3AAA" w:rsidRPr="00983B97" w:rsidRDefault="005D3AAA" w:rsidP="00106A08">
            <w:pPr>
              <w:pStyle w:val="GJUSTabloGvde"/>
            </w:pPr>
            <w:r w:rsidRPr="00983B97">
              <w:t>Advanced Maturity Level</w:t>
            </w:r>
          </w:p>
        </w:tc>
        <w:tc>
          <w:tcPr>
            <w:tcW w:w="1745" w:type="dxa"/>
          </w:tcPr>
          <w:p w14:paraId="6FA99339" w14:textId="77777777" w:rsidR="005D3AAA" w:rsidRPr="00983B97" w:rsidRDefault="005D3AAA" w:rsidP="00106A08">
            <w:pPr>
              <w:pStyle w:val="GJUSTabloGvde"/>
            </w:pPr>
            <w:r w:rsidRPr="00983B97">
              <w:t>72%</w:t>
            </w:r>
          </w:p>
        </w:tc>
        <w:tc>
          <w:tcPr>
            <w:tcW w:w="1750" w:type="dxa"/>
          </w:tcPr>
          <w:p w14:paraId="5781E53F" w14:textId="77777777" w:rsidR="005D3AAA" w:rsidRPr="00983B97" w:rsidRDefault="005D3AAA" w:rsidP="00106A08">
            <w:pPr>
              <w:pStyle w:val="GJUSTabloGvde"/>
            </w:pPr>
            <w:r w:rsidRPr="00983B97">
              <w:t>97%</w:t>
            </w:r>
          </w:p>
        </w:tc>
        <w:tc>
          <w:tcPr>
            <w:tcW w:w="0" w:type="auto"/>
          </w:tcPr>
          <w:p w14:paraId="2D447F53" w14:textId="77777777" w:rsidR="005D3AAA" w:rsidRPr="00983B97" w:rsidRDefault="005D3AAA" w:rsidP="00106A08">
            <w:pPr>
              <w:pStyle w:val="GJUSTabloGvde"/>
            </w:pPr>
            <w:r w:rsidRPr="00983B97">
              <w:t>+25%</w:t>
            </w:r>
          </w:p>
        </w:tc>
        <w:tc>
          <w:tcPr>
            <w:tcW w:w="0" w:type="auto"/>
          </w:tcPr>
          <w:p w14:paraId="37D55A09" w14:textId="77777777" w:rsidR="005D3AAA" w:rsidRPr="00983B97" w:rsidRDefault="005D3AAA" w:rsidP="00106A08">
            <w:pPr>
              <w:pStyle w:val="GJUSTabloGvde"/>
            </w:pPr>
            <w:r w:rsidRPr="00983B97">
              <w:t>Optimized BIM governance for long-term stability and lifecycle management.</w:t>
            </w:r>
          </w:p>
        </w:tc>
      </w:tr>
    </w:tbl>
    <w:p w14:paraId="5171824D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AAA"/>
    <w:rsid w:val="005C0D39"/>
    <w:rsid w:val="005D3AAA"/>
    <w:rsid w:val="0070406C"/>
    <w:rsid w:val="00705009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3E11"/>
  <w15:chartTrackingRefBased/>
  <w15:docId w15:val="{C2DF2575-9344-4E67-A25E-44641D7CD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AAA"/>
    <w:pPr>
      <w:spacing w:line="259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3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A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A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A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A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A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A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3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AA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3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AA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3A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AAA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3A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A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AA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D3AAA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JUSGvde">
    <w:name w:val="GJUS Gövde"/>
    <w:basedOn w:val="Normal"/>
    <w:link w:val="GJUSGvdeChar"/>
    <w:qFormat/>
    <w:rsid w:val="005D3AAA"/>
    <w:pPr>
      <w:spacing w:after="240" w:line="240" w:lineRule="auto"/>
      <w:jc w:val="both"/>
    </w:pPr>
    <w:rPr>
      <w:rFonts w:ascii="Times New Roman" w:eastAsia="Times New Roman" w:hAnsi="Times New Roman" w:cs="Times New Roman"/>
      <w:lang w:val="en-US"/>
    </w:rPr>
  </w:style>
  <w:style w:type="character" w:customStyle="1" w:styleId="GJUSGvdeChar">
    <w:name w:val="GJUS Gövde Char"/>
    <w:basedOn w:val="DefaultParagraphFont"/>
    <w:link w:val="GJUSGvde"/>
    <w:rsid w:val="005D3AAA"/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customStyle="1" w:styleId="GJUSTable">
    <w:name w:val="GJUS Table"/>
    <w:basedOn w:val="Normal"/>
    <w:link w:val="GJUSTableChar"/>
    <w:qFormat/>
    <w:rsid w:val="005D3AAA"/>
    <w:pPr>
      <w:spacing w:after="0" w:line="240" w:lineRule="auto"/>
    </w:pPr>
    <w:rPr>
      <w:rFonts w:ascii="Times New Roman" w:hAnsi="Times New Roman" w:cs="Times New Roman"/>
      <w:b/>
      <w:bCs/>
      <w:i/>
      <w:color w:val="000000" w:themeColor="text1"/>
      <w:lang w:val="en-US"/>
    </w:rPr>
  </w:style>
  <w:style w:type="character" w:customStyle="1" w:styleId="GJUSTableChar">
    <w:name w:val="GJUS Table Char"/>
    <w:basedOn w:val="DefaultParagraphFont"/>
    <w:link w:val="GJUSTable"/>
    <w:rsid w:val="005D3AAA"/>
    <w:rPr>
      <w:rFonts w:ascii="Times New Roman" w:hAnsi="Times New Roman" w:cs="Times New Roman"/>
      <w:b/>
      <w:bCs/>
      <w:i/>
      <w:color w:val="000000" w:themeColor="text1"/>
      <w:kern w:val="0"/>
      <w:sz w:val="22"/>
      <w:szCs w:val="22"/>
      <w:lang w:val="en-US"/>
      <w14:ligatures w14:val="none"/>
    </w:rPr>
  </w:style>
  <w:style w:type="paragraph" w:customStyle="1" w:styleId="GJUS1Balk">
    <w:name w:val="GJUS 1. Başlık"/>
    <w:basedOn w:val="Heading1"/>
    <w:link w:val="GJUS1BalkChar"/>
    <w:qFormat/>
    <w:rsid w:val="005D3AAA"/>
    <w:pPr>
      <w:keepNext w:val="0"/>
      <w:keepLines w:val="0"/>
      <w:spacing w:before="0" w:after="240" w:line="240" w:lineRule="auto"/>
      <w:contextualSpacing/>
      <w:jc w:val="both"/>
    </w:pPr>
    <w:rPr>
      <w:rFonts w:ascii="Times New Roman" w:hAnsi="Times New Roman" w:cs="Times New Roman"/>
      <w:b/>
      <w:kern w:val="0"/>
      <w:lang w:val="tr-TR"/>
      <w14:ligatures w14:val="none"/>
    </w:rPr>
  </w:style>
  <w:style w:type="character" w:customStyle="1" w:styleId="GJUS1BalkChar">
    <w:name w:val="GJUS 1. Başlık Char"/>
    <w:basedOn w:val="Heading1Char"/>
    <w:link w:val="GJUS1Balk"/>
    <w:rsid w:val="005D3AAA"/>
    <w:rPr>
      <w:rFonts w:ascii="Times New Roman" w:eastAsiaTheme="majorEastAsia" w:hAnsi="Times New Roman" w:cs="Times New Roman"/>
      <w:b/>
      <w:color w:val="0F4761" w:themeColor="accent1" w:themeShade="BF"/>
      <w:kern w:val="0"/>
      <w:sz w:val="40"/>
      <w:szCs w:val="40"/>
      <w:lang w:val="tr-TR"/>
      <w14:ligatures w14:val="none"/>
    </w:rPr>
  </w:style>
  <w:style w:type="paragraph" w:customStyle="1" w:styleId="GJUSTabloGvde">
    <w:name w:val="GJUS Tablo Gövde"/>
    <w:basedOn w:val="NoSpacing"/>
    <w:link w:val="GJUSTabloGvdeChar"/>
    <w:qFormat/>
    <w:rsid w:val="005D3AAA"/>
    <w:pPr>
      <w:suppressAutoHyphens/>
    </w:pPr>
    <w:rPr>
      <w:rFonts w:ascii="Times New Roman" w:eastAsia="Calibri" w:hAnsi="Times New Roman" w:cs="Times New Roman"/>
      <w:lang w:val="en-US" w:eastAsia="ar-SA"/>
    </w:rPr>
  </w:style>
  <w:style w:type="character" w:customStyle="1" w:styleId="GJUSTabloGvdeChar">
    <w:name w:val="GJUS Tablo Gövde Char"/>
    <w:basedOn w:val="DefaultParagraphFont"/>
    <w:link w:val="GJUSTabloGvde"/>
    <w:rsid w:val="005D3AAA"/>
    <w:rPr>
      <w:rFonts w:ascii="Times New Roman" w:eastAsia="Calibri" w:hAnsi="Times New Roman" w:cs="Times New Roman"/>
      <w:kern w:val="0"/>
      <w:sz w:val="22"/>
      <w:szCs w:val="22"/>
      <w:lang w:val="en-US" w:eastAsia="ar-SA"/>
      <w14:ligatures w14:val="none"/>
    </w:rPr>
  </w:style>
  <w:style w:type="paragraph" w:customStyle="1" w:styleId="GJUSTabloKoyu">
    <w:name w:val="GJUS Tablo Koyu"/>
    <w:basedOn w:val="Normal"/>
    <w:link w:val="GJUSTabloKoyuChar"/>
    <w:qFormat/>
    <w:rsid w:val="005D3AAA"/>
    <w:pPr>
      <w:spacing w:after="0" w:line="240" w:lineRule="auto"/>
      <w:contextualSpacing/>
      <w:jc w:val="both"/>
    </w:pPr>
    <w:rPr>
      <w:rFonts w:ascii="Times New Roman" w:hAnsi="Times New Roman" w:cs="Times New Roman"/>
      <w:b/>
      <w:bCs/>
      <w:szCs w:val="24"/>
      <w:lang w:val="en-US"/>
    </w:rPr>
  </w:style>
  <w:style w:type="character" w:customStyle="1" w:styleId="GJUSTabloKoyuChar">
    <w:name w:val="GJUS Tablo Koyu Char"/>
    <w:basedOn w:val="DefaultParagraphFont"/>
    <w:link w:val="GJUSTabloKoyu"/>
    <w:rsid w:val="005D3AAA"/>
    <w:rPr>
      <w:rFonts w:ascii="Times New Roman" w:hAnsi="Times New Roman" w:cs="Times New Roman"/>
      <w:b/>
      <w:bCs/>
      <w:kern w:val="0"/>
      <w:sz w:val="22"/>
      <w:lang w:val="en-US"/>
      <w14:ligatures w14:val="none"/>
    </w:rPr>
  </w:style>
  <w:style w:type="paragraph" w:styleId="NoSpacing">
    <w:name w:val="No Spacing"/>
    <w:uiPriority w:val="1"/>
    <w:qFormat/>
    <w:rsid w:val="005D3AAA"/>
    <w:pPr>
      <w:spacing w:after="0" w:line="240" w:lineRule="auto"/>
    </w:pPr>
    <w:rPr>
      <w:kern w:val="0"/>
      <w:sz w:val="22"/>
      <w:szCs w:val="22"/>
      <w:lang w:val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384</Words>
  <Characters>2657</Characters>
  <Application>Microsoft Office Word</Application>
  <DocSecurity>0</DocSecurity>
  <Lines>66</Lines>
  <Paragraphs>31</Paragraphs>
  <ScaleCrop>false</ScaleCrop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2025-11-14T05:48:00Z</dcterms:created>
  <dcterms:modified xsi:type="dcterms:W3CDTF">2025-11-14T05:49:00Z</dcterms:modified>
</cp:coreProperties>
</file>