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30656" w14:textId="77777777" w:rsidR="0005583F" w:rsidRPr="006575C2" w:rsidRDefault="0005583F" w:rsidP="0005583F">
      <w:pPr>
        <w:spacing w:before="100" w:beforeAutospacing="1" w:after="100" w:afterAutospacing="1" w:line="240" w:lineRule="auto"/>
        <w:ind w:right="-421"/>
        <w:jc w:val="both"/>
        <w:rPr>
          <w:rFonts w:asciiTheme="minorBidi" w:hAnsiTheme="minorBidi" w:cstheme="minorBidi"/>
          <w:b/>
          <w:bCs/>
          <w:kern w:val="0"/>
          <w:sz w:val="22"/>
          <w:szCs w:val="22"/>
        </w:rPr>
      </w:pPr>
      <w:bookmarkStart w:id="0" w:name="_Hlk211847081"/>
      <w:bookmarkStart w:id="1" w:name="_Hlk211846989"/>
      <w:r w:rsidRPr="006575C2">
        <w:rPr>
          <w:rFonts w:asciiTheme="minorBidi" w:hAnsiTheme="minorBidi" w:cstheme="minorBidi"/>
          <w:b/>
          <w:bCs/>
          <w:kern w:val="0"/>
          <w:sz w:val="22"/>
          <w:szCs w:val="22"/>
        </w:rPr>
        <w:t xml:space="preserve">Table 1. Clinical characteristics and initial laboratory investigations of the whole cohort </w:t>
      </w:r>
    </w:p>
    <w:p w14:paraId="5037041B" w14:textId="77777777" w:rsidR="0005583F" w:rsidRPr="00A85346" w:rsidRDefault="0005583F" w:rsidP="0005583F">
      <w:pPr>
        <w:spacing w:before="100" w:beforeAutospacing="1" w:after="100" w:afterAutospacing="1" w:line="240" w:lineRule="auto"/>
        <w:jc w:val="both"/>
        <w:rPr>
          <w:rFonts w:asciiTheme="minorBidi" w:hAnsiTheme="minorBidi" w:cstheme="minorBidi"/>
          <w:b/>
          <w:bCs/>
          <w:kern w:val="0"/>
          <w:sz w:val="22"/>
          <w:szCs w:val="22"/>
        </w:rPr>
      </w:pPr>
      <w:r w:rsidRPr="00A85346">
        <w:rPr>
          <w:rFonts w:asciiTheme="minorBidi" w:hAnsiTheme="minorBidi" w:cstheme="minorBidi"/>
          <w:b/>
          <w:bCs/>
          <w:kern w:val="0"/>
          <w:sz w:val="22"/>
          <w:szCs w:val="22"/>
        </w:rPr>
        <w:t>(N = 70)</w:t>
      </w:r>
    </w:p>
    <w:tbl>
      <w:tblPr>
        <w:tblpPr w:leftFromText="180" w:rightFromText="180" w:vertAnchor="text" w:tblpY="1"/>
        <w:tblW w:w="830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771"/>
        <w:gridCol w:w="2582"/>
        <w:gridCol w:w="1549"/>
        <w:gridCol w:w="1401"/>
      </w:tblGrid>
      <w:tr w:rsidR="0005583F" w:rsidRPr="00EB6009" w14:paraId="32054D9A" w14:textId="77777777" w:rsidTr="00C846EB">
        <w:trPr>
          <w:tblHeader/>
        </w:trPr>
        <w:tc>
          <w:tcPr>
            <w:tcW w:w="535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9A56B2E" w14:textId="77777777" w:rsidR="0005583F" w:rsidRPr="00EB6009" w:rsidRDefault="0005583F" w:rsidP="00C846EB">
            <w:pPr>
              <w:spacing w:before="40" w:after="40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r w:rsidRPr="00EB6009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 xml:space="preserve">          Characteristics</w:t>
            </w:r>
          </w:p>
          <w:p w14:paraId="0A0DA8B8" w14:textId="77777777" w:rsidR="0005583F" w:rsidRPr="00EB6009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15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90E48A0" w14:textId="77777777" w:rsidR="0005583F" w:rsidRPr="00EB6009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  <w:r w:rsidRPr="00EB6009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 xml:space="preserve"> N = 70</w:t>
            </w:r>
            <w:r w:rsidRPr="00EB6009">
              <w:rPr>
                <w:rFonts w:asciiTheme="minorBidi" w:hAnsiTheme="minorBidi" w:cstheme="minorBidi"/>
                <w:i/>
                <w:iCs/>
                <w:sz w:val="22"/>
                <w:szCs w:val="22"/>
                <w:vertAlign w:val="superscript"/>
                <w:lang w:val="en-GB" w:bidi="ar-EG"/>
              </w:rPr>
              <w:t>1</w:t>
            </w:r>
          </w:p>
          <w:p w14:paraId="4404FB4A" w14:textId="77777777" w:rsidR="0005583F" w:rsidRPr="00EB6009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  <w:tc>
          <w:tcPr>
            <w:tcW w:w="14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E292592" w14:textId="77777777" w:rsidR="0005583F" w:rsidRPr="00EB6009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EB6009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%</w:t>
            </w:r>
          </w:p>
          <w:p w14:paraId="5B9303CA" w14:textId="77777777" w:rsidR="0005583F" w:rsidRPr="00EB6009" w:rsidRDefault="0005583F" w:rsidP="00C846EB">
            <w:pPr>
              <w:spacing w:before="40" w:after="40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</w:tr>
      <w:tr w:rsidR="0005583F" w:rsidRPr="00A85346" w14:paraId="634AD400" w14:textId="77777777" w:rsidTr="00C846EB">
        <w:tc>
          <w:tcPr>
            <w:tcW w:w="2771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07ED20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b/>
                <w:sz w:val="22"/>
                <w:szCs w:val="22"/>
                <w:lang w:bidi="ar-EG"/>
              </w:rPr>
              <w:t>Age group</w:t>
            </w:r>
          </w:p>
          <w:p w14:paraId="6C4C428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4A091F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≤ 10 years  </w:t>
            </w:r>
          </w:p>
        </w:tc>
        <w:tc>
          <w:tcPr>
            <w:tcW w:w="1549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F0CFD5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52</w:t>
            </w:r>
          </w:p>
        </w:tc>
        <w:tc>
          <w:tcPr>
            <w:tcW w:w="1401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0608E9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74%</w:t>
            </w:r>
          </w:p>
        </w:tc>
      </w:tr>
      <w:tr w:rsidR="0005583F" w:rsidRPr="00A85346" w14:paraId="61896F93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48B3F71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B1B073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&gt; 10 years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6EFDAD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18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AAB1D2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26%</w:t>
            </w:r>
          </w:p>
        </w:tc>
      </w:tr>
      <w:tr w:rsidR="0005583F" w:rsidRPr="00A85346" w14:paraId="530B4ECD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708A4C8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sz w:val="22"/>
                <w:szCs w:val="22"/>
                <w:lang w:bidi="en-US"/>
              </w:rPr>
              <w:t>Gender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04A6564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Male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7C495C4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45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2565F24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64%</w:t>
            </w:r>
          </w:p>
        </w:tc>
      </w:tr>
      <w:tr w:rsidR="0005583F" w:rsidRPr="00A85346" w14:paraId="52E5D45D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73DAE83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00C36D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Female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FA199D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598D4D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36%</w:t>
            </w:r>
          </w:p>
          <w:p w14:paraId="6329BA8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3C9A1071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5610CF4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  <w:t>Initial TLC Group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5DEC81F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≥50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542391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22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6895242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31%</w:t>
            </w:r>
          </w:p>
        </w:tc>
      </w:tr>
      <w:tr w:rsidR="0005583F" w:rsidRPr="00A85346" w14:paraId="5F73B84C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7D75921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2271A04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&lt;50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7C1E47E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48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30B9B57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69%</w:t>
            </w:r>
          </w:p>
        </w:tc>
      </w:tr>
      <w:tr w:rsidR="0005583F" w:rsidRPr="00A85346" w14:paraId="4F1E495E" w14:textId="77777777" w:rsidTr="00C846EB">
        <w:tc>
          <w:tcPr>
            <w:tcW w:w="2771" w:type="dxa"/>
            <w:shd w:val="clear" w:color="auto" w:fill="FFFFFF" w:themeFill="background1"/>
            <w:vAlign w:val="center"/>
          </w:tcPr>
          <w:p w14:paraId="7572378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  <w:t>Initial BMA % Blasts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9C9939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05307F7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91 (85- 95)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3097EAF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</w:tr>
      <w:tr w:rsidR="0005583F" w:rsidRPr="00A85346" w14:paraId="67782F10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57F17F1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  <w:t>Immunophenotyping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66A5EE1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BCP C-ALL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06AD07C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50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370F77E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71%</w:t>
            </w:r>
          </w:p>
        </w:tc>
      </w:tr>
      <w:tr w:rsidR="0005583F" w:rsidRPr="00A85346" w14:paraId="7F028063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08B2579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CD759C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BCP Pre-B ALL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2C9D09C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16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1F8CFE3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23%</w:t>
            </w:r>
          </w:p>
        </w:tc>
      </w:tr>
      <w:tr w:rsidR="0005583F" w:rsidRPr="00A85346" w14:paraId="465B8F99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1E045D7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288154C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BCP Pro-B-ALL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049D130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4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18EFE61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5.7%</w:t>
            </w:r>
          </w:p>
        </w:tc>
      </w:tr>
      <w:tr w:rsidR="0005583F" w:rsidRPr="00A85346" w14:paraId="66C769C9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41A0A8B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sz w:val="22"/>
                <w:szCs w:val="22"/>
                <w:lang w:val="en-GB" w:bidi="ar-EG"/>
              </w:rPr>
              <w:t>Molecular studies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4B76316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Negative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053097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43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C9F4FD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61%</w:t>
            </w:r>
          </w:p>
        </w:tc>
      </w:tr>
      <w:tr w:rsidR="0005583F" w:rsidRPr="00A85346" w14:paraId="794CFB36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0B322D1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1EF7D85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t (12;21)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2533626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15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3F534A0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21%</w:t>
            </w:r>
          </w:p>
        </w:tc>
      </w:tr>
      <w:tr w:rsidR="0005583F" w:rsidRPr="00A85346" w14:paraId="035CFDE3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194E37B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68BB122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t (4;11)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6BB483B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4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72DCEA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5.7%</w:t>
            </w:r>
          </w:p>
        </w:tc>
      </w:tr>
      <w:tr w:rsidR="0005583F" w:rsidRPr="00A85346" w14:paraId="033D69E4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2184A98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7969A05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t (9;22)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6439688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6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96BAFA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8.6%</w:t>
            </w:r>
          </w:p>
        </w:tc>
      </w:tr>
      <w:tr w:rsidR="0005583F" w:rsidRPr="00A85346" w14:paraId="6DB8D974" w14:textId="77777777" w:rsidTr="00C846EB">
        <w:trPr>
          <w:trHeight w:val="68"/>
        </w:trPr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6613FE5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2811E18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t (1;19)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106855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2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236070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2.9%</w:t>
            </w:r>
          </w:p>
        </w:tc>
      </w:tr>
      <w:tr w:rsidR="0005583F" w:rsidRPr="00A85346" w14:paraId="1E5A1807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677B3AA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bidi="ar-EG"/>
              </w:rPr>
            </w:pPr>
            <w:bookmarkStart w:id="2" w:name="_Hlk211847167"/>
            <w:bookmarkEnd w:id="0"/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ar-EG"/>
              </w:rPr>
              <w:t>Karyotyping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7D858DF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Hyperdiploidy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07A3A47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2BE8D5A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24%</w:t>
            </w:r>
          </w:p>
        </w:tc>
      </w:tr>
      <w:tr w:rsidR="0005583F" w:rsidRPr="00A85346" w14:paraId="3BD31FB6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015897A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EBE32E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Hypodiploidy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21B407A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1296BCB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4.3%</w:t>
            </w:r>
          </w:p>
        </w:tc>
      </w:tr>
      <w:tr w:rsidR="0005583F" w:rsidRPr="00A85346" w14:paraId="5244CF5F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2D74516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626480F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Normal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44B355D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50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2EF042F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71%</w:t>
            </w:r>
          </w:p>
        </w:tc>
      </w:tr>
      <w:tr w:rsidR="0005583F" w:rsidRPr="00A85346" w14:paraId="3912370F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34D455B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CNS Status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50E91E0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I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A31D68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58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4FEABD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83%</w:t>
            </w:r>
          </w:p>
        </w:tc>
      </w:tr>
      <w:tr w:rsidR="0005583F" w:rsidRPr="00A85346" w14:paraId="565F3FEF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0AD714E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78492B8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III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2A176C1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F9AF2B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4.3%</w:t>
            </w:r>
          </w:p>
        </w:tc>
      </w:tr>
      <w:tr w:rsidR="0005583F" w:rsidRPr="00A85346" w14:paraId="57D050C4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1F2496A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59B474E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TLP without blasts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7AF5EC3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9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774684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13%</w:t>
            </w:r>
          </w:p>
        </w:tc>
      </w:tr>
      <w:tr w:rsidR="0005583F" w:rsidRPr="00A85346" w14:paraId="0430B3A1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6DB7502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D15 BMA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2C8B106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CR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6E00513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1D37E3F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79%</w:t>
            </w:r>
          </w:p>
        </w:tc>
      </w:tr>
      <w:tr w:rsidR="0005583F" w:rsidRPr="00A85346" w14:paraId="0C551523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5B67CC8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81D405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Not in CR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53AFEE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352034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21%</w:t>
            </w:r>
          </w:p>
        </w:tc>
      </w:tr>
      <w:tr w:rsidR="0005583F" w:rsidRPr="00A85346" w14:paraId="11FEBF88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37189EB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D15 BMA MRD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468E3C8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Negative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9B5FE8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35F1A2C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79%</w:t>
            </w:r>
          </w:p>
        </w:tc>
      </w:tr>
      <w:tr w:rsidR="0005583F" w:rsidRPr="00A85346" w14:paraId="6E79ABD9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750674F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13C1CFD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Positive</w:t>
            </w:r>
          </w:p>
          <w:p w14:paraId="0D4E65A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39ECAF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15</w:t>
            </w:r>
          </w:p>
          <w:p w14:paraId="4DDDB6B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DB7081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21%</w:t>
            </w:r>
          </w:p>
          <w:p w14:paraId="01BDEEA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2114600B" w14:textId="77777777" w:rsidTr="00C846EB">
        <w:tc>
          <w:tcPr>
            <w:tcW w:w="2771" w:type="dxa"/>
            <w:shd w:val="clear" w:color="auto" w:fill="FFFFFF" w:themeFill="background1"/>
            <w:vAlign w:val="center"/>
          </w:tcPr>
          <w:p w14:paraId="4CC2979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D42 BMA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603EAB6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CR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F42CB6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70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2081728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100%</w:t>
            </w:r>
          </w:p>
        </w:tc>
      </w:tr>
      <w:tr w:rsidR="0005583F" w:rsidRPr="00A85346" w14:paraId="4591C216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25B5512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D42 BMA MRD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7F6FFC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negative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9BEB75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48BE30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81%</w:t>
            </w:r>
          </w:p>
        </w:tc>
      </w:tr>
      <w:tr w:rsidR="0005583F" w:rsidRPr="00A85346" w14:paraId="78FEA2FC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03CF9C7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4EB225D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Positive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2363AF0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23EA9A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19%</w:t>
            </w:r>
          </w:p>
        </w:tc>
      </w:tr>
      <w:tr w:rsidR="0005583F" w:rsidRPr="00A85346" w14:paraId="31F6367D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5BBF966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lastRenderedPageBreak/>
              <w:t>Risk Stratification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5FF9ED2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LR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20C7F3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28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479066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40%</w:t>
            </w:r>
          </w:p>
        </w:tc>
      </w:tr>
      <w:tr w:rsidR="0005583F" w:rsidRPr="00A85346" w14:paraId="75D3DA80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4D953A4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70EA23C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SR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616AEBD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DE6AEF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53%</w:t>
            </w:r>
          </w:p>
        </w:tc>
      </w:tr>
      <w:tr w:rsidR="0005583F" w:rsidRPr="00A85346" w14:paraId="333C7FF9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5B72625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4E33E84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HR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386357A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5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6270D7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7.1%</w:t>
            </w:r>
          </w:p>
        </w:tc>
      </w:tr>
      <w:tr w:rsidR="0005583F" w:rsidRPr="00A85346" w14:paraId="2E5EE4D3" w14:textId="77777777" w:rsidTr="00C846EB">
        <w:tc>
          <w:tcPr>
            <w:tcW w:w="2771" w:type="dxa"/>
            <w:shd w:val="clear" w:color="auto" w:fill="FFFFFF" w:themeFill="background1"/>
            <w:vAlign w:val="center"/>
          </w:tcPr>
          <w:p w14:paraId="330642F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Initial BMA Gene Exp.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1243802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429744A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3.3 (1.8-5)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030E21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</w:tr>
      <w:tr w:rsidR="0005583F" w:rsidRPr="00A85346" w14:paraId="38DEF92E" w14:textId="77777777" w:rsidTr="00C846EB">
        <w:tc>
          <w:tcPr>
            <w:tcW w:w="2771" w:type="dxa"/>
            <w:shd w:val="clear" w:color="auto" w:fill="FFFFFF" w:themeFill="background1"/>
            <w:vAlign w:val="center"/>
          </w:tcPr>
          <w:p w14:paraId="097D434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End of Induction Gene Exp.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258ABF5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6DBC14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i/>
                <w:iCs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1.92 (0.98-3.50) *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791A11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31063FBA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5D0A282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Last Chemotherapy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69B38D8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Induction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284A403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1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38DC68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1.4%</w:t>
            </w:r>
          </w:p>
        </w:tc>
      </w:tr>
      <w:tr w:rsidR="0005583F" w:rsidRPr="00A85346" w14:paraId="2602D057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57C780C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1BA3898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Consolidation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6BE03EA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2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14D0B6D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2.9%</w:t>
            </w:r>
          </w:p>
        </w:tc>
      </w:tr>
      <w:tr w:rsidR="0005583F" w:rsidRPr="00A85346" w14:paraId="104B9381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54FF4D9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61510F6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Week 7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7DC8789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27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EC7566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39%</w:t>
            </w:r>
          </w:p>
        </w:tc>
      </w:tr>
      <w:tr w:rsidR="0005583F" w:rsidRPr="00A85346" w14:paraId="549B4A2A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3E6671A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7B234A4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Week 48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3E505C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14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541C169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20%</w:t>
            </w:r>
          </w:p>
        </w:tc>
      </w:tr>
      <w:tr w:rsidR="0005583F" w:rsidRPr="00A85346" w14:paraId="78D91CE4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647906A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1200DC8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Ended treatmen</w:t>
            </w: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t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4619192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13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BE705D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19%</w:t>
            </w:r>
          </w:p>
        </w:tc>
      </w:tr>
      <w:tr w:rsidR="0005583F" w:rsidRPr="00A85346" w14:paraId="7419D907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3C3651B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0AE988C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FLAG/M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3C306BE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  <w:t>13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28A8F05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19%</w:t>
            </w:r>
          </w:p>
        </w:tc>
      </w:tr>
      <w:tr w:rsidR="0005583F" w:rsidRPr="00A85346" w14:paraId="35022E08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1EA7D90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RELAPSE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283EBD2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YES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09EAB36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  <w:t>13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0BF0EEB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19%</w:t>
            </w:r>
          </w:p>
        </w:tc>
      </w:tr>
      <w:tr w:rsidR="0005583F" w:rsidRPr="00A85346" w14:paraId="365A3597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2FACBD0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10DD74E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NO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1ADA082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  <w:t>57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397771E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81%</w:t>
            </w:r>
          </w:p>
        </w:tc>
      </w:tr>
      <w:tr w:rsidR="0005583F" w:rsidRPr="00A85346" w14:paraId="584F1FCE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3DC6A6F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  <w:bookmarkStart w:id="3" w:name="_Hlk211847431"/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  <w:t>Remission Status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08FF312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Maintained CR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410DC1E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57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7D52DE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81%</w:t>
            </w:r>
          </w:p>
        </w:tc>
      </w:tr>
      <w:tr w:rsidR="0005583F" w:rsidRPr="00A85346" w14:paraId="02EB6AE8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6E840BB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5AC211D8" w14:textId="77777777" w:rsidR="0005583F" w:rsidRPr="00A85346" w:rsidRDefault="0005583F" w:rsidP="00C846EB">
            <w:pPr>
              <w:spacing w:before="40" w:after="40"/>
              <w:ind w:right="-109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Early Isolated Haematological</w:t>
            </w:r>
            <w:r>
              <w:rPr>
                <w:rFonts w:asciiTheme="minorBidi" w:hAnsiTheme="minorBidi" w:cstheme="minorBidi"/>
                <w:sz w:val="22"/>
                <w:szCs w:val="22"/>
                <w:lang w:bidi="en-US"/>
              </w:rPr>
              <w:t xml:space="preserve"> </w:t>
            </w: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Relaps</w:t>
            </w:r>
            <w:r>
              <w:rPr>
                <w:rFonts w:asciiTheme="minorBidi" w:hAnsiTheme="minorBidi" w:cstheme="minorBidi"/>
                <w:sz w:val="22"/>
                <w:szCs w:val="22"/>
                <w:lang w:bidi="en-US"/>
              </w:rPr>
              <w:t>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6233654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7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68C2595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10%</w:t>
            </w:r>
          </w:p>
        </w:tc>
      </w:tr>
      <w:bookmarkEnd w:id="2"/>
      <w:tr w:rsidR="0005583F" w:rsidRPr="00A85346" w14:paraId="515BDA52" w14:textId="77777777" w:rsidTr="00C846EB">
        <w:tc>
          <w:tcPr>
            <w:tcW w:w="2771" w:type="dxa"/>
            <w:vMerge/>
            <w:shd w:val="clear" w:color="auto" w:fill="FFFFFF" w:themeFill="background1"/>
            <w:vAlign w:val="center"/>
          </w:tcPr>
          <w:p w14:paraId="1C70EE2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bidi="en-US"/>
              </w:rPr>
            </w:pP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336CCD3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Late Isolated</w:t>
            </w:r>
            <w:r>
              <w:rPr>
                <w:rFonts w:asciiTheme="minorBidi" w:hAnsiTheme="minorBidi" w:cstheme="minorBidi"/>
                <w:sz w:val="22"/>
                <w:szCs w:val="22"/>
                <w:lang w:bidi="en-US"/>
              </w:rPr>
              <w:t xml:space="preserve"> </w:t>
            </w: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Haematological Relapse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7008DA2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en-US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6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1EA5954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8.6%</w:t>
            </w:r>
          </w:p>
        </w:tc>
      </w:tr>
      <w:tr w:rsidR="0005583F" w:rsidRPr="00A85346" w14:paraId="32210A1C" w14:textId="77777777" w:rsidTr="00C846EB">
        <w:tc>
          <w:tcPr>
            <w:tcW w:w="2771" w:type="dxa"/>
            <w:vMerge w:val="restart"/>
            <w:shd w:val="clear" w:color="auto" w:fill="FFFFFF" w:themeFill="background1"/>
            <w:vAlign w:val="center"/>
          </w:tcPr>
          <w:p w14:paraId="4BD3515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Status</w:t>
            </w:r>
          </w:p>
        </w:tc>
        <w:tc>
          <w:tcPr>
            <w:tcW w:w="2582" w:type="dxa"/>
            <w:shd w:val="clear" w:color="auto" w:fill="FFFFFF" w:themeFill="background1"/>
            <w:vAlign w:val="center"/>
          </w:tcPr>
          <w:p w14:paraId="04E4FA8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Alive</w:t>
            </w:r>
          </w:p>
        </w:tc>
        <w:tc>
          <w:tcPr>
            <w:tcW w:w="1549" w:type="dxa"/>
            <w:shd w:val="clear" w:color="auto" w:fill="FFFFFF" w:themeFill="background1"/>
            <w:vAlign w:val="center"/>
          </w:tcPr>
          <w:p w14:paraId="5F6C118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 xml:space="preserve">57 </w:t>
            </w:r>
          </w:p>
        </w:tc>
        <w:tc>
          <w:tcPr>
            <w:tcW w:w="1401" w:type="dxa"/>
            <w:shd w:val="clear" w:color="auto" w:fill="FFFFFF" w:themeFill="background1"/>
            <w:vAlign w:val="center"/>
          </w:tcPr>
          <w:p w14:paraId="4FE8D43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81%</w:t>
            </w:r>
          </w:p>
        </w:tc>
      </w:tr>
      <w:tr w:rsidR="0005583F" w:rsidRPr="00A85346" w14:paraId="72E13530" w14:textId="77777777" w:rsidTr="00C846EB">
        <w:tc>
          <w:tcPr>
            <w:tcW w:w="2771" w:type="dxa"/>
            <w:vMerge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88D916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2582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A0F6C2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rtl/>
                <w:lang w:bidi="ar-KW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en-US"/>
              </w:rPr>
              <w:t>Dead</w:t>
            </w:r>
          </w:p>
        </w:tc>
        <w:tc>
          <w:tcPr>
            <w:tcW w:w="154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CB561F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  <w:t>13</w:t>
            </w:r>
          </w:p>
        </w:tc>
        <w:tc>
          <w:tcPr>
            <w:tcW w:w="1401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57D4C3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sz w:val="22"/>
                <w:szCs w:val="22"/>
                <w:lang w:bidi="ar-EG"/>
              </w:rPr>
              <w:t>19%</w:t>
            </w:r>
          </w:p>
        </w:tc>
      </w:tr>
      <w:tr w:rsidR="0005583F" w:rsidRPr="0005583F" w14:paraId="71A3BB89" w14:textId="77777777" w:rsidTr="00C846EB">
        <w:tc>
          <w:tcPr>
            <w:tcW w:w="8303" w:type="dxa"/>
            <w:gridSpan w:val="4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4C26B86" w14:textId="77777777" w:rsidR="0005583F" w:rsidRPr="0005583F" w:rsidRDefault="0005583F" w:rsidP="00C846EB">
            <w:pPr>
              <w:spacing w:before="40" w:after="40"/>
              <w:rPr>
                <w:rFonts w:asciiTheme="minorBidi" w:hAnsiTheme="minorBidi" w:cstheme="minorBidi"/>
                <w:b/>
                <w:bCs/>
                <w:sz w:val="22"/>
                <w:szCs w:val="22"/>
                <w:lang w:val="pt-PT" w:bidi="ar-EG"/>
              </w:rPr>
            </w:pPr>
            <w:r w:rsidRPr="0005583F">
              <w:rPr>
                <w:rFonts w:asciiTheme="minorBidi" w:hAnsiTheme="minorBidi" w:cstheme="minorBidi"/>
                <w:b/>
                <w:bCs/>
                <w:sz w:val="22"/>
                <w:szCs w:val="22"/>
                <w:vertAlign w:val="superscript"/>
                <w:lang w:val="pt-PT" w:bidi="ar-EG"/>
              </w:rPr>
              <w:t>1</w:t>
            </w:r>
            <w:r w:rsidRPr="0005583F">
              <w:rPr>
                <w:rFonts w:asciiTheme="minorBidi" w:hAnsiTheme="minorBidi" w:cstheme="minorBidi"/>
                <w:b/>
                <w:bCs/>
                <w:sz w:val="22"/>
                <w:szCs w:val="22"/>
                <w:lang w:val="pt-PT" w:bidi="ar-EG"/>
              </w:rPr>
              <w:t xml:space="preserve"> Median (IQR); n (%); * 5 N/A</w:t>
            </w:r>
          </w:p>
        </w:tc>
      </w:tr>
      <w:bookmarkEnd w:id="1"/>
      <w:bookmarkEnd w:id="3"/>
    </w:tbl>
    <w:p w14:paraId="315E5807" w14:textId="77777777" w:rsidR="0005583F" w:rsidRPr="0005583F" w:rsidRDefault="0005583F" w:rsidP="0005583F">
      <w:pPr>
        <w:spacing w:before="100" w:beforeAutospacing="1" w:after="100" w:afterAutospacing="1" w:line="240" w:lineRule="auto"/>
        <w:rPr>
          <w:rFonts w:asciiTheme="minorBidi" w:hAnsiTheme="minorBidi" w:cstheme="minorBidi"/>
          <w:kern w:val="0"/>
          <w:sz w:val="22"/>
          <w:szCs w:val="22"/>
          <w:lang w:val="pt-PT"/>
        </w:rPr>
      </w:pPr>
    </w:p>
    <w:p w14:paraId="0B63D5B2" w14:textId="77777777" w:rsidR="0005583F" w:rsidRPr="0005583F" w:rsidRDefault="0005583F" w:rsidP="0005583F">
      <w:pPr>
        <w:spacing w:before="100" w:beforeAutospacing="1" w:after="100" w:afterAutospacing="1" w:line="240" w:lineRule="auto"/>
        <w:rPr>
          <w:rFonts w:asciiTheme="minorBidi" w:hAnsiTheme="minorBidi" w:cstheme="minorBidi"/>
          <w:kern w:val="0"/>
          <w:sz w:val="22"/>
          <w:szCs w:val="22"/>
          <w:lang w:val="pt-PT"/>
        </w:rPr>
      </w:pPr>
    </w:p>
    <w:p w14:paraId="1009B647" w14:textId="77777777" w:rsidR="0005583F" w:rsidRPr="0005583F" w:rsidRDefault="0005583F" w:rsidP="0005583F">
      <w:pPr>
        <w:spacing w:before="100" w:beforeAutospacing="1" w:after="100" w:afterAutospacing="1" w:line="240" w:lineRule="auto"/>
        <w:rPr>
          <w:rFonts w:asciiTheme="minorBidi" w:hAnsiTheme="minorBidi" w:cstheme="minorBidi"/>
          <w:kern w:val="0"/>
          <w:sz w:val="22"/>
          <w:szCs w:val="22"/>
          <w:lang w:val="pt-PT"/>
        </w:rPr>
      </w:pPr>
    </w:p>
    <w:p w14:paraId="5FA28680" w14:textId="77777777" w:rsidR="0005583F" w:rsidRPr="0005583F" w:rsidRDefault="0005583F" w:rsidP="0005583F">
      <w:pPr>
        <w:spacing w:before="100" w:beforeAutospacing="1" w:after="100" w:afterAutospacing="1" w:line="240" w:lineRule="auto"/>
        <w:rPr>
          <w:rFonts w:asciiTheme="minorBidi" w:hAnsiTheme="minorBidi" w:cstheme="minorBidi"/>
          <w:kern w:val="0"/>
          <w:sz w:val="22"/>
          <w:szCs w:val="22"/>
          <w:lang w:val="pt-PT"/>
        </w:rPr>
      </w:pPr>
    </w:p>
    <w:p w14:paraId="790ECBFD" w14:textId="77777777" w:rsidR="0005583F" w:rsidRPr="0005583F" w:rsidRDefault="0005583F" w:rsidP="0005583F">
      <w:pPr>
        <w:spacing w:before="100" w:beforeAutospacing="1" w:after="100" w:afterAutospacing="1" w:line="240" w:lineRule="auto"/>
        <w:jc w:val="both"/>
        <w:rPr>
          <w:rFonts w:asciiTheme="minorBidi" w:hAnsiTheme="minorBidi" w:cstheme="minorBidi"/>
          <w:b/>
          <w:bCs/>
          <w:kern w:val="0"/>
          <w:sz w:val="22"/>
          <w:szCs w:val="22"/>
          <w:lang w:val="pt-PT"/>
        </w:rPr>
      </w:pPr>
    </w:p>
    <w:p w14:paraId="47B4B3E7" w14:textId="77777777" w:rsidR="0005583F" w:rsidRPr="0005583F" w:rsidRDefault="0005583F" w:rsidP="0005583F">
      <w:pPr>
        <w:spacing w:before="100" w:beforeAutospacing="1" w:after="100" w:afterAutospacing="1" w:line="240" w:lineRule="auto"/>
        <w:jc w:val="both"/>
        <w:rPr>
          <w:rFonts w:asciiTheme="minorBidi" w:hAnsiTheme="minorBidi" w:cstheme="minorBidi"/>
          <w:b/>
          <w:bCs/>
          <w:kern w:val="0"/>
          <w:sz w:val="22"/>
          <w:szCs w:val="22"/>
          <w:lang w:val="pt-PT"/>
        </w:rPr>
      </w:pPr>
    </w:p>
    <w:p w14:paraId="7A667CA8" w14:textId="77777777" w:rsidR="0005583F" w:rsidRPr="00D14C5D" w:rsidRDefault="0005583F" w:rsidP="0005583F">
      <w:pPr>
        <w:spacing w:before="100" w:beforeAutospacing="1" w:after="100" w:afterAutospacing="1" w:line="240" w:lineRule="auto"/>
        <w:jc w:val="both"/>
        <w:rPr>
          <w:rFonts w:asciiTheme="minorBidi" w:hAnsiTheme="minorBidi" w:cstheme="minorBidi"/>
          <w:kern w:val="0"/>
          <w:sz w:val="22"/>
          <w:szCs w:val="22"/>
        </w:rPr>
      </w:pPr>
      <w:r w:rsidRPr="00A85346">
        <w:rPr>
          <w:rFonts w:asciiTheme="minorBidi" w:hAnsiTheme="minorBidi" w:cstheme="minorBidi"/>
          <w:b/>
          <w:bCs/>
          <w:kern w:val="0"/>
          <w:sz w:val="22"/>
          <w:szCs w:val="22"/>
        </w:rPr>
        <w:t>Abbreviations:</w:t>
      </w:r>
      <w:r w:rsidRPr="00A85346">
        <w:rPr>
          <w:rFonts w:asciiTheme="minorBidi" w:hAnsiTheme="minorBidi" w:cstheme="minorBidi"/>
          <w:kern w:val="0"/>
          <w:sz w:val="22"/>
          <w:szCs w:val="22"/>
        </w:rPr>
        <w:t xml:space="preserve"> TLC: Total leukocytic count; LR: Low-risk; SR: Standard-risk; HR: High-risk; CNS: central nervous system; TLP: Traumatic lumbar puncture; ALL: acute lymphoblastic leukemia.</w:t>
      </w:r>
    </w:p>
    <w:p w14:paraId="1AC660B1" w14:textId="77777777" w:rsidR="0005583F" w:rsidRPr="006575C2" w:rsidRDefault="0005583F" w:rsidP="0005583F">
      <w:pPr>
        <w:spacing w:before="100" w:beforeAutospacing="1" w:after="100" w:afterAutospacing="1" w:line="276" w:lineRule="auto"/>
        <w:jc w:val="both"/>
        <w:rPr>
          <w:rFonts w:asciiTheme="minorBidi" w:hAnsiTheme="minorBidi" w:cstheme="minorBidi"/>
          <w:kern w:val="0"/>
          <w:sz w:val="22"/>
          <w:szCs w:val="22"/>
        </w:rPr>
      </w:pPr>
      <w:r w:rsidRPr="006575C2"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  <w:t>Table 2. CASP8AP2 gene expression cut-off in the initial and post-induction BMA</w:t>
      </w:r>
    </w:p>
    <w:tbl>
      <w:tblPr>
        <w:tblW w:w="90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889"/>
        <w:gridCol w:w="3441"/>
        <w:gridCol w:w="3690"/>
      </w:tblGrid>
      <w:tr w:rsidR="0005583F" w:rsidRPr="00A85346" w14:paraId="32351C44" w14:textId="77777777" w:rsidTr="00C846EB">
        <w:trPr>
          <w:trHeight w:val="288"/>
          <w:tblHeader/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78344D" w14:textId="77777777" w:rsidR="0005583F" w:rsidRPr="00A85346" w:rsidRDefault="0005583F" w:rsidP="00C846EB">
            <w:pPr>
              <w:spacing w:after="0" w:line="240" w:lineRule="auto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7B4B2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Initial BMA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00226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Post-Induction BMA</w:t>
            </w:r>
          </w:p>
        </w:tc>
      </w:tr>
      <w:tr w:rsidR="0005583F" w:rsidRPr="00A85346" w14:paraId="54EBD282" w14:textId="77777777" w:rsidTr="00C846EB">
        <w:trPr>
          <w:trHeight w:val="288"/>
          <w:tblCellSpacing w:w="15" w:type="dxa"/>
        </w:trPr>
        <w:tc>
          <w:tcPr>
            <w:tcW w:w="0" w:type="auto"/>
            <w:vAlign w:val="center"/>
          </w:tcPr>
          <w:p w14:paraId="3A8A3BC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Threshold</w:t>
            </w:r>
          </w:p>
        </w:tc>
        <w:tc>
          <w:tcPr>
            <w:tcW w:w="0" w:type="auto"/>
            <w:vAlign w:val="center"/>
          </w:tcPr>
          <w:p w14:paraId="64247B1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1.95 (1.17–5.6)</w:t>
            </w:r>
          </w:p>
        </w:tc>
        <w:tc>
          <w:tcPr>
            <w:tcW w:w="0" w:type="auto"/>
            <w:vAlign w:val="center"/>
          </w:tcPr>
          <w:p w14:paraId="6693F35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1.94 (0.59–4.37)</w:t>
            </w:r>
          </w:p>
        </w:tc>
      </w:tr>
      <w:tr w:rsidR="0005583F" w:rsidRPr="00A85346" w14:paraId="5CE4D46D" w14:textId="77777777" w:rsidTr="00C846EB">
        <w:trPr>
          <w:trHeight w:val="288"/>
          <w:tblCellSpacing w:w="15" w:type="dxa"/>
        </w:trPr>
        <w:tc>
          <w:tcPr>
            <w:tcW w:w="0" w:type="auto"/>
            <w:vAlign w:val="center"/>
          </w:tcPr>
          <w:p w14:paraId="75F7A70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AUC</w:t>
            </w:r>
          </w:p>
        </w:tc>
        <w:tc>
          <w:tcPr>
            <w:tcW w:w="0" w:type="auto"/>
            <w:vAlign w:val="center"/>
          </w:tcPr>
          <w:p w14:paraId="38CED324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83.6% (71.2–95.5%)</w:t>
            </w:r>
          </w:p>
        </w:tc>
        <w:tc>
          <w:tcPr>
            <w:tcW w:w="0" w:type="auto"/>
            <w:vAlign w:val="center"/>
          </w:tcPr>
          <w:p w14:paraId="7186D6A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61.2% (44.6–77.8%)</w:t>
            </w:r>
          </w:p>
        </w:tc>
      </w:tr>
      <w:tr w:rsidR="0005583F" w:rsidRPr="00A85346" w14:paraId="4DECB30E" w14:textId="77777777" w:rsidTr="00C846EB">
        <w:trPr>
          <w:trHeight w:val="288"/>
          <w:tblCellSpacing w:w="15" w:type="dxa"/>
        </w:trPr>
        <w:tc>
          <w:tcPr>
            <w:tcW w:w="0" w:type="auto"/>
            <w:vAlign w:val="center"/>
          </w:tcPr>
          <w:p w14:paraId="51B62FD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Sensitivity</w:t>
            </w:r>
          </w:p>
        </w:tc>
        <w:tc>
          <w:tcPr>
            <w:tcW w:w="0" w:type="auto"/>
            <w:vAlign w:val="center"/>
          </w:tcPr>
          <w:p w14:paraId="5556279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76.9% (53.9–100)</w:t>
            </w:r>
          </w:p>
        </w:tc>
        <w:tc>
          <w:tcPr>
            <w:tcW w:w="0" w:type="auto"/>
            <w:vAlign w:val="center"/>
          </w:tcPr>
          <w:p w14:paraId="6538C50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69.2% (23.1–100)</w:t>
            </w:r>
          </w:p>
        </w:tc>
      </w:tr>
      <w:tr w:rsidR="0005583F" w:rsidRPr="00A85346" w14:paraId="5CD18948" w14:textId="77777777" w:rsidTr="00C846EB">
        <w:trPr>
          <w:trHeight w:val="288"/>
          <w:tblCellSpacing w:w="15" w:type="dxa"/>
        </w:trPr>
        <w:tc>
          <w:tcPr>
            <w:tcW w:w="0" w:type="auto"/>
            <w:vAlign w:val="center"/>
          </w:tcPr>
          <w:p w14:paraId="0C9DFB6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Specificity</w:t>
            </w:r>
          </w:p>
        </w:tc>
        <w:tc>
          <w:tcPr>
            <w:tcW w:w="0" w:type="auto"/>
            <w:vAlign w:val="center"/>
          </w:tcPr>
          <w:p w14:paraId="23C3482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82.5% (47.4–98.3)</w:t>
            </w:r>
          </w:p>
        </w:tc>
        <w:tc>
          <w:tcPr>
            <w:tcW w:w="0" w:type="auto"/>
            <w:vAlign w:val="center"/>
          </w:tcPr>
          <w:p w14:paraId="15B506C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53.8% (19.2–55.8)</w:t>
            </w:r>
          </w:p>
        </w:tc>
      </w:tr>
      <w:tr w:rsidR="0005583F" w:rsidRPr="00A85346" w14:paraId="6BC5130C" w14:textId="77777777" w:rsidTr="00C846EB">
        <w:trPr>
          <w:trHeight w:val="288"/>
          <w:tblCellSpacing w:w="15" w:type="dxa"/>
        </w:trPr>
        <w:tc>
          <w:tcPr>
            <w:tcW w:w="0" w:type="auto"/>
            <w:vAlign w:val="center"/>
          </w:tcPr>
          <w:p w14:paraId="6D8C879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PPV</w:t>
            </w:r>
          </w:p>
        </w:tc>
        <w:tc>
          <w:tcPr>
            <w:tcW w:w="0" w:type="auto"/>
            <w:vAlign w:val="center"/>
          </w:tcPr>
          <w:p w14:paraId="43399B8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90.0</w:t>
            </w:r>
          </w:p>
        </w:tc>
        <w:tc>
          <w:tcPr>
            <w:tcW w:w="0" w:type="auto"/>
            <w:vAlign w:val="center"/>
          </w:tcPr>
          <w:p w14:paraId="141103A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42.9</w:t>
            </w:r>
          </w:p>
        </w:tc>
      </w:tr>
      <w:tr w:rsidR="0005583F" w:rsidRPr="00A85346" w14:paraId="216A1ABC" w14:textId="77777777" w:rsidTr="00C846EB">
        <w:trPr>
          <w:trHeight w:val="288"/>
          <w:tblCellSpacing w:w="15" w:type="dxa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0278B23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NPV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B59AF6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94.0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AAA46C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87.5</w:t>
            </w:r>
          </w:p>
        </w:tc>
      </w:tr>
    </w:tbl>
    <w:p w14:paraId="025C1068" w14:textId="77777777" w:rsidR="0005583F" w:rsidRPr="00A85346" w:rsidRDefault="0005583F" w:rsidP="0005583F">
      <w:pPr>
        <w:spacing w:before="100" w:beforeAutospacing="1" w:after="100" w:afterAutospacing="1" w:line="240" w:lineRule="auto"/>
        <w:outlineLvl w:val="2"/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</w:pPr>
      <w:bookmarkStart w:id="4" w:name="_Hlk211847601"/>
      <w:r w:rsidRPr="006575C2"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  <w:lastRenderedPageBreak/>
        <w:t>Table 3. Relation of initial patients’ characteristics and treatment response to the initial and post-induction BMA CASP8AP2 gene expression level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883"/>
        <w:gridCol w:w="3042"/>
        <w:gridCol w:w="790"/>
        <w:gridCol w:w="3185"/>
        <w:gridCol w:w="460"/>
      </w:tblGrid>
      <w:tr w:rsidR="0005583F" w:rsidRPr="00A85346" w14:paraId="25A83BDA" w14:textId="77777777" w:rsidTr="00C846EB">
        <w:trPr>
          <w:tblHeader/>
          <w:tblCellSpacing w:w="15" w:type="dxa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EE195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Characteristic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4EB604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Initial BMA CASP8AP2 Gene Expression level</w:t>
            </w: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br/>
              <w:t>N = 70 Median (IQR)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A9AAB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07A00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Post-Induction CASP8AP2 Gene Expression level</w:t>
            </w: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br/>
              <w:t>N = 70 Median (IQR)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93DD9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</w:t>
            </w:r>
          </w:p>
        </w:tc>
      </w:tr>
      <w:tr w:rsidR="0005583F" w:rsidRPr="00A85346" w14:paraId="08997FDC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420CDFCE" w14:textId="77777777" w:rsidR="0005583F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</w:p>
          <w:p w14:paraId="02F2B1D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Age group</w:t>
            </w:r>
          </w:p>
        </w:tc>
        <w:tc>
          <w:tcPr>
            <w:tcW w:w="0" w:type="auto"/>
            <w:vAlign w:val="center"/>
          </w:tcPr>
          <w:p w14:paraId="339E1E7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403710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3141A6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4664E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631331B9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03CAC629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&gt;10 years</w:t>
            </w:r>
          </w:p>
        </w:tc>
        <w:tc>
          <w:tcPr>
            <w:tcW w:w="0" w:type="auto"/>
            <w:vAlign w:val="center"/>
          </w:tcPr>
          <w:p w14:paraId="1520BEF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2.5 (1.2–4.0)</w:t>
            </w:r>
          </w:p>
        </w:tc>
        <w:tc>
          <w:tcPr>
            <w:tcW w:w="0" w:type="auto"/>
            <w:vAlign w:val="center"/>
          </w:tcPr>
          <w:p w14:paraId="244A68F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0.2</w:t>
            </w:r>
          </w:p>
        </w:tc>
        <w:tc>
          <w:tcPr>
            <w:tcW w:w="0" w:type="auto"/>
            <w:vAlign w:val="center"/>
          </w:tcPr>
          <w:p w14:paraId="55AA7D49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1.36 (0.98–2.76)</w:t>
            </w:r>
          </w:p>
        </w:tc>
        <w:tc>
          <w:tcPr>
            <w:tcW w:w="0" w:type="auto"/>
            <w:vAlign w:val="center"/>
          </w:tcPr>
          <w:p w14:paraId="08954F6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0.5</w:t>
            </w:r>
          </w:p>
        </w:tc>
      </w:tr>
      <w:tr w:rsidR="0005583F" w:rsidRPr="00A85346" w14:paraId="328609AD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72677F3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≤ 10 years</w:t>
            </w:r>
          </w:p>
        </w:tc>
        <w:tc>
          <w:tcPr>
            <w:tcW w:w="0" w:type="auto"/>
            <w:vAlign w:val="center"/>
          </w:tcPr>
          <w:p w14:paraId="0788483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3.4 (2.0–5.1)</w:t>
            </w:r>
          </w:p>
        </w:tc>
        <w:tc>
          <w:tcPr>
            <w:tcW w:w="0" w:type="auto"/>
            <w:vAlign w:val="center"/>
          </w:tcPr>
          <w:p w14:paraId="1247E4F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278FE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1.98 (0.99–3.97)</w:t>
            </w:r>
          </w:p>
        </w:tc>
        <w:tc>
          <w:tcPr>
            <w:tcW w:w="0" w:type="auto"/>
            <w:vAlign w:val="center"/>
          </w:tcPr>
          <w:p w14:paraId="67C959C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5FE77C44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5B2DF847" w14:textId="77777777" w:rsidR="0005583F" w:rsidRDefault="0005583F" w:rsidP="00C846EB">
            <w:pPr>
              <w:spacing w:after="0" w:line="240" w:lineRule="auto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</w:p>
          <w:p w14:paraId="0D9AB21C" w14:textId="77777777" w:rsidR="0005583F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</w:p>
          <w:p w14:paraId="02AF886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TLC group</w:t>
            </w:r>
          </w:p>
        </w:tc>
        <w:tc>
          <w:tcPr>
            <w:tcW w:w="0" w:type="auto"/>
            <w:vAlign w:val="center"/>
          </w:tcPr>
          <w:p w14:paraId="230FD18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0E5C4D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9BC6D2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CB53CB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797DCCA7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4E972E9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&lt;50,000</w:t>
            </w:r>
          </w:p>
        </w:tc>
        <w:tc>
          <w:tcPr>
            <w:tcW w:w="0" w:type="auto"/>
            <w:vAlign w:val="center"/>
          </w:tcPr>
          <w:p w14:paraId="18E35AA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3.50 (2.10–5.13)</w:t>
            </w:r>
          </w:p>
        </w:tc>
        <w:tc>
          <w:tcPr>
            <w:tcW w:w="0" w:type="auto"/>
            <w:vAlign w:val="center"/>
          </w:tcPr>
          <w:p w14:paraId="6519A5E9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0.066</w:t>
            </w:r>
          </w:p>
        </w:tc>
        <w:tc>
          <w:tcPr>
            <w:tcW w:w="0" w:type="auto"/>
            <w:vAlign w:val="center"/>
          </w:tcPr>
          <w:p w14:paraId="23FED56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1.98 (0.96–3.74)</w:t>
            </w:r>
          </w:p>
        </w:tc>
        <w:tc>
          <w:tcPr>
            <w:tcW w:w="0" w:type="auto"/>
            <w:vAlign w:val="center"/>
          </w:tcPr>
          <w:p w14:paraId="024DB0A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0.7</w:t>
            </w:r>
          </w:p>
        </w:tc>
      </w:tr>
      <w:tr w:rsidR="0005583F" w:rsidRPr="00A85346" w14:paraId="1A910AF0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6A211D6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≥ 50,000</w:t>
            </w:r>
          </w:p>
        </w:tc>
        <w:tc>
          <w:tcPr>
            <w:tcW w:w="0" w:type="auto"/>
            <w:vAlign w:val="center"/>
          </w:tcPr>
          <w:p w14:paraId="1371D73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2.40 (1.00–4.30)</w:t>
            </w:r>
          </w:p>
        </w:tc>
        <w:tc>
          <w:tcPr>
            <w:tcW w:w="0" w:type="auto"/>
            <w:vAlign w:val="center"/>
          </w:tcPr>
          <w:p w14:paraId="1159B71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D2A97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1.49 (1.00–2.28)</w:t>
            </w:r>
          </w:p>
        </w:tc>
        <w:tc>
          <w:tcPr>
            <w:tcW w:w="0" w:type="auto"/>
            <w:vAlign w:val="center"/>
          </w:tcPr>
          <w:p w14:paraId="61BC944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01542051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495D53E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Karyotyping</w:t>
            </w:r>
          </w:p>
        </w:tc>
        <w:tc>
          <w:tcPr>
            <w:tcW w:w="0" w:type="auto"/>
            <w:vAlign w:val="center"/>
          </w:tcPr>
          <w:p w14:paraId="1C69BAE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F335FB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0ECEE9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C89E64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6EAD4FB9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136873E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Hyperdiploid</w:t>
            </w:r>
          </w:p>
        </w:tc>
        <w:tc>
          <w:tcPr>
            <w:tcW w:w="0" w:type="auto"/>
            <w:vAlign w:val="center"/>
          </w:tcPr>
          <w:p w14:paraId="293352C4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4.70 (2.30–5.30)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</w:tcPr>
          <w:p w14:paraId="30FAF31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0.007*</w:t>
            </w:r>
          </w:p>
        </w:tc>
        <w:tc>
          <w:tcPr>
            <w:tcW w:w="0" w:type="auto"/>
            <w:vAlign w:val="center"/>
          </w:tcPr>
          <w:p w14:paraId="264DBA2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2.94 (1.98–5.22)</w:t>
            </w:r>
          </w:p>
        </w:tc>
        <w:tc>
          <w:tcPr>
            <w:tcW w:w="0" w:type="auto"/>
            <w:vAlign w:val="center"/>
          </w:tcPr>
          <w:p w14:paraId="0EEB29B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0.09</w:t>
            </w:r>
          </w:p>
        </w:tc>
      </w:tr>
      <w:tr w:rsidR="0005583F" w:rsidRPr="00A85346" w14:paraId="05346114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09D871C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Hypodiploid</w:t>
            </w:r>
          </w:p>
        </w:tc>
        <w:tc>
          <w:tcPr>
            <w:tcW w:w="0" w:type="auto"/>
            <w:vAlign w:val="center"/>
          </w:tcPr>
          <w:p w14:paraId="4F9150A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0.50 (0.40–0.80)</w:t>
            </w:r>
          </w:p>
        </w:tc>
        <w:tc>
          <w:tcPr>
            <w:tcW w:w="0" w:type="auto"/>
            <w:vAlign w:val="center"/>
          </w:tcPr>
          <w:p w14:paraId="14D1134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3DE66F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1.11 (0.67–4.44)</w:t>
            </w:r>
          </w:p>
        </w:tc>
        <w:tc>
          <w:tcPr>
            <w:tcW w:w="0" w:type="auto"/>
            <w:vAlign w:val="center"/>
          </w:tcPr>
          <w:p w14:paraId="7621AE9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5F1F1820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457CFDF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Normal</w:t>
            </w:r>
          </w:p>
        </w:tc>
        <w:tc>
          <w:tcPr>
            <w:tcW w:w="0" w:type="auto"/>
            <w:vAlign w:val="center"/>
          </w:tcPr>
          <w:p w14:paraId="6728451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3.10 (1.70–4.60)</w:t>
            </w:r>
          </w:p>
        </w:tc>
        <w:tc>
          <w:tcPr>
            <w:tcW w:w="0" w:type="auto"/>
            <w:vAlign w:val="center"/>
          </w:tcPr>
          <w:p w14:paraId="0EF0A64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127E0D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1.62 (0.96–2.36)</w:t>
            </w:r>
          </w:p>
        </w:tc>
        <w:tc>
          <w:tcPr>
            <w:tcW w:w="0" w:type="auto"/>
            <w:vAlign w:val="center"/>
          </w:tcPr>
          <w:p w14:paraId="31E952E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53E68E17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46ED6F2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Molecular</w:t>
            </w:r>
          </w:p>
        </w:tc>
        <w:tc>
          <w:tcPr>
            <w:tcW w:w="0" w:type="auto"/>
            <w:vAlign w:val="center"/>
          </w:tcPr>
          <w:p w14:paraId="1DCDD16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BE6688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143F6C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75F08E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0AE1B16E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4EE5FD5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Negative</w:t>
            </w:r>
          </w:p>
        </w:tc>
        <w:tc>
          <w:tcPr>
            <w:tcW w:w="0" w:type="auto"/>
            <w:vAlign w:val="center"/>
          </w:tcPr>
          <w:p w14:paraId="6833FB0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3.80 (2.00–5.10)</w:t>
            </w:r>
          </w:p>
        </w:tc>
        <w:tc>
          <w:tcPr>
            <w:tcW w:w="0" w:type="auto"/>
            <w:shd w:val="clear" w:color="auto" w:fill="83CAEB" w:themeFill="accent1" w:themeFillTint="66"/>
            <w:vAlign w:val="center"/>
          </w:tcPr>
          <w:p w14:paraId="2D31CC8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0.038*</w:t>
            </w:r>
          </w:p>
        </w:tc>
        <w:tc>
          <w:tcPr>
            <w:tcW w:w="0" w:type="auto"/>
            <w:vAlign w:val="center"/>
          </w:tcPr>
          <w:p w14:paraId="6A811FF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2.07 (1.00–4.05)</w:t>
            </w:r>
          </w:p>
        </w:tc>
        <w:tc>
          <w:tcPr>
            <w:tcW w:w="0" w:type="auto"/>
            <w:vAlign w:val="center"/>
          </w:tcPr>
          <w:p w14:paraId="76B4A31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0.3</w:t>
            </w:r>
          </w:p>
        </w:tc>
      </w:tr>
      <w:tr w:rsidR="0005583F" w:rsidRPr="00A85346" w14:paraId="1FE10FBA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0F60770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t(12;21)</w:t>
            </w:r>
          </w:p>
        </w:tc>
        <w:tc>
          <w:tcPr>
            <w:tcW w:w="0" w:type="auto"/>
            <w:vAlign w:val="center"/>
          </w:tcPr>
          <w:p w14:paraId="02C3AFA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3.50 (2.30–5.40)</w:t>
            </w:r>
          </w:p>
        </w:tc>
        <w:tc>
          <w:tcPr>
            <w:tcW w:w="0" w:type="auto"/>
            <w:vAlign w:val="center"/>
          </w:tcPr>
          <w:p w14:paraId="283728A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7209B3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1.94 (1.00–2.56)</w:t>
            </w:r>
          </w:p>
        </w:tc>
        <w:tc>
          <w:tcPr>
            <w:tcW w:w="0" w:type="auto"/>
            <w:vAlign w:val="center"/>
          </w:tcPr>
          <w:p w14:paraId="68EE7A9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65407FF5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1825208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t(1;19)</w:t>
            </w:r>
          </w:p>
        </w:tc>
        <w:tc>
          <w:tcPr>
            <w:tcW w:w="0" w:type="auto"/>
            <w:vAlign w:val="center"/>
          </w:tcPr>
          <w:p w14:paraId="635C7E6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2.70 (2.00–4.70)</w:t>
            </w:r>
          </w:p>
        </w:tc>
        <w:tc>
          <w:tcPr>
            <w:tcW w:w="0" w:type="auto"/>
            <w:vAlign w:val="center"/>
          </w:tcPr>
          <w:p w14:paraId="6E692BB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3BE5169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4.72 (3.35–6.08)</w:t>
            </w:r>
          </w:p>
        </w:tc>
        <w:tc>
          <w:tcPr>
            <w:tcW w:w="0" w:type="auto"/>
            <w:vAlign w:val="center"/>
          </w:tcPr>
          <w:p w14:paraId="47460BD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476C8569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7679BFD4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t(4;11)</w:t>
            </w:r>
          </w:p>
        </w:tc>
        <w:tc>
          <w:tcPr>
            <w:tcW w:w="0" w:type="auto"/>
            <w:vAlign w:val="center"/>
          </w:tcPr>
          <w:p w14:paraId="37C1227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5.20 (3.00–7.40)</w:t>
            </w:r>
          </w:p>
        </w:tc>
        <w:tc>
          <w:tcPr>
            <w:tcW w:w="0" w:type="auto"/>
            <w:vAlign w:val="center"/>
          </w:tcPr>
          <w:p w14:paraId="0753682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5CE5F0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1.18 (0.92–1.42)</w:t>
            </w:r>
          </w:p>
        </w:tc>
        <w:tc>
          <w:tcPr>
            <w:tcW w:w="0" w:type="auto"/>
            <w:vAlign w:val="center"/>
          </w:tcPr>
          <w:p w14:paraId="791F78D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7A8FC55B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2946DFC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t(9;22)</w:t>
            </w:r>
          </w:p>
        </w:tc>
        <w:tc>
          <w:tcPr>
            <w:tcW w:w="0" w:type="auto"/>
            <w:vAlign w:val="center"/>
          </w:tcPr>
          <w:p w14:paraId="1F042FA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1.60 (0.70–1.90)</w:t>
            </w:r>
          </w:p>
        </w:tc>
        <w:tc>
          <w:tcPr>
            <w:tcW w:w="0" w:type="auto"/>
            <w:vAlign w:val="center"/>
          </w:tcPr>
          <w:p w14:paraId="7EA43F3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E1A8B0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1.30 (0.71–2.00)</w:t>
            </w:r>
          </w:p>
        </w:tc>
        <w:tc>
          <w:tcPr>
            <w:tcW w:w="0" w:type="auto"/>
            <w:vAlign w:val="center"/>
          </w:tcPr>
          <w:p w14:paraId="5B55830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07336A6A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789327E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D15 BMA</w:t>
            </w:r>
          </w:p>
        </w:tc>
        <w:tc>
          <w:tcPr>
            <w:tcW w:w="0" w:type="auto"/>
            <w:vAlign w:val="center"/>
          </w:tcPr>
          <w:p w14:paraId="406E758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83CAEB" w:themeFill="accent1" w:themeFillTint="66"/>
            <w:vAlign w:val="center"/>
          </w:tcPr>
          <w:p w14:paraId="689E8C5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0.019*</w:t>
            </w:r>
          </w:p>
        </w:tc>
        <w:tc>
          <w:tcPr>
            <w:tcW w:w="0" w:type="auto"/>
            <w:vAlign w:val="center"/>
          </w:tcPr>
          <w:p w14:paraId="257A9B1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B9D28C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0.7</w:t>
            </w:r>
          </w:p>
        </w:tc>
      </w:tr>
      <w:tr w:rsidR="0005583F" w:rsidRPr="00A85346" w14:paraId="4667FF2C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5A86167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CR</w:t>
            </w:r>
          </w:p>
        </w:tc>
        <w:tc>
          <w:tcPr>
            <w:tcW w:w="0" w:type="auto"/>
            <w:vAlign w:val="center"/>
          </w:tcPr>
          <w:p w14:paraId="651972C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3.5 (2.20–5.80)</w:t>
            </w:r>
          </w:p>
        </w:tc>
        <w:tc>
          <w:tcPr>
            <w:tcW w:w="0" w:type="auto"/>
            <w:vAlign w:val="center"/>
          </w:tcPr>
          <w:p w14:paraId="1C5627E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0464F78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1.98 (0.99–3.72)</w:t>
            </w:r>
          </w:p>
        </w:tc>
        <w:tc>
          <w:tcPr>
            <w:tcW w:w="0" w:type="auto"/>
            <w:vAlign w:val="center"/>
          </w:tcPr>
          <w:p w14:paraId="1463740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7B12A42A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1EB51CC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Not in CR</w:t>
            </w:r>
          </w:p>
        </w:tc>
        <w:tc>
          <w:tcPr>
            <w:tcW w:w="0" w:type="auto"/>
            <w:vAlign w:val="center"/>
          </w:tcPr>
          <w:p w14:paraId="251D669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1.8 (1.40–3.40)</w:t>
            </w:r>
          </w:p>
        </w:tc>
        <w:tc>
          <w:tcPr>
            <w:tcW w:w="0" w:type="auto"/>
            <w:vAlign w:val="center"/>
          </w:tcPr>
          <w:p w14:paraId="73F685F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37DB13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1.46 (0.89–2.07)</w:t>
            </w:r>
          </w:p>
        </w:tc>
        <w:tc>
          <w:tcPr>
            <w:tcW w:w="0" w:type="auto"/>
            <w:vAlign w:val="center"/>
          </w:tcPr>
          <w:p w14:paraId="1804613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2C1C8B91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1530E50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End of induction MRD</w:t>
            </w:r>
          </w:p>
        </w:tc>
        <w:tc>
          <w:tcPr>
            <w:tcW w:w="0" w:type="auto"/>
            <w:vAlign w:val="center"/>
          </w:tcPr>
          <w:p w14:paraId="0FCE3A0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5959A4D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0.292</w:t>
            </w:r>
          </w:p>
        </w:tc>
        <w:tc>
          <w:tcPr>
            <w:tcW w:w="0" w:type="auto"/>
            <w:vAlign w:val="center"/>
          </w:tcPr>
          <w:p w14:paraId="074D61C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EADC99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0.7</w:t>
            </w:r>
          </w:p>
        </w:tc>
      </w:tr>
      <w:tr w:rsidR="0005583F" w:rsidRPr="00A85346" w14:paraId="3ECAF2B4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5E22F2F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Positive</w:t>
            </w:r>
          </w:p>
        </w:tc>
        <w:tc>
          <w:tcPr>
            <w:tcW w:w="0" w:type="auto"/>
            <w:vAlign w:val="center"/>
          </w:tcPr>
          <w:p w14:paraId="7DD0F8C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2.3 (1.40–3.20)</w:t>
            </w:r>
          </w:p>
        </w:tc>
        <w:tc>
          <w:tcPr>
            <w:tcW w:w="0" w:type="auto"/>
            <w:vAlign w:val="center"/>
          </w:tcPr>
          <w:p w14:paraId="54E3CEF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287C54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1.96 (0.98–3.50)</w:t>
            </w:r>
          </w:p>
        </w:tc>
        <w:tc>
          <w:tcPr>
            <w:tcW w:w="0" w:type="auto"/>
            <w:vAlign w:val="center"/>
          </w:tcPr>
          <w:p w14:paraId="6DA71B3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1EB1FE71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0ACDBD62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Negative</w:t>
            </w:r>
          </w:p>
        </w:tc>
        <w:tc>
          <w:tcPr>
            <w:tcW w:w="0" w:type="auto"/>
            <w:vAlign w:val="center"/>
          </w:tcPr>
          <w:p w14:paraId="11E711D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3.8 (1.90–5.30)</w:t>
            </w:r>
          </w:p>
        </w:tc>
        <w:tc>
          <w:tcPr>
            <w:tcW w:w="0" w:type="auto"/>
            <w:vAlign w:val="center"/>
          </w:tcPr>
          <w:p w14:paraId="68A482FA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A41A629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1.46 (1.00–2.53)</w:t>
            </w:r>
          </w:p>
        </w:tc>
        <w:tc>
          <w:tcPr>
            <w:tcW w:w="0" w:type="auto"/>
            <w:vAlign w:val="center"/>
          </w:tcPr>
          <w:p w14:paraId="1390379B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47300083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2D7AF351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Risk stratification</w:t>
            </w:r>
          </w:p>
        </w:tc>
        <w:tc>
          <w:tcPr>
            <w:tcW w:w="0" w:type="auto"/>
            <w:vAlign w:val="center"/>
          </w:tcPr>
          <w:p w14:paraId="60D5421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83CAEB" w:themeFill="accent1" w:themeFillTint="66"/>
            <w:vAlign w:val="center"/>
          </w:tcPr>
          <w:p w14:paraId="70555A1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&lt;0.001*</w:t>
            </w:r>
          </w:p>
        </w:tc>
        <w:tc>
          <w:tcPr>
            <w:tcW w:w="0" w:type="auto"/>
            <w:vAlign w:val="center"/>
          </w:tcPr>
          <w:p w14:paraId="156F5B7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C139B0C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0.3</w:t>
            </w:r>
          </w:p>
        </w:tc>
      </w:tr>
      <w:tr w:rsidR="0005583F" w:rsidRPr="00A85346" w14:paraId="4844475D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179083D3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High risk</w:t>
            </w:r>
          </w:p>
        </w:tc>
        <w:tc>
          <w:tcPr>
            <w:tcW w:w="0" w:type="auto"/>
            <w:vAlign w:val="center"/>
          </w:tcPr>
          <w:p w14:paraId="1E1DEE27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0.90 (0.50–1.00)</w:t>
            </w:r>
          </w:p>
        </w:tc>
        <w:tc>
          <w:tcPr>
            <w:tcW w:w="0" w:type="auto"/>
            <w:vAlign w:val="center"/>
          </w:tcPr>
          <w:p w14:paraId="7D45FFF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17AAB7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1.11 (0.98–1.81)</w:t>
            </w:r>
          </w:p>
        </w:tc>
        <w:tc>
          <w:tcPr>
            <w:tcW w:w="0" w:type="auto"/>
            <w:vAlign w:val="center"/>
          </w:tcPr>
          <w:p w14:paraId="5A108ED4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28A4D4C0" w14:textId="77777777" w:rsidTr="00C846EB">
        <w:trPr>
          <w:tblCellSpacing w:w="15" w:type="dxa"/>
        </w:trPr>
        <w:tc>
          <w:tcPr>
            <w:tcW w:w="0" w:type="auto"/>
            <w:vAlign w:val="center"/>
          </w:tcPr>
          <w:p w14:paraId="7E7292B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Low risk</w:t>
            </w:r>
          </w:p>
        </w:tc>
        <w:tc>
          <w:tcPr>
            <w:tcW w:w="0" w:type="auto"/>
            <w:vAlign w:val="center"/>
          </w:tcPr>
          <w:p w14:paraId="0C74B309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4.80 (3.30–6.80)</w:t>
            </w:r>
          </w:p>
        </w:tc>
        <w:tc>
          <w:tcPr>
            <w:tcW w:w="0" w:type="auto"/>
            <w:vAlign w:val="center"/>
          </w:tcPr>
          <w:p w14:paraId="7405074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FF62D8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2.30 (0.98–3.94)</w:t>
            </w:r>
          </w:p>
        </w:tc>
        <w:tc>
          <w:tcPr>
            <w:tcW w:w="0" w:type="auto"/>
            <w:vAlign w:val="center"/>
          </w:tcPr>
          <w:p w14:paraId="223D66FE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42558A2D" w14:textId="77777777" w:rsidTr="00C846EB">
        <w:trPr>
          <w:tblCellSpacing w:w="15" w:type="dxa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6827F3F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Standard risk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7588840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2.50 (1.40–4.00)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A6FDC76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40697335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1.77 (0.99–3.09)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8759804" w14:textId="77777777" w:rsidR="0005583F" w:rsidRPr="00A85346" w:rsidRDefault="0005583F" w:rsidP="00C846EB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bookmarkEnd w:id="4"/>
    </w:tbl>
    <w:p w14:paraId="66A2A714" w14:textId="77777777" w:rsidR="0005583F" w:rsidRPr="00E9381E" w:rsidRDefault="0005583F" w:rsidP="0005583F">
      <w:pPr>
        <w:spacing w:before="100" w:beforeAutospacing="1" w:after="100" w:afterAutospacing="1" w:line="276" w:lineRule="auto"/>
        <w:jc w:val="both"/>
        <w:rPr>
          <w:rFonts w:asciiTheme="minorBidi" w:hAnsiTheme="minorBidi" w:cstheme="minorBidi"/>
          <w:kern w:val="0"/>
        </w:rPr>
      </w:pPr>
    </w:p>
    <w:p w14:paraId="49C063F9" w14:textId="77777777" w:rsidR="0005583F" w:rsidRPr="006575C2" w:rsidRDefault="0005583F" w:rsidP="0005583F">
      <w:pPr>
        <w:spacing w:before="100" w:beforeAutospacing="1" w:after="100" w:afterAutospacing="1" w:line="240" w:lineRule="auto"/>
        <w:jc w:val="both"/>
        <w:outlineLvl w:val="2"/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</w:pPr>
      <w:bookmarkStart w:id="5" w:name="_Hlk211847690"/>
      <w:r w:rsidRPr="006575C2"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  <w:t xml:space="preserve">Table 4. </w:t>
      </w:r>
      <w:r w:rsidRPr="006575C2">
        <w:rPr>
          <w:rFonts w:asciiTheme="minorBidi" w:hAnsiTheme="minorBidi" w:cstheme="minorBidi"/>
          <w:b/>
          <w:bCs/>
          <w:sz w:val="22"/>
          <w:szCs w:val="22"/>
          <w:lang w:bidi="ar-EG"/>
        </w:rPr>
        <w:t>Relation of different CASP8AP2 gene expression cut-off levels in the initial pre-induction and post-induction BMA to the different prognostic features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45"/>
        <w:gridCol w:w="1155"/>
        <w:gridCol w:w="891"/>
        <w:gridCol w:w="1423"/>
        <w:gridCol w:w="1419"/>
        <w:gridCol w:w="1333"/>
        <w:gridCol w:w="1494"/>
      </w:tblGrid>
      <w:tr w:rsidR="0005583F" w:rsidRPr="00A85346" w14:paraId="386A15CF" w14:textId="77777777" w:rsidTr="00C846EB">
        <w:tc>
          <w:tcPr>
            <w:tcW w:w="879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C822B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lastRenderedPageBreak/>
              <w:t>Characteristic</w:t>
            </w:r>
          </w:p>
        </w:tc>
        <w:tc>
          <w:tcPr>
            <w:tcW w:w="1853" w:type="pct"/>
            <w:gridSpan w:val="3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CE8CFD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Initial bone marrow CASP8AP2 cut-off levels</w:t>
            </w:r>
          </w:p>
        </w:tc>
        <w:tc>
          <w:tcPr>
            <w:tcW w:w="2268" w:type="pct"/>
            <w:gridSpan w:val="3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</w:tcPr>
          <w:p w14:paraId="4A79A98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Post induction bone marrow CASP8AP2 cut-off levels</w:t>
            </w:r>
          </w:p>
        </w:tc>
      </w:tr>
      <w:tr w:rsidR="0005583F" w:rsidRPr="00A85346" w14:paraId="2FF11CD7" w14:textId="77777777" w:rsidTr="00C846EB">
        <w:tc>
          <w:tcPr>
            <w:tcW w:w="879" w:type="pct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8D377A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617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3A1DFC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high, N = 50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  <w:t>1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41322F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low, N = 20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  <w:t>1</w:t>
            </w:r>
          </w:p>
        </w:tc>
        <w:tc>
          <w:tcPr>
            <w:tcW w:w="760" w:type="pct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5D31751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p-value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  <w:t>2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shd w:val="clear" w:color="auto" w:fill="FFFFFF" w:themeFill="background1"/>
            <w:vAlign w:val="center"/>
          </w:tcPr>
          <w:p w14:paraId="4D65A38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high, N = 32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  <w:t>1</w:t>
            </w:r>
          </w:p>
        </w:tc>
        <w:tc>
          <w:tcPr>
            <w:tcW w:w="712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  <w:vAlign w:val="center"/>
          </w:tcPr>
          <w:p w14:paraId="4F3F90B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low, N = 33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  <w:t>1</w:t>
            </w:r>
          </w:p>
        </w:tc>
        <w:tc>
          <w:tcPr>
            <w:tcW w:w="79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  <w:vAlign w:val="center"/>
          </w:tcPr>
          <w:p w14:paraId="54A097E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p-value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  <w:t>2</w:t>
            </w:r>
          </w:p>
        </w:tc>
      </w:tr>
      <w:tr w:rsidR="0005583F" w:rsidRPr="00A85346" w14:paraId="482B34EB" w14:textId="77777777" w:rsidTr="00C846EB">
        <w:tc>
          <w:tcPr>
            <w:tcW w:w="879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EC315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Age Group</w:t>
            </w:r>
          </w:p>
        </w:tc>
        <w:tc>
          <w:tcPr>
            <w:tcW w:w="617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2E545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655C4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3290DF4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0.3</w:t>
            </w:r>
          </w:p>
        </w:tc>
        <w:tc>
          <w:tcPr>
            <w:tcW w:w="758" w:type="pct"/>
            <w:tcBorders>
              <w:top w:val="single" w:sz="18" w:space="0" w:color="auto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D1E94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EF1DC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559B1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0.11</w:t>
            </w:r>
          </w:p>
        </w:tc>
      </w:tr>
      <w:tr w:rsidR="0005583F" w:rsidRPr="00A85346" w14:paraId="2FA9D64C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9EF5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&gt; 10 years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0B46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11 (22%)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94AEC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7 (35%)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6F02C5E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86F7AF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6 (19%)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C872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12 (36%)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8E87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75BDCE0F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EF1A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≤ 10 years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D8AD6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39 (78%)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80B17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13 (65%)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2625F24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18CCA74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26 (81%)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8F5B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21 (64%)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7B23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43D49CC5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D9717F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TLC Group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87F957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66A5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127AAA1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0.12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DBA1A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4413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3D7409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0.14</w:t>
            </w:r>
          </w:p>
        </w:tc>
      </w:tr>
      <w:tr w:rsidR="0005583F" w:rsidRPr="00A85346" w14:paraId="3A1C08DC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EFDD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&lt; 50,000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D1DD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37 (74%)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5F6B5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11 (55%)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11A4FFE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1FB30D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24 (75%)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C963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19 (58%)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C97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051A13C9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CAFB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≥ 50,000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E10D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13 (26%)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18F0A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9 (45%)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2FD4393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7BA4B07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8 (25%)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1D1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14 (42%)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2079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05542B3D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75B70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Karyotyping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B331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34E3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B6DDE8"/>
            <w:vAlign w:val="center"/>
            <w:hideMark/>
          </w:tcPr>
          <w:p w14:paraId="603BBC6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0.009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B7153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B553A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5790A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0.076</w:t>
            </w:r>
          </w:p>
        </w:tc>
      </w:tr>
      <w:tr w:rsidR="0005583F" w:rsidRPr="00A85346" w14:paraId="47BE368A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B6B5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Hyperdiploid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1106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15 (30%)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F945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 (10%)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726B962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46CB60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11 (34%)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1070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(12%)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7B6D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5E2C19D4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F1D3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Hypodiploid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50424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ACD2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 (15%)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266DD9B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F470FC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 (3.1%)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6647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 (6.1%)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93B7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3927631D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E7B7C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Normal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81238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35 (70%)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BF52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15 (75%)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5838216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7C6700A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20 (63%)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E1E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27 (82%)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90D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3A2D010D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7122A9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Molecular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8177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9878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B6DDE8"/>
            <w:vAlign w:val="center"/>
            <w:hideMark/>
          </w:tcPr>
          <w:p w14:paraId="68C00DB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0.002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DB2BF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532F16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63151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0.2</w:t>
            </w:r>
          </w:p>
        </w:tc>
      </w:tr>
      <w:tr w:rsidR="0005583F" w:rsidRPr="00A85346" w14:paraId="280FD0DF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8E269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Negative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6A502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32 (64%)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1F37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11 (55%)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7E35C30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6F885A4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21 (66%)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C5B8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18 (55%)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09FD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49C16AA3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CBA7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t(1;19)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AAE6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 (4.0%)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1048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0437837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60BC211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 (6.3%)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E183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2E96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52A829F9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4D4F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t(12;21)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AFB3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12 (24%)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3837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 (15%)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0AE7E91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7DE6D8C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7 (22%)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7ED1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7 (21%)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F633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  <w:p w14:paraId="66BF4432" w14:textId="77777777" w:rsidR="0005583F" w:rsidRPr="00A85346" w:rsidRDefault="0005583F" w:rsidP="00C846EB">
            <w:pPr>
              <w:rPr>
                <w:rFonts w:asciiTheme="minorBidi" w:hAnsiTheme="minorBidi" w:cstheme="minorBidi"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105B3830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F204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t(4;11)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672AE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(8.0%)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690B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2C4B061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536588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E422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(12%)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BA9B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6A66F3E9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7476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t(9;22)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B1C9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40B4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6 (30%)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6902188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1074F76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 (6.3%)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3C88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(12%)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130B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1A86418E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AA80F2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D15 BMA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A3F6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E61E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B6DDE8"/>
            <w:vAlign w:val="center"/>
            <w:hideMark/>
          </w:tcPr>
          <w:p w14:paraId="3D3DAF1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0.025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738BC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C5490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8E4F5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0.3</w:t>
            </w:r>
          </w:p>
        </w:tc>
      </w:tr>
      <w:tr w:rsidR="0005583F" w:rsidRPr="00A85346" w14:paraId="7ABD608C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D979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lastRenderedPageBreak/>
              <w:t xml:space="preserve"> CR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E304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43 (86%)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E461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12 (60%)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5023D2C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959B76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27 (84%)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E544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24 (73%)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3B11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6CBF2E05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2DC69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Not CR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909F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7 (14%)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F300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8 (40%)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56924F5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5FA8B6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5 (16%)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3D81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9 (27%)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6087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4F0FE5EA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D55549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End of Induction MRD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B693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14C8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3E810107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0.5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112F4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507AF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688F44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0.6</w:t>
            </w:r>
          </w:p>
        </w:tc>
      </w:tr>
      <w:tr w:rsidR="0005583F" w:rsidRPr="00A85346" w14:paraId="39AB2E70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41C9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Negative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9E43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42 (84%)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4C22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15 (75%)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3C8970D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7FBBC38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27 (84%)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9B5F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26 (79%)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91F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1A30E281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159D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Positive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1C26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8 (16%)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B2BE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5 (25%)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3DA011E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0DB0AB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5 (16%)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6820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7 (21%)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7B3F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0035AC76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06E306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Relapse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49CF6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3 (6.0%)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681A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10 (50%)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B6DDE8"/>
            <w:vAlign w:val="center"/>
            <w:hideMark/>
          </w:tcPr>
          <w:p w14:paraId="10E7C57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&lt;0.001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9061F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(13%)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0B2FD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9 (27%)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377FF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0.14</w:t>
            </w:r>
          </w:p>
        </w:tc>
      </w:tr>
      <w:tr w:rsidR="0005583F" w:rsidRPr="00A85346" w14:paraId="45C2B280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625CA0A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  <w:t>Risk Stratification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4AAB1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50DF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B6DDE8"/>
            <w:vAlign w:val="center"/>
            <w:hideMark/>
          </w:tcPr>
          <w:p w14:paraId="1186538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&lt;0.001</w:t>
            </w: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3FAA8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A7EBFC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8F5BD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0.3</w:t>
            </w:r>
          </w:p>
        </w:tc>
      </w:tr>
      <w:tr w:rsidR="0005583F" w:rsidRPr="00A85346" w14:paraId="37DD378B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46B44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High Risk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F41E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0 (0%)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08F58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5 (25%)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3757D49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3F82C85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 (3.1%)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BBF1E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(12%)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A6C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491C92EC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8ABE2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Low Risk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6D585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24 (48%)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A0FAF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4 (20%)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53C8612C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944C27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14 (44%)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4C47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10 (30%)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F6E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31CAD920" w14:textId="77777777" w:rsidTr="00C846EB">
        <w:tc>
          <w:tcPr>
            <w:tcW w:w="87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D389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 xml:space="preserve"> Standard Risk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08599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26 (52%)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1ED6B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11 (55%)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  <w:hideMark/>
          </w:tcPr>
          <w:p w14:paraId="1EFDC324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8340870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17 (53%)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45853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  <w:t>19 (58%)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D455D" w14:textId="77777777" w:rsidR="0005583F" w:rsidRPr="00A85346" w:rsidRDefault="0005583F" w:rsidP="00C846EB">
            <w:pPr>
              <w:jc w:val="center"/>
              <w:rPr>
                <w:rFonts w:asciiTheme="minorBidi" w:hAnsiTheme="minorBidi" w:cstheme="minorBidi"/>
                <w:bCs/>
                <w:sz w:val="22"/>
                <w:szCs w:val="22"/>
                <w:lang w:val="en-GB" w:bidi="ar-EG"/>
              </w:rPr>
            </w:pPr>
          </w:p>
        </w:tc>
      </w:tr>
      <w:tr w:rsidR="0005583F" w:rsidRPr="00A85346" w14:paraId="7F78A0FF" w14:textId="77777777" w:rsidTr="00C846EB">
        <w:tc>
          <w:tcPr>
            <w:tcW w:w="2732" w:type="pct"/>
            <w:gridSpan w:val="4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4DF88062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</w:tcPr>
          <w:p w14:paraId="51620EAF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DA3CAC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5657F2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</w:p>
        </w:tc>
      </w:tr>
      <w:tr w:rsidR="0005583F" w:rsidRPr="00A85346" w14:paraId="78A6328A" w14:textId="77777777" w:rsidTr="00C846EB">
        <w:trPr>
          <w:trHeight w:val="259"/>
        </w:trPr>
        <w:tc>
          <w:tcPr>
            <w:tcW w:w="2732" w:type="pct"/>
            <w:gridSpan w:val="4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51C55EC8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sz w:val="22"/>
                <w:szCs w:val="22"/>
                <w:lang w:val="en-GB" w:bidi="ar-EG"/>
              </w:rPr>
            </w:pPr>
          </w:p>
        </w:tc>
        <w:tc>
          <w:tcPr>
            <w:tcW w:w="758" w:type="pct"/>
            <w:tcBorders>
              <w:top w:val="nil"/>
              <w:left w:val="single" w:sz="18" w:space="0" w:color="auto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1BD1FA25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61762EF6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</w:p>
        </w:tc>
        <w:tc>
          <w:tcPr>
            <w:tcW w:w="798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 w:themeFill="background1"/>
          </w:tcPr>
          <w:p w14:paraId="0DF48530" w14:textId="77777777" w:rsidR="0005583F" w:rsidRPr="00A85346" w:rsidRDefault="0005583F" w:rsidP="00C846EB">
            <w:pPr>
              <w:rPr>
                <w:rFonts w:asciiTheme="minorBidi" w:hAnsiTheme="minorBidi" w:cstheme="minorBidi"/>
                <w:b/>
                <w:bCs/>
                <w:i/>
                <w:iCs/>
                <w:sz w:val="22"/>
                <w:szCs w:val="22"/>
                <w:vertAlign w:val="superscript"/>
                <w:lang w:val="en-GB" w:bidi="ar-EG"/>
              </w:rPr>
            </w:pPr>
          </w:p>
        </w:tc>
      </w:tr>
    </w:tbl>
    <w:p w14:paraId="1AEDC980" w14:textId="77777777" w:rsidR="0005583F" w:rsidRDefault="0005583F" w:rsidP="0005583F">
      <w:pPr>
        <w:tabs>
          <w:tab w:val="left" w:pos="1985"/>
        </w:tabs>
        <w:spacing w:before="100" w:beforeAutospacing="1" w:after="100" w:afterAutospacing="1" w:line="276" w:lineRule="auto"/>
        <w:jc w:val="both"/>
        <w:rPr>
          <w:rFonts w:asciiTheme="minorBidi" w:eastAsia="Times New Roman" w:hAnsiTheme="minorBidi" w:cstheme="minorBidi"/>
          <w:b/>
          <w:bCs/>
          <w:kern w:val="0"/>
        </w:rPr>
      </w:pPr>
      <w:r w:rsidRPr="00A85346">
        <w:rPr>
          <w:rFonts w:asciiTheme="minorBidi" w:hAnsiTheme="minorBidi" w:cstheme="minorBidi"/>
          <w:b/>
          <w:bCs/>
          <w:i/>
          <w:iCs/>
          <w:sz w:val="22"/>
          <w:szCs w:val="22"/>
          <w:vertAlign w:val="superscript"/>
          <w:lang w:val="en-GB" w:bidi="ar-EG"/>
        </w:rPr>
        <w:t>1</w:t>
      </w:r>
      <w:r w:rsidRPr="00A85346">
        <w:rPr>
          <w:rFonts w:asciiTheme="minorBidi" w:hAnsiTheme="minorBidi" w:cstheme="minorBidi"/>
          <w:b/>
          <w:bCs/>
          <w:sz w:val="22"/>
          <w:szCs w:val="22"/>
          <w:lang w:val="en-GB" w:bidi="ar-EG"/>
        </w:rPr>
        <w:t xml:space="preserve"> n (%)</w:t>
      </w:r>
      <w:r>
        <w:rPr>
          <w:rFonts w:asciiTheme="minorBidi" w:hAnsiTheme="minorBidi" w:cstheme="minorBidi"/>
          <w:b/>
          <w:bCs/>
          <w:sz w:val="22"/>
          <w:szCs w:val="22"/>
          <w:lang w:val="en-GB" w:bidi="ar-EG"/>
        </w:rPr>
        <w:t xml:space="preserve">.  </w:t>
      </w:r>
      <w:r w:rsidRPr="00A85346">
        <w:rPr>
          <w:rFonts w:asciiTheme="minorBidi" w:hAnsiTheme="minorBidi" w:cstheme="minorBidi"/>
          <w:b/>
          <w:bCs/>
          <w:i/>
          <w:iCs/>
          <w:sz w:val="22"/>
          <w:szCs w:val="22"/>
          <w:vertAlign w:val="superscript"/>
          <w:lang w:val="en-GB" w:bidi="ar-EG"/>
        </w:rPr>
        <w:t>2</w:t>
      </w:r>
      <w:r w:rsidRPr="00A85346">
        <w:rPr>
          <w:rFonts w:asciiTheme="minorBidi" w:hAnsiTheme="minorBidi" w:cstheme="minorBidi"/>
          <w:b/>
          <w:bCs/>
          <w:sz w:val="22"/>
          <w:szCs w:val="22"/>
          <w:lang w:val="en-GB" w:bidi="ar-EG"/>
        </w:rPr>
        <w:t xml:space="preserve"> Pearson’s Chi-squared tests; Fisher’s exact test</w:t>
      </w:r>
      <w:r w:rsidRPr="00E9381E">
        <w:rPr>
          <w:rFonts w:asciiTheme="minorBidi" w:eastAsia="Times New Roman" w:hAnsiTheme="minorBidi" w:cstheme="minorBidi"/>
          <w:b/>
          <w:bCs/>
          <w:kern w:val="0"/>
        </w:rPr>
        <w:t xml:space="preserve"> </w:t>
      </w:r>
    </w:p>
    <w:p w14:paraId="5B72A61F" w14:textId="77777777" w:rsidR="0005583F" w:rsidRPr="004B544F" w:rsidRDefault="0005583F" w:rsidP="0005583F">
      <w:pPr>
        <w:spacing w:before="120" w:after="120"/>
        <w:jc w:val="lowKashida"/>
        <w:rPr>
          <w:rFonts w:asciiTheme="minorBidi" w:hAnsiTheme="minorBidi" w:cstheme="minorBidi"/>
          <w:b/>
          <w:bCs/>
          <w:sz w:val="22"/>
          <w:szCs w:val="22"/>
          <w:lang w:bidi="ar-EG"/>
        </w:rPr>
      </w:pPr>
      <w:bookmarkStart w:id="6" w:name="_Hlk211847727"/>
      <w:bookmarkEnd w:id="5"/>
      <w:r w:rsidRPr="004B544F">
        <w:rPr>
          <w:rFonts w:asciiTheme="minorBidi" w:hAnsiTheme="minorBidi" w:cstheme="minorBidi"/>
          <w:b/>
          <w:bCs/>
          <w:sz w:val="22"/>
          <w:szCs w:val="22"/>
          <w:lang w:bidi="ar-EG"/>
        </w:rPr>
        <w:t>Table 5: First year EFS in high and low CASP8AP2 gene expression levels in comparison to different age groups, early response D15 and risk stratification</w:t>
      </w:r>
    </w:p>
    <w:tbl>
      <w:tblPr>
        <w:tblW w:w="42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316"/>
        <w:gridCol w:w="807"/>
        <w:gridCol w:w="687"/>
        <w:gridCol w:w="1316"/>
        <w:gridCol w:w="807"/>
        <w:gridCol w:w="723"/>
        <w:gridCol w:w="1316"/>
        <w:gridCol w:w="807"/>
        <w:gridCol w:w="723"/>
      </w:tblGrid>
      <w:tr w:rsidR="0005583F" w:rsidRPr="00A85346" w14:paraId="40002760" w14:textId="77777777" w:rsidTr="00C846EB">
        <w:trPr>
          <w:trHeight w:val="516"/>
          <w:jc w:val="center"/>
        </w:trPr>
        <w:tc>
          <w:tcPr>
            <w:tcW w:w="77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85BED3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Characteristic</w:t>
            </w:r>
          </w:p>
        </w:tc>
        <w:tc>
          <w:tcPr>
            <w:tcW w:w="49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9A958A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EFS</w:t>
            </w:r>
          </w:p>
          <w:p w14:paraId="50BA3B6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12 Months</w:t>
            </w:r>
          </w:p>
        </w:tc>
        <w:tc>
          <w:tcPr>
            <w:tcW w:w="418" w:type="pct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  <w:hideMark/>
          </w:tcPr>
          <w:p w14:paraId="1384F41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p-value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18"/>
                <w:szCs w:val="18"/>
                <w:vertAlign w:val="superscript"/>
                <w:lang w:val="en-GB" w:bidi="ar-EG"/>
              </w:rPr>
              <w:t>1</w:t>
            </w:r>
          </w:p>
        </w:tc>
        <w:tc>
          <w:tcPr>
            <w:tcW w:w="929" w:type="pc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E95203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Characteristic</w:t>
            </w:r>
          </w:p>
        </w:tc>
        <w:tc>
          <w:tcPr>
            <w:tcW w:w="58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A020CF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EFS</w:t>
            </w:r>
          </w:p>
          <w:p w14:paraId="6BB7321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12 Months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E0AAE6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p-value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18"/>
                <w:szCs w:val="18"/>
                <w:vertAlign w:val="superscript"/>
                <w:lang w:val="en-GB" w:bidi="ar-EG"/>
              </w:rPr>
              <w:t>1</w:t>
            </w:r>
          </w:p>
        </w:tc>
        <w:tc>
          <w:tcPr>
            <w:tcW w:w="273" w:type="pc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AD2331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Characteristic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5CFEA25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EFS</w:t>
            </w:r>
          </w:p>
          <w:p w14:paraId="2FA6CB2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12 Months</w:t>
            </w:r>
          </w:p>
        </w:tc>
        <w:tc>
          <w:tcPr>
            <w:tcW w:w="42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CCC986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p-value</w:t>
            </w:r>
            <w:r w:rsidRPr="00A85346">
              <w:rPr>
                <w:rFonts w:asciiTheme="minorBidi" w:hAnsiTheme="minorBidi" w:cstheme="minorBidi"/>
                <w:b/>
                <w:bCs/>
                <w:i/>
                <w:iCs/>
                <w:sz w:val="18"/>
                <w:szCs w:val="18"/>
                <w:vertAlign w:val="superscript"/>
                <w:lang w:val="en-GB" w:bidi="ar-EG"/>
              </w:rPr>
              <w:t>1</w:t>
            </w:r>
          </w:p>
        </w:tc>
      </w:tr>
      <w:tr w:rsidR="0005583F" w:rsidRPr="00A85346" w14:paraId="0D1784B9" w14:textId="77777777" w:rsidTr="00C846EB">
        <w:trPr>
          <w:trHeight w:val="275"/>
          <w:jc w:val="center"/>
        </w:trPr>
        <w:tc>
          <w:tcPr>
            <w:tcW w:w="1681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0F353E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1-10 years (N=52)</w:t>
            </w:r>
          </w:p>
        </w:tc>
        <w:tc>
          <w:tcPr>
            <w:tcW w:w="2067" w:type="pct"/>
            <w:gridSpan w:val="3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</w:tcPr>
          <w:p w14:paraId="71E7CB4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IN CR D15 (N=55)</w:t>
            </w:r>
          </w:p>
        </w:tc>
        <w:tc>
          <w:tcPr>
            <w:tcW w:w="1252" w:type="pct"/>
            <w:gridSpan w:val="3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FFFFFF" w:themeFill="background1"/>
          </w:tcPr>
          <w:p w14:paraId="646EE36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High / Standard risk(N=42)</w:t>
            </w:r>
          </w:p>
        </w:tc>
      </w:tr>
      <w:tr w:rsidR="0005583F" w:rsidRPr="00A85346" w14:paraId="289349E2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A4B628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Initial BMA Gene Expression</w:t>
            </w: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10C80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418" w:type="pct"/>
            <w:tcBorders>
              <w:top w:val="single" w:sz="8" w:space="0" w:color="auto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3D6008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0.001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DFAC1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Initial BMA Gene Expression</w:t>
            </w:r>
          </w:p>
        </w:tc>
        <w:tc>
          <w:tcPr>
            <w:tcW w:w="58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6D9AEC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81383A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&lt;0.001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AF6D3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Initial BMA Gene Expression</w:t>
            </w:r>
          </w:p>
        </w:tc>
        <w:tc>
          <w:tcPr>
            <w:tcW w:w="5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FCFFD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42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EFAB8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0.1</w:t>
            </w:r>
          </w:p>
        </w:tc>
      </w:tr>
      <w:tr w:rsidR="0005583F" w:rsidRPr="00A85346" w14:paraId="4E8A0A81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862AA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lastRenderedPageBreak/>
              <w:t xml:space="preserve"> High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1F5AC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95% (88%- 100%)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8EA65C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4F42E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High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C6A04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98% (93%- 100%)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90000D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2CF64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High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7F1924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92% (82%- 100%)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86AC3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</w:tr>
      <w:tr w:rsidR="0005583F" w:rsidRPr="00A85346" w14:paraId="632E3EAD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0C1E41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Low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958D99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89% (71%- 100%)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09F6FE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9413A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Low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C2024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79% (56%- 100%)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3DEEC4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1B7BB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Low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661B7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87% (71%-100%)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383AA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</w:tr>
      <w:tr w:rsidR="0005583F" w:rsidRPr="00A85346" w14:paraId="473A1CC6" w14:textId="77777777" w:rsidTr="00C846EB">
        <w:trPr>
          <w:trHeight w:val="266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0276D4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End of Induction Gene Expression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398355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143A18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0.5</w:t>
            </w: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97919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End of Induction Gene Expression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BA0D1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39526E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0.5</w:t>
            </w: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01EEB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End of Induction Gene Expression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12ECB6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3EE73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0.7</w:t>
            </w:r>
          </w:p>
        </w:tc>
      </w:tr>
      <w:tr w:rsidR="0005583F" w:rsidRPr="00A85346" w14:paraId="62572B23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6EBD4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High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61505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96% (89%- 100%)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A5344B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7FDBA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High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1B595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95% (86%- 100%)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73FEC4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808B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High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E52C21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88% (74%-100%)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EE0C3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</w:tr>
      <w:tr w:rsidR="0005583F" w:rsidRPr="00A85346" w14:paraId="6C1FB5F1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51ECE6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Low</w:t>
            </w:r>
          </w:p>
        </w:tc>
        <w:tc>
          <w:tcPr>
            <w:tcW w:w="4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 w:themeFill="background1"/>
            <w:vAlign w:val="center"/>
          </w:tcPr>
          <w:p w14:paraId="49E14CD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  <w:t>90% (77%- 100%)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34CAA0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F234F3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Low</w:t>
            </w:r>
          </w:p>
        </w:tc>
        <w:tc>
          <w:tcPr>
            <w:tcW w:w="58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8A2E32C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90% (79%- 100%)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BF1E1E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0975443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 Low</w:t>
            </w:r>
          </w:p>
        </w:tc>
        <w:tc>
          <w:tcPr>
            <w:tcW w:w="55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2C713B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91% (79%- 100%)</w:t>
            </w:r>
          </w:p>
        </w:tc>
        <w:tc>
          <w:tcPr>
            <w:tcW w:w="42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5A4D8CC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val="en-GB" w:bidi="ar-EG"/>
              </w:rPr>
            </w:pPr>
          </w:p>
        </w:tc>
      </w:tr>
      <w:tr w:rsidR="0005583F" w:rsidRPr="00A85346" w14:paraId="1A90A68E" w14:textId="77777777" w:rsidTr="00C846EB">
        <w:trPr>
          <w:trHeight w:val="694"/>
          <w:jc w:val="center"/>
        </w:trPr>
        <w:tc>
          <w:tcPr>
            <w:tcW w:w="1681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793C91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11-19 years (N=18)</w:t>
            </w:r>
          </w:p>
        </w:tc>
        <w:tc>
          <w:tcPr>
            <w:tcW w:w="2067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B96A95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NOT IN CR D15 (N=15)</w:t>
            </w:r>
          </w:p>
        </w:tc>
        <w:tc>
          <w:tcPr>
            <w:tcW w:w="1252" w:type="pct"/>
            <w:gridSpan w:val="3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FFFFFF" w:themeFill="background1"/>
            <w:vAlign w:val="center"/>
          </w:tcPr>
          <w:p w14:paraId="7DEA24B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Low risk (N=28)</w:t>
            </w:r>
          </w:p>
        </w:tc>
      </w:tr>
      <w:tr w:rsidR="0005583F" w:rsidRPr="00A85346" w14:paraId="040122A9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52501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Initial BMA Gene Exp</w:t>
            </w: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>ression</w:t>
            </w:r>
          </w:p>
        </w:tc>
        <w:tc>
          <w:tcPr>
            <w:tcW w:w="4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D7F05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418" w:type="pct"/>
            <w:tcBorders>
              <w:top w:val="single" w:sz="8" w:space="0" w:color="auto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12B9C2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0.057</w:t>
            </w:r>
          </w:p>
        </w:tc>
        <w:tc>
          <w:tcPr>
            <w:tcW w:w="929" w:type="pct"/>
            <w:tcBorders>
              <w:top w:val="single" w:sz="6" w:space="0" w:color="auto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129BF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Initial BMA Gene Expression</w:t>
            </w:r>
          </w:p>
        </w:tc>
        <w:tc>
          <w:tcPr>
            <w:tcW w:w="58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F6907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B10625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0.6</w:t>
            </w:r>
          </w:p>
        </w:tc>
        <w:tc>
          <w:tcPr>
            <w:tcW w:w="273" w:type="pct"/>
            <w:tcBorders>
              <w:top w:val="single" w:sz="6" w:space="0" w:color="auto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98B5D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Initial BMA Gene Expression</w:t>
            </w:r>
          </w:p>
        </w:tc>
        <w:tc>
          <w:tcPr>
            <w:tcW w:w="5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84A89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42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4548A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&lt;0.001</w:t>
            </w:r>
          </w:p>
        </w:tc>
      </w:tr>
      <w:tr w:rsidR="0005583F" w:rsidRPr="00A85346" w14:paraId="63684574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9B67C4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High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E890C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100% (100%- 100%)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3074CE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1E2AA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High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258639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86% (63%- 100%)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3F0DCB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510C6F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High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56ECF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100% (100%- 100%)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CEB0F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</w:tr>
      <w:tr w:rsidR="0005583F" w:rsidRPr="00A85346" w14:paraId="17F47BB3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3D5CC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Low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1D8F9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71% (45%- 100%)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41993E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4AEF4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Low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CAA77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88% (67%- 100%)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E87B2A3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DCDD5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Low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22479C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75% (43%- 100%)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C605D9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</w:tr>
      <w:tr w:rsidR="0005583F" w:rsidRPr="00A85346" w14:paraId="39B1F8C9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3A3AE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End of Induction Gene Expression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F25E3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bidi="ar-EG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215944A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0.9</w:t>
            </w: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0E69DB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End of Induction Gene Expression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3D769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2FB0AB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&gt;0.9</w:t>
            </w: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D61CF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>End of Induction Gene Expression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220286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C7C3D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0.8</w:t>
            </w:r>
          </w:p>
        </w:tc>
      </w:tr>
      <w:tr w:rsidR="0005583F" w:rsidRPr="00A85346" w14:paraId="0A1F8D00" w14:textId="77777777" w:rsidTr="00C846EB">
        <w:trPr>
          <w:trHeight w:val="275"/>
          <w:jc w:val="center"/>
        </w:trPr>
        <w:tc>
          <w:tcPr>
            <w:tcW w:w="7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BA2087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High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22BA81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83% (58%-100%)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FDBE20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7A18E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High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41B30C2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80% (52%- 100%)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22A7B9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D30B2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High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6051E1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100% (100%- 100%)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320CBD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</w:pPr>
          </w:p>
        </w:tc>
      </w:tr>
      <w:tr w:rsidR="0005583F" w:rsidRPr="00A85346" w14:paraId="7FDD27FE" w14:textId="77777777" w:rsidTr="00C846EB">
        <w:trPr>
          <w:trHeight w:val="56"/>
          <w:jc w:val="center"/>
        </w:trPr>
        <w:tc>
          <w:tcPr>
            <w:tcW w:w="77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770E06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val="en-GB" w:bidi="ar-EG"/>
              </w:rPr>
              <w:t xml:space="preserve">Low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05E0AD0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91% (75%- 100%)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2D1B25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929" w:type="pct"/>
            <w:tcBorders>
              <w:top w:val="nil"/>
              <w:left w:val="single" w:sz="1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1B39935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Low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12096BC9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89% (71%- 100%)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E78B64B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  <w:tc>
          <w:tcPr>
            <w:tcW w:w="273" w:type="pct"/>
            <w:tcBorders>
              <w:top w:val="nil"/>
              <w:left w:val="single" w:sz="18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7F61E88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/>
                <w:bCs/>
                <w:sz w:val="18"/>
                <w:szCs w:val="18"/>
                <w:lang w:bidi="en-US"/>
              </w:rPr>
              <w:t xml:space="preserve"> Low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7FE2597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  <w:r w:rsidRPr="00A85346">
              <w:rPr>
                <w:rFonts w:asciiTheme="minorBidi" w:hAnsiTheme="minorBidi" w:cstheme="minorBidi"/>
                <w:bCs/>
                <w:sz w:val="18"/>
                <w:szCs w:val="18"/>
                <w:lang w:bidi="en-US"/>
              </w:rPr>
              <w:t>89% (71%- 100%)</w:t>
            </w:r>
          </w:p>
        </w:tc>
        <w:tc>
          <w:tcPr>
            <w:tcW w:w="4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BF4F80E" w14:textId="77777777" w:rsidR="0005583F" w:rsidRPr="00A85346" w:rsidRDefault="0005583F" w:rsidP="00C846EB">
            <w:pPr>
              <w:spacing w:before="40" w:after="40"/>
              <w:jc w:val="center"/>
              <w:rPr>
                <w:rFonts w:asciiTheme="minorBidi" w:hAnsiTheme="minorBidi" w:cstheme="minorBidi"/>
                <w:b/>
                <w:bCs/>
                <w:sz w:val="18"/>
                <w:szCs w:val="18"/>
                <w:lang w:bidi="ar-EG"/>
              </w:rPr>
            </w:pPr>
          </w:p>
        </w:tc>
      </w:tr>
      <w:bookmarkEnd w:id="6"/>
    </w:tbl>
    <w:p w14:paraId="625445AA" w14:textId="77777777" w:rsidR="0005583F" w:rsidRDefault="0005583F" w:rsidP="0005583F">
      <w:pPr>
        <w:spacing w:before="100" w:beforeAutospacing="1" w:after="100" w:afterAutospacing="1" w:line="240" w:lineRule="auto"/>
        <w:outlineLvl w:val="2"/>
        <w:rPr>
          <w:rFonts w:asciiTheme="minorBidi" w:eastAsia="Times New Roman" w:hAnsiTheme="minorBidi" w:cstheme="minorBidi"/>
          <w:b/>
          <w:bCs/>
          <w:kern w:val="0"/>
        </w:rPr>
      </w:pPr>
    </w:p>
    <w:p w14:paraId="1FD8076A" w14:textId="77777777" w:rsidR="0005583F" w:rsidRPr="00A85346" w:rsidRDefault="0005583F" w:rsidP="0005583F">
      <w:pPr>
        <w:spacing w:before="100" w:beforeAutospacing="1" w:after="100" w:afterAutospacing="1" w:line="276" w:lineRule="auto"/>
        <w:jc w:val="both"/>
        <w:rPr>
          <w:rFonts w:asciiTheme="minorBidi" w:hAnsiTheme="minorBidi" w:cstheme="minorBidi"/>
          <w:kern w:val="0"/>
          <w:sz w:val="22"/>
          <w:szCs w:val="22"/>
        </w:rPr>
      </w:pPr>
      <w:bookmarkStart w:id="7" w:name="_Hlk211847750"/>
      <w:r w:rsidRPr="00A85346"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  <w:t>Table 6: Event-Free Survival (EFS): Uni- and Multivariable Cox Regression Analysis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3"/>
        <w:gridCol w:w="2439"/>
        <w:gridCol w:w="620"/>
        <w:gridCol w:w="2622"/>
        <w:gridCol w:w="620"/>
      </w:tblGrid>
      <w:tr w:rsidR="0005583F" w:rsidRPr="00A85346" w14:paraId="34D49038" w14:textId="77777777" w:rsidTr="00C846EB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A13D15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Variable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B124B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Univariable HR (95% 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DA9BB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953C8F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Multivariable HR (95% 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411BC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</w:t>
            </w:r>
          </w:p>
        </w:tc>
      </w:tr>
      <w:tr w:rsidR="0005583F" w:rsidRPr="00A85346" w14:paraId="077C3D89" w14:textId="77777777" w:rsidTr="00C846EB">
        <w:trPr>
          <w:jc w:val="center"/>
        </w:trPr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59AD7AC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Age ≤ 10 vs&gt;10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6F4BF43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1.15 (0.31–4.25)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FE5C11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0.8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3C2D962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3BE6273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2E058759" w14:textId="77777777" w:rsidTr="00C846EB">
        <w:trPr>
          <w:jc w:val="center"/>
        </w:trPr>
        <w:tc>
          <w:tcPr>
            <w:tcW w:w="0" w:type="auto"/>
            <w:vAlign w:val="center"/>
          </w:tcPr>
          <w:p w14:paraId="4451533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TLC ≥ 50 vs&lt;50</w:t>
            </w:r>
          </w:p>
        </w:tc>
        <w:tc>
          <w:tcPr>
            <w:tcW w:w="0" w:type="auto"/>
            <w:vAlign w:val="center"/>
          </w:tcPr>
          <w:p w14:paraId="7EF313E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1.38 (0.43–4.39)</w:t>
            </w:r>
          </w:p>
        </w:tc>
        <w:tc>
          <w:tcPr>
            <w:tcW w:w="0" w:type="auto"/>
            <w:vAlign w:val="center"/>
          </w:tcPr>
          <w:p w14:paraId="4E4FE02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0.6</w:t>
            </w:r>
          </w:p>
        </w:tc>
        <w:tc>
          <w:tcPr>
            <w:tcW w:w="0" w:type="auto"/>
            <w:vAlign w:val="center"/>
          </w:tcPr>
          <w:p w14:paraId="69574AF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54E3461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797B1506" w14:textId="77777777" w:rsidTr="00C846EB">
        <w:trPr>
          <w:jc w:val="center"/>
        </w:trPr>
        <w:tc>
          <w:tcPr>
            <w:tcW w:w="0" w:type="auto"/>
            <w:vAlign w:val="center"/>
          </w:tcPr>
          <w:p w14:paraId="25263FB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lastRenderedPageBreak/>
              <w:t>Karyotyping</w:t>
            </w:r>
          </w:p>
        </w:tc>
        <w:tc>
          <w:tcPr>
            <w:tcW w:w="0" w:type="auto"/>
            <w:vAlign w:val="center"/>
          </w:tcPr>
          <w:p w14:paraId="476830C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323B9C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C99DFD5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62CA32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07DB73D2" w14:textId="77777777" w:rsidTr="00C846EB">
        <w:trPr>
          <w:jc w:val="center"/>
        </w:trPr>
        <w:tc>
          <w:tcPr>
            <w:tcW w:w="0" w:type="auto"/>
            <w:vAlign w:val="center"/>
          </w:tcPr>
          <w:p w14:paraId="01E2754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Hypodiploid vs Normal</w:t>
            </w:r>
          </w:p>
        </w:tc>
        <w:tc>
          <w:tcPr>
            <w:tcW w:w="0" w:type="auto"/>
            <w:vAlign w:val="center"/>
          </w:tcPr>
          <w:p w14:paraId="67B9FF8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24.7 (5.12–119)</w:t>
            </w:r>
          </w:p>
        </w:tc>
        <w:tc>
          <w:tcPr>
            <w:tcW w:w="0" w:type="auto"/>
            <w:vAlign w:val="center"/>
          </w:tcPr>
          <w:p w14:paraId="658CDCF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0" w:type="auto"/>
            <w:vAlign w:val="center"/>
          </w:tcPr>
          <w:p w14:paraId="680621C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4E49FF7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00A0415E" w14:textId="77777777" w:rsidTr="00C846EB">
        <w:trPr>
          <w:jc w:val="center"/>
        </w:trPr>
        <w:tc>
          <w:tcPr>
            <w:tcW w:w="0" w:type="auto"/>
            <w:vAlign w:val="center"/>
          </w:tcPr>
          <w:p w14:paraId="08F6FA1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Hyperdiploid vs Normal</w:t>
            </w:r>
          </w:p>
        </w:tc>
        <w:tc>
          <w:tcPr>
            <w:tcW w:w="0" w:type="auto"/>
            <w:vAlign w:val="center"/>
          </w:tcPr>
          <w:p w14:paraId="05E5CE3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1.26 (0.26–6.13)</w:t>
            </w:r>
          </w:p>
        </w:tc>
        <w:tc>
          <w:tcPr>
            <w:tcW w:w="0" w:type="auto"/>
            <w:vAlign w:val="center"/>
          </w:tcPr>
          <w:p w14:paraId="5C24660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0.8</w:t>
            </w:r>
          </w:p>
        </w:tc>
        <w:tc>
          <w:tcPr>
            <w:tcW w:w="0" w:type="auto"/>
            <w:vAlign w:val="center"/>
          </w:tcPr>
          <w:p w14:paraId="7B6BCD4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71AFCEDF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55FE25E7" w14:textId="77777777" w:rsidTr="00C846EB">
        <w:trPr>
          <w:jc w:val="center"/>
        </w:trPr>
        <w:tc>
          <w:tcPr>
            <w:tcW w:w="0" w:type="auto"/>
            <w:vAlign w:val="center"/>
          </w:tcPr>
          <w:p w14:paraId="1EF86C7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D15 BMA (Not CR vs CR)</w:t>
            </w:r>
          </w:p>
        </w:tc>
        <w:tc>
          <w:tcPr>
            <w:tcW w:w="0" w:type="auto"/>
            <w:vAlign w:val="center"/>
          </w:tcPr>
          <w:p w14:paraId="3B660FB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0.99 (0.27–3.67)</w:t>
            </w:r>
          </w:p>
        </w:tc>
        <w:tc>
          <w:tcPr>
            <w:tcW w:w="0" w:type="auto"/>
            <w:vAlign w:val="center"/>
          </w:tcPr>
          <w:p w14:paraId="55758F7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0.9</w:t>
            </w:r>
          </w:p>
        </w:tc>
        <w:tc>
          <w:tcPr>
            <w:tcW w:w="0" w:type="auto"/>
            <w:vAlign w:val="center"/>
          </w:tcPr>
          <w:p w14:paraId="1A0DE8B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22A6044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15D15D1A" w14:textId="77777777" w:rsidTr="00C846EB">
        <w:trPr>
          <w:jc w:val="center"/>
        </w:trPr>
        <w:tc>
          <w:tcPr>
            <w:tcW w:w="0" w:type="auto"/>
            <w:vAlign w:val="center"/>
          </w:tcPr>
          <w:p w14:paraId="1200E52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End Induction MRD</w:t>
            </w:r>
          </w:p>
        </w:tc>
        <w:tc>
          <w:tcPr>
            <w:tcW w:w="0" w:type="auto"/>
            <w:vAlign w:val="center"/>
          </w:tcPr>
          <w:p w14:paraId="4764325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9ECAC7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7A04DA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BD0015F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43F5E80D" w14:textId="77777777" w:rsidTr="00C846EB">
        <w:trPr>
          <w:jc w:val="center"/>
        </w:trPr>
        <w:tc>
          <w:tcPr>
            <w:tcW w:w="0" w:type="auto"/>
            <w:vAlign w:val="center"/>
          </w:tcPr>
          <w:p w14:paraId="1BED5BC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Positive vs Negative</w:t>
            </w:r>
          </w:p>
        </w:tc>
        <w:tc>
          <w:tcPr>
            <w:tcW w:w="0" w:type="auto"/>
            <w:vAlign w:val="center"/>
          </w:tcPr>
          <w:p w14:paraId="7BE6B70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2.00 (0.60–6.67)</w:t>
            </w:r>
          </w:p>
        </w:tc>
        <w:tc>
          <w:tcPr>
            <w:tcW w:w="0" w:type="auto"/>
            <w:vAlign w:val="center"/>
          </w:tcPr>
          <w:p w14:paraId="5D07C02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0.3</w:t>
            </w:r>
          </w:p>
        </w:tc>
        <w:tc>
          <w:tcPr>
            <w:tcW w:w="0" w:type="auto"/>
            <w:vAlign w:val="center"/>
          </w:tcPr>
          <w:p w14:paraId="0D62D4A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238517F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486C183E" w14:textId="77777777" w:rsidTr="00C846EB">
        <w:trPr>
          <w:jc w:val="center"/>
        </w:trPr>
        <w:tc>
          <w:tcPr>
            <w:tcW w:w="0" w:type="auto"/>
            <w:vAlign w:val="center"/>
          </w:tcPr>
          <w:p w14:paraId="4BD41BD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Last Follow-up MRD</w:t>
            </w:r>
          </w:p>
        </w:tc>
        <w:tc>
          <w:tcPr>
            <w:tcW w:w="0" w:type="auto"/>
            <w:vAlign w:val="center"/>
          </w:tcPr>
          <w:p w14:paraId="233C7D7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2A5215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3FC861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B0A30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50BFDC24" w14:textId="77777777" w:rsidTr="00C846EB">
        <w:trPr>
          <w:jc w:val="center"/>
        </w:trPr>
        <w:tc>
          <w:tcPr>
            <w:tcW w:w="0" w:type="auto"/>
            <w:vAlign w:val="center"/>
          </w:tcPr>
          <w:p w14:paraId="75EAD94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Positive vs Negative</w:t>
            </w:r>
          </w:p>
        </w:tc>
        <w:tc>
          <w:tcPr>
            <w:tcW w:w="0" w:type="auto"/>
            <w:vAlign w:val="center"/>
          </w:tcPr>
          <w:p w14:paraId="4D9ED2C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34.9 (7.47–163)</w:t>
            </w:r>
          </w:p>
        </w:tc>
        <w:tc>
          <w:tcPr>
            <w:tcW w:w="0" w:type="auto"/>
            <w:vAlign w:val="center"/>
          </w:tcPr>
          <w:p w14:paraId="6108457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0" w:type="auto"/>
            <w:vAlign w:val="center"/>
          </w:tcPr>
          <w:p w14:paraId="155D38F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23.9 (4.68–122.0)</w:t>
            </w:r>
          </w:p>
        </w:tc>
        <w:tc>
          <w:tcPr>
            <w:tcW w:w="0" w:type="auto"/>
            <w:vAlign w:val="center"/>
          </w:tcPr>
          <w:p w14:paraId="345F8D6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&lt;0.001</w:t>
            </w:r>
          </w:p>
        </w:tc>
      </w:tr>
      <w:tr w:rsidR="0005583F" w:rsidRPr="00A85346" w14:paraId="560B4A42" w14:textId="77777777" w:rsidTr="00C846EB">
        <w:trPr>
          <w:jc w:val="center"/>
        </w:trPr>
        <w:tc>
          <w:tcPr>
            <w:tcW w:w="0" w:type="auto"/>
            <w:vAlign w:val="center"/>
          </w:tcPr>
          <w:p w14:paraId="6B6D2E5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Risk Stratification</w:t>
            </w:r>
          </w:p>
        </w:tc>
        <w:tc>
          <w:tcPr>
            <w:tcW w:w="0" w:type="auto"/>
            <w:vAlign w:val="center"/>
          </w:tcPr>
          <w:p w14:paraId="5698851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436C55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43E1385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C7F988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653F4ECC" w14:textId="77777777" w:rsidTr="00C846EB">
        <w:trPr>
          <w:jc w:val="center"/>
        </w:trPr>
        <w:tc>
          <w:tcPr>
            <w:tcW w:w="0" w:type="auto"/>
            <w:vAlign w:val="center"/>
          </w:tcPr>
          <w:p w14:paraId="0A2CB04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HR</w:t>
            </w:r>
          </w:p>
        </w:tc>
        <w:tc>
          <w:tcPr>
            <w:tcW w:w="0" w:type="auto"/>
            <w:vAlign w:val="center"/>
          </w:tcPr>
          <w:p w14:paraId="6F744A25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2.68 (0.49–14.8)</w:t>
            </w:r>
          </w:p>
        </w:tc>
        <w:tc>
          <w:tcPr>
            <w:tcW w:w="0" w:type="auto"/>
            <w:vAlign w:val="center"/>
          </w:tcPr>
          <w:p w14:paraId="5B4D54E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0.3</w:t>
            </w:r>
          </w:p>
        </w:tc>
        <w:tc>
          <w:tcPr>
            <w:tcW w:w="0" w:type="auto"/>
            <w:vAlign w:val="center"/>
          </w:tcPr>
          <w:p w14:paraId="40BF8F5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0FEBD46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49E52728" w14:textId="77777777" w:rsidTr="00C846EB">
        <w:trPr>
          <w:jc w:val="center"/>
        </w:trPr>
        <w:tc>
          <w:tcPr>
            <w:tcW w:w="0" w:type="auto"/>
            <w:vAlign w:val="center"/>
          </w:tcPr>
          <w:p w14:paraId="48BEE5D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CASP8AP2 Initial (Low vs High)</w:t>
            </w:r>
          </w:p>
        </w:tc>
        <w:tc>
          <w:tcPr>
            <w:tcW w:w="0" w:type="auto"/>
            <w:vAlign w:val="center"/>
          </w:tcPr>
          <w:p w14:paraId="5E843B0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0.33 (0.08–1.45)</w:t>
            </w:r>
          </w:p>
        </w:tc>
        <w:tc>
          <w:tcPr>
            <w:tcW w:w="0" w:type="auto"/>
            <w:vAlign w:val="center"/>
          </w:tcPr>
          <w:p w14:paraId="11D85D4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0.14</w:t>
            </w:r>
          </w:p>
        </w:tc>
        <w:tc>
          <w:tcPr>
            <w:tcW w:w="0" w:type="auto"/>
            <w:vAlign w:val="center"/>
          </w:tcPr>
          <w:p w14:paraId="347FEE7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2AEC64D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</w:tbl>
    <w:p w14:paraId="771BF2F5" w14:textId="77777777" w:rsidR="0005583F" w:rsidRPr="00A85346" w:rsidRDefault="0005583F" w:rsidP="0005583F">
      <w:pPr>
        <w:spacing w:before="100" w:beforeAutospacing="1" w:after="100" w:afterAutospacing="1" w:line="240" w:lineRule="auto"/>
        <w:jc w:val="both"/>
        <w:outlineLvl w:val="2"/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</w:pPr>
      <w:bookmarkStart w:id="8" w:name="_Hlk211847765"/>
      <w:bookmarkEnd w:id="7"/>
      <w:r w:rsidRPr="00A85346">
        <w:rPr>
          <w:rFonts w:asciiTheme="minorBidi" w:eastAsia="Times New Roman" w:hAnsiTheme="minorBidi" w:cstheme="minorBidi"/>
          <w:b/>
          <w:bCs/>
          <w:kern w:val="0"/>
          <w:sz w:val="22"/>
          <w:szCs w:val="22"/>
        </w:rPr>
        <w:t>Table 7: Overall Survival (OS): Uni- and Multivariable Cox Regression Analysis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3"/>
        <w:gridCol w:w="2439"/>
        <w:gridCol w:w="620"/>
        <w:gridCol w:w="2622"/>
        <w:gridCol w:w="510"/>
      </w:tblGrid>
      <w:tr w:rsidR="0005583F" w:rsidRPr="00A85346" w14:paraId="408AE1F0" w14:textId="77777777" w:rsidTr="00C846EB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44A18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Variable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F4BF7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Univariable HR (95% 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62C7E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9C745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Multivariable HR (95% 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27EBB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b/>
                <w:bCs/>
                <w:kern w:val="0"/>
                <w:sz w:val="22"/>
                <w:szCs w:val="22"/>
              </w:rPr>
              <w:t>p</w:t>
            </w:r>
          </w:p>
        </w:tc>
      </w:tr>
      <w:tr w:rsidR="0005583F" w:rsidRPr="00A85346" w14:paraId="4FDD0A35" w14:textId="77777777" w:rsidTr="00C846EB"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2B0A83D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Age ≤ 10 vs&gt;10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D7085C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2.02 (0.45–9.13)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70C9FA3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0.3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F91DE2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6A04A93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0CD43C38" w14:textId="77777777" w:rsidTr="00C846EB">
        <w:tc>
          <w:tcPr>
            <w:tcW w:w="0" w:type="auto"/>
            <w:vAlign w:val="center"/>
          </w:tcPr>
          <w:p w14:paraId="6DDD81E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TLC ≥ 50 vs&lt;50</w:t>
            </w:r>
          </w:p>
        </w:tc>
        <w:tc>
          <w:tcPr>
            <w:tcW w:w="0" w:type="auto"/>
            <w:vAlign w:val="center"/>
          </w:tcPr>
          <w:p w14:paraId="65CE1F7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0.91 (0.28–2.98)</w:t>
            </w:r>
          </w:p>
        </w:tc>
        <w:tc>
          <w:tcPr>
            <w:tcW w:w="0" w:type="auto"/>
            <w:vAlign w:val="center"/>
          </w:tcPr>
          <w:p w14:paraId="2F98EA5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0.9</w:t>
            </w:r>
          </w:p>
        </w:tc>
        <w:tc>
          <w:tcPr>
            <w:tcW w:w="0" w:type="auto"/>
            <w:vAlign w:val="center"/>
          </w:tcPr>
          <w:p w14:paraId="1862357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0AA8E7E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3C0EAE05" w14:textId="77777777" w:rsidTr="00C846EB">
        <w:tc>
          <w:tcPr>
            <w:tcW w:w="0" w:type="auto"/>
            <w:vAlign w:val="center"/>
          </w:tcPr>
          <w:p w14:paraId="4516DA8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Karyotyping</w:t>
            </w:r>
          </w:p>
        </w:tc>
        <w:tc>
          <w:tcPr>
            <w:tcW w:w="0" w:type="auto"/>
            <w:vAlign w:val="center"/>
          </w:tcPr>
          <w:p w14:paraId="18CA510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4922C5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6BAE59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B05796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5926D35C" w14:textId="77777777" w:rsidTr="00C846EB">
        <w:tc>
          <w:tcPr>
            <w:tcW w:w="0" w:type="auto"/>
            <w:vAlign w:val="center"/>
          </w:tcPr>
          <w:p w14:paraId="1A36D49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Hypodiploid vs Normal</w:t>
            </w:r>
          </w:p>
        </w:tc>
        <w:tc>
          <w:tcPr>
            <w:tcW w:w="0" w:type="auto"/>
            <w:vAlign w:val="center"/>
          </w:tcPr>
          <w:p w14:paraId="4486E92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6.05 (1.22–30.1)</w:t>
            </w:r>
          </w:p>
        </w:tc>
        <w:tc>
          <w:tcPr>
            <w:tcW w:w="0" w:type="auto"/>
            <w:vAlign w:val="center"/>
          </w:tcPr>
          <w:p w14:paraId="06ABEC9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0.028</w:t>
            </w:r>
          </w:p>
        </w:tc>
        <w:tc>
          <w:tcPr>
            <w:tcW w:w="0" w:type="auto"/>
            <w:vAlign w:val="center"/>
          </w:tcPr>
          <w:p w14:paraId="0C9F374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5317F535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337FF1A8" w14:textId="77777777" w:rsidTr="00C846EB">
        <w:tc>
          <w:tcPr>
            <w:tcW w:w="0" w:type="auto"/>
            <w:vAlign w:val="center"/>
          </w:tcPr>
          <w:p w14:paraId="418759D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D15 BMA (Not CR vs CR)</w:t>
            </w:r>
          </w:p>
        </w:tc>
        <w:tc>
          <w:tcPr>
            <w:tcW w:w="0" w:type="auto"/>
            <w:vAlign w:val="center"/>
          </w:tcPr>
          <w:p w14:paraId="008EA31E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1.36 (0.42–4.43)</w:t>
            </w:r>
          </w:p>
        </w:tc>
        <w:tc>
          <w:tcPr>
            <w:tcW w:w="0" w:type="auto"/>
            <w:vAlign w:val="center"/>
          </w:tcPr>
          <w:p w14:paraId="7B145BB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0.6</w:t>
            </w:r>
          </w:p>
        </w:tc>
        <w:tc>
          <w:tcPr>
            <w:tcW w:w="0" w:type="auto"/>
            <w:vAlign w:val="center"/>
          </w:tcPr>
          <w:p w14:paraId="5710311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2337ECB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7DF17BCB" w14:textId="77777777" w:rsidTr="00C846EB">
        <w:tc>
          <w:tcPr>
            <w:tcW w:w="0" w:type="auto"/>
            <w:vAlign w:val="center"/>
          </w:tcPr>
          <w:p w14:paraId="4E668C1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End Induction MRD</w:t>
            </w:r>
          </w:p>
        </w:tc>
        <w:tc>
          <w:tcPr>
            <w:tcW w:w="0" w:type="auto"/>
            <w:vAlign w:val="center"/>
          </w:tcPr>
          <w:p w14:paraId="4F18B12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150455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F80C1DD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99A426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7EA51E86" w14:textId="77777777" w:rsidTr="00C846EB">
        <w:tc>
          <w:tcPr>
            <w:tcW w:w="0" w:type="auto"/>
            <w:vAlign w:val="center"/>
          </w:tcPr>
          <w:p w14:paraId="342724E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Positive vs Negative</w:t>
            </w:r>
          </w:p>
        </w:tc>
        <w:tc>
          <w:tcPr>
            <w:tcW w:w="0" w:type="auto"/>
            <w:vAlign w:val="center"/>
          </w:tcPr>
          <w:p w14:paraId="5CBFFCBF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2.50 (0.87–7.26)</w:t>
            </w:r>
          </w:p>
        </w:tc>
        <w:tc>
          <w:tcPr>
            <w:tcW w:w="0" w:type="auto"/>
            <w:vAlign w:val="center"/>
          </w:tcPr>
          <w:p w14:paraId="4C50202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0.1</w:t>
            </w:r>
          </w:p>
        </w:tc>
        <w:tc>
          <w:tcPr>
            <w:tcW w:w="0" w:type="auto"/>
            <w:vAlign w:val="center"/>
          </w:tcPr>
          <w:p w14:paraId="38ED455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0188F82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49469F7E" w14:textId="77777777" w:rsidTr="00C846EB">
        <w:tc>
          <w:tcPr>
            <w:tcW w:w="0" w:type="auto"/>
            <w:vAlign w:val="center"/>
          </w:tcPr>
          <w:p w14:paraId="1F90EE8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Last Follow-up MRD</w:t>
            </w:r>
          </w:p>
        </w:tc>
        <w:tc>
          <w:tcPr>
            <w:tcW w:w="0" w:type="auto"/>
            <w:vAlign w:val="center"/>
          </w:tcPr>
          <w:p w14:paraId="161B42A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ED8CE72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E74B3B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E1F7E8B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30454A69" w14:textId="77777777" w:rsidTr="00C846EB">
        <w:tc>
          <w:tcPr>
            <w:tcW w:w="0" w:type="auto"/>
            <w:vAlign w:val="center"/>
          </w:tcPr>
          <w:p w14:paraId="35618E8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Positive vs Negative</w:t>
            </w:r>
          </w:p>
        </w:tc>
        <w:tc>
          <w:tcPr>
            <w:tcW w:w="0" w:type="auto"/>
            <w:vAlign w:val="center"/>
          </w:tcPr>
          <w:p w14:paraId="7AA4834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7.92 (2.64–23.8)</w:t>
            </w:r>
          </w:p>
        </w:tc>
        <w:tc>
          <w:tcPr>
            <w:tcW w:w="0" w:type="auto"/>
            <w:vAlign w:val="center"/>
          </w:tcPr>
          <w:p w14:paraId="144D8FF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0" w:type="auto"/>
            <w:vAlign w:val="center"/>
          </w:tcPr>
          <w:p w14:paraId="7E98C7B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3.18 (1.38–6.40)</w:t>
            </w:r>
          </w:p>
        </w:tc>
        <w:tc>
          <w:tcPr>
            <w:tcW w:w="0" w:type="auto"/>
            <w:vAlign w:val="center"/>
          </w:tcPr>
          <w:p w14:paraId="463311F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&lt;0.01</w:t>
            </w:r>
          </w:p>
        </w:tc>
      </w:tr>
      <w:tr w:rsidR="0005583F" w:rsidRPr="00A85346" w14:paraId="63A3EE31" w14:textId="77777777" w:rsidTr="00C846EB">
        <w:tc>
          <w:tcPr>
            <w:tcW w:w="0" w:type="auto"/>
            <w:vAlign w:val="center"/>
          </w:tcPr>
          <w:p w14:paraId="6D446686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Risk Stratification</w:t>
            </w:r>
          </w:p>
        </w:tc>
        <w:tc>
          <w:tcPr>
            <w:tcW w:w="0" w:type="auto"/>
            <w:vAlign w:val="center"/>
          </w:tcPr>
          <w:p w14:paraId="741E0E5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196D49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A82543A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4E5EC37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</w:p>
        </w:tc>
      </w:tr>
      <w:tr w:rsidR="0005583F" w:rsidRPr="00A85346" w14:paraId="238F8E20" w14:textId="77777777" w:rsidTr="00C846EB">
        <w:tc>
          <w:tcPr>
            <w:tcW w:w="0" w:type="auto"/>
            <w:vAlign w:val="center"/>
          </w:tcPr>
          <w:p w14:paraId="22F5C37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HR</w:t>
            </w:r>
          </w:p>
        </w:tc>
        <w:tc>
          <w:tcPr>
            <w:tcW w:w="0" w:type="auto"/>
            <w:vAlign w:val="center"/>
          </w:tcPr>
          <w:p w14:paraId="49578045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1.66 (0.83–3.26)</w:t>
            </w:r>
          </w:p>
        </w:tc>
        <w:tc>
          <w:tcPr>
            <w:tcW w:w="0" w:type="auto"/>
            <w:vAlign w:val="center"/>
          </w:tcPr>
          <w:p w14:paraId="3CE0B61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0.2</w:t>
            </w:r>
          </w:p>
        </w:tc>
        <w:tc>
          <w:tcPr>
            <w:tcW w:w="0" w:type="auto"/>
            <w:vAlign w:val="center"/>
          </w:tcPr>
          <w:p w14:paraId="13B5DD08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42ED457C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tr w:rsidR="0005583F" w:rsidRPr="00A85346" w14:paraId="6B1492C2" w14:textId="77777777" w:rsidTr="00C846EB">
        <w:tc>
          <w:tcPr>
            <w:tcW w:w="0" w:type="auto"/>
            <w:vAlign w:val="center"/>
          </w:tcPr>
          <w:p w14:paraId="554C209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CASP8AP2 Initial (Low vs High)</w:t>
            </w:r>
          </w:p>
        </w:tc>
        <w:tc>
          <w:tcPr>
            <w:tcW w:w="0" w:type="auto"/>
            <w:vAlign w:val="center"/>
          </w:tcPr>
          <w:p w14:paraId="648A2454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0.69 (0.20–2.36)</w:t>
            </w:r>
          </w:p>
        </w:tc>
        <w:tc>
          <w:tcPr>
            <w:tcW w:w="0" w:type="auto"/>
            <w:vAlign w:val="center"/>
          </w:tcPr>
          <w:p w14:paraId="22A09990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0.56</w:t>
            </w:r>
          </w:p>
        </w:tc>
        <w:tc>
          <w:tcPr>
            <w:tcW w:w="0" w:type="auto"/>
            <w:vAlign w:val="center"/>
          </w:tcPr>
          <w:p w14:paraId="062FE423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  <w:tc>
          <w:tcPr>
            <w:tcW w:w="0" w:type="auto"/>
            <w:vAlign w:val="center"/>
          </w:tcPr>
          <w:p w14:paraId="764FB661" w14:textId="77777777" w:rsidR="0005583F" w:rsidRPr="00A85346" w:rsidRDefault="0005583F" w:rsidP="00C846EB">
            <w:pPr>
              <w:jc w:val="center"/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</w:pPr>
            <w:r w:rsidRPr="00A85346">
              <w:rPr>
                <w:rFonts w:asciiTheme="minorBidi" w:eastAsia="Times New Roman" w:hAnsiTheme="minorBidi" w:cstheme="minorBidi"/>
                <w:kern w:val="0"/>
                <w:sz w:val="22"/>
                <w:szCs w:val="22"/>
              </w:rPr>
              <w:t>–</w:t>
            </w:r>
          </w:p>
        </w:tc>
      </w:tr>
      <w:bookmarkEnd w:id="8"/>
    </w:tbl>
    <w:p w14:paraId="37E0174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oid Sans">
    <w:altName w:val="Segoe UI"/>
    <w:charset w:val="00"/>
    <w:family w:val="auto"/>
    <w:pitch w:val="variable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83F"/>
    <w:rsid w:val="0005583F"/>
    <w:rsid w:val="00195413"/>
    <w:rsid w:val="003D0186"/>
    <w:rsid w:val="006861C0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3CE7D"/>
  <w15:chartTrackingRefBased/>
  <w15:docId w15:val="{F4D4A1AA-8570-4499-B867-B04B9EB4A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83F"/>
    <w:rPr>
      <w:rFonts w:ascii="Droid Sans" w:eastAsia="DengXian" w:hAnsi="Droid Sans" w:cs="Aria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58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8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83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83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83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83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83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83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83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8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8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8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8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8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8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8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8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8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8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58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83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58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83F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58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83F"/>
    <w:pPr>
      <w:ind w:left="720"/>
      <w:contextualSpacing/>
    </w:pPr>
    <w:rPr>
      <w:rFonts w:asciiTheme="minorHAnsi" w:eastAsiaTheme="minorHAnsi" w:hAnsiTheme="minorHAnsi" w:cstheme="minorBidi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58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8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8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8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1097</Words>
  <Characters>6303</Characters>
  <Application>Microsoft Office Word</Application>
  <DocSecurity>0</DocSecurity>
  <Lines>274</Lines>
  <Paragraphs>142</Paragraphs>
  <ScaleCrop>false</ScaleCrop>
  <Company>Springer Nature</Company>
  <LinksUpToDate>false</LinksUpToDate>
  <CharactersWithSpaces>7258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2025-10-31T09:23:00Z</dcterms:created>
  <dcterms:modified xsi:type="dcterms:W3CDTF">2025-10-31T09:24:00Z</dcterms:modified>
</cp:coreProperties>
</file>