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D4E09" w14:textId="2746B741" w:rsidR="00CA37E8" w:rsidRPr="00C56227" w:rsidRDefault="00126DDB" w:rsidP="00E23C3F">
      <w:pPr>
        <w:spacing w:line="276" w:lineRule="auto"/>
        <w:ind w:left="0"/>
        <w:jc w:val="both"/>
        <w:rPr>
          <w:b/>
          <w:bCs/>
          <w:sz w:val="24"/>
          <w:szCs w:val="24"/>
          <w:lang w:val="en-US"/>
        </w:rPr>
      </w:pPr>
      <w:r w:rsidRPr="00C56227">
        <w:rPr>
          <w:b/>
          <w:bCs/>
          <w:sz w:val="24"/>
          <w:szCs w:val="24"/>
          <w:lang w:val="en-US"/>
        </w:rPr>
        <w:t xml:space="preserve">Cost-utility </w:t>
      </w:r>
      <w:r w:rsidR="004B0C19" w:rsidRPr="00C56227">
        <w:rPr>
          <w:b/>
          <w:bCs/>
          <w:sz w:val="24"/>
          <w:szCs w:val="24"/>
          <w:lang w:val="en-US"/>
        </w:rPr>
        <w:t>of Respiratory Syncytial Virus Prefusion F (RSVpreF) Maternal Vaccine for disease prevention among Colombian infants</w:t>
      </w:r>
    </w:p>
    <w:p w14:paraId="616CF1B5" w14:textId="77777777" w:rsidR="00763972" w:rsidRPr="00C56227" w:rsidRDefault="00763972" w:rsidP="00835312">
      <w:pPr>
        <w:spacing w:line="276" w:lineRule="auto"/>
        <w:ind w:left="0"/>
        <w:jc w:val="both"/>
        <w:rPr>
          <w:sz w:val="24"/>
          <w:szCs w:val="24"/>
          <w:lang w:val="en-US"/>
        </w:rPr>
      </w:pPr>
    </w:p>
    <w:p w14:paraId="5A7562CC" w14:textId="50562012" w:rsidR="004B0C19" w:rsidRDefault="00131D4E" w:rsidP="00DF263F">
      <w:pPr>
        <w:spacing w:line="276" w:lineRule="auto"/>
        <w:ind w:left="0"/>
        <w:jc w:val="center"/>
        <w:rPr>
          <w:b/>
          <w:bCs/>
          <w:sz w:val="24"/>
          <w:szCs w:val="24"/>
          <w:lang w:val="en-US"/>
        </w:rPr>
      </w:pPr>
      <w:r w:rsidRPr="00C56227">
        <w:rPr>
          <w:b/>
          <w:bCs/>
          <w:sz w:val="24"/>
          <w:szCs w:val="24"/>
          <w:lang w:val="en-US"/>
        </w:rPr>
        <w:t>Supplementary material</w:t>
      </w:r>
    </w:p>
    <w:p w14:paraId="29F84FC5" w14:textId="77777777" w:rsidR="002712D5" w:rsidRPr="00C56227" w:rsidRDefault="002712D5" w:rsidP="00DF263F">
      <w:pPr>
        <w:spacing w:line="276" w:lineRule="auto"/>
        <w:ind w:left="0"/>
        <w:jc w:val="center"/>
        <w:rPr>
          <w:b/>
          <w:bCs/>
          <w:sz w:val="24"/>
          <w:szCs w:val="24"/>
          <w:lang w:val="en-US"/>
        </w:rPr>
      </w:pPr>
    </w:p>
    <w:p w14:paraId="7B2E4C9B" w14:textId="2B805E63" w:rsidR="0044062F" w:rsidRDefault="0044062F" w:rsidP="0044062F">
      <w:pPr>
        <w:ind w:left="0"/>
        <w:jc w:val="both"/>
        <w:rPr>
          <w:rFonts w:cs="Times New Roman"/>
          <w:i/>
          <w:iCs/>
          <w:sz w:val="24"/>
          <w:szCs w:val="24"/>
          <w:lang w:val="en-US"/>
        </w:rPr>
      </w:pPr>
      <w:r w:rsidRPr="00351470"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Table </w:t>
      </w:r>
      <w:r>
        <w:rPr>
          <w:rFonts w:cs="Times New Roman"/>
          <w:b/>
          <w:bCs/>
          <w:i/>
          <w:iCs/>
          <w:sz w:val="24"/>
          <w:szCs w:val="24"/>
          <w:lang w:val="en-US"/>
        </w:rPr>
        <w:t>S1</w:t>
      </w:r>
      <w:r w:rsidRPr="00351470"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. </w:t>
      </w:r>
      <w:r w:rsidRPr="0023148A">
        <w:rPr>
          <w:rFonts w:cs="Times New Roman"/>
          <w:i/>
          <w:iCs/>
          <w:sz w:val="24"/>
          <w:szCs w:val="24"/>
          <w:lang w:val="en-US"/>
        </w:rPr>
        <w:t>Relative risk of developing RSV infection</w:t>
      </w:r>
      <w:r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B374B4">
        <w:rPr>
          <w:rFonts w:cs="Times New Roman"/>
          <w:i/>
          <w:iCs/>
          <w:sz w:val="24"/>
          <w:szCs w:val="24"/>
          <w:lang w:val="en-US"/>
        </w:rPr>
        <w:t>across age in months at the time of the visit, adjusted by gestational age at birth.</w:t>
      </w:r>
    </w:p>
    <w:p w14:paraId="133647C7" w14:textId="77777777" w:rsidR="0044062F" w:rsidRPr="00B374B4" w:rsidRDefault="0044062F" w:rsidP="0044062F">
      <w:pPr>
        <w:ind w:left="0"/>
        <w:jc w:val="both"/>
        <w:rPr>
          <w:rFonts w:cs="Times New Roman"/>
          <w:b/>
          <w:bCs/>
          <w:i/>
          <w:iCs/>
          <w:sz w:val="24"/>
          <w:szCs w:val="24"/>
          <w:lang w:val="en-US"/>
        </w:rPr>
      </w:pPr>
    </w:p>
    <w:tbl>
      <w:tblPr>
        <w:tblStyle w:val="PlainTable2"/>
        <w:tblW w:w="0" w:type="auto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276"/>
        <w:gridCol w:w="1275"/>
        <w:gridCol w:w="1418"/>
      </w:tblGrid>
      <w:tr w:rsidR="0044062F" w:rsidRPr="00E40101" w14:paraId="0DB9EC9E" w14:textId="77777777" w:rsidTr="001E7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  <w:tcBorders>
              <w:top w:val="single" w:sz="12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</w:tcPr>
          <w:p w14:paraId="3A3DD863" w14:textId="77777777" w:rsidR="0044062F" w:rsidRPr="00E40101" w:rsidRDefault="0044062F" w:rsidP="001E7AE1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bookmarkStart w:id="0" w:name="_Hlk190851085"/>
            <w:r w:rsidRPr="00E40101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Subgroup of interest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tcBorders>
              <w:top w:val="single" w:sz="12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</w:tcPr>
          <w:p w14:paraId="71A30E07" w14:textId="77777777" w:rsidR="0044062F" w:rsidRPr="00E40101" w:rsidRDefault="0044062F" w:rsidP="001E7AE1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0 - &lt; 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single" w:sz="12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</w:tcPr>
          <w:p w14:paraId="175E0800" w14:textId="77777777" w:rsidR="0044062F" w:rsidRPr="00E40101" w:rsidRDefault="0044062F" w:rsidP="001E7AE1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3 - &lt; 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tcBorders>
              <w:top w:val="single" w:sz="12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</w:tcPr>
          <w:p w14:paraId="0D659962" w14:textId="77777777" w:rsidR="0044062F" w:rsidRPr="00E40101" w:rsidRDefault="0044062F" w:rsidP="001E7AE1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6 - &lt;12</w:t>
            </w:r>
          </w:p>
        </w:tc>
      </w:tr>
      <w:tr w:rsidR="0044062F" w:rsidRPr="00E40101" w14:paraId="113232B5" w14:textId="77777777" w:rsidTr="001E7AE1">
        <w:trPr>
          <w:trHeight w:val="1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  <w:tcBorders>
              <w:top w:val="single" w:sz="12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30B71CBA" w14:textId="77777777" w:rsidR="0044062F" w:rsidRPr="00E40101" w:rsidRDefault="0044062F" w:rsidP="001E7AE1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Full Term (&gt; 37 wGA)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tcBorders>
              <w:top w:val="single" w:sz="12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7BD5CF4D" w14:textId="77777777" w:rsidR="0044062F" w:rsidRPr="00E40101" w:rsidRDefault="0044062F" w:rsidP="001E7AE1">
            <w:pPr>
              <w:pStyle w:val="Default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1,0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single" w:sz="12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547EC4F7" w14:textId="77777777" w:rsidR="0044062F" w:rsidRPr="00E40101" w:rsidRDefault="0044062F" w:rsidP="001E7AE1">
            <w:pPr>
              <w:pStyle w:val="Default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1,0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tcBorders>
              <w:top w:val="single" w:sz="12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1E572BA6" w14:textId="77777777" w:rsidR="0044062F" w:rsidRPr="00E40101" w:rsidRDefault="0044062F" w:rsidP="001E7AE1">
            <w:pPr>
              <w:pStyle w:val="Default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1,0 </w:t>
            </w:r>
          </w:p>
        </w:tc>
      </w:tr>
      <w:tr w:rsidR="0044062F" w:rsidRPr="00E40101" w14:paraId="29A99542" w14:textId="77777777" w:rsidTr="001E7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4DD01475" w14:textId="77777777" w:rsidR="0044062F" w:rsidRPr="00E40101" w:rsidRDefault="0044062F" w:rsidP="001E7AE1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Late preterm (32-36 wGA)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42ADAA04" w14:textId="77777777" w:rsidR="0044062F" w:rsidRPr="00E40101" w:rsidRDefault="0044062F" w:rsidP="001E7AE1">
            <w:pPr>
              <w:pStyle w:val="Default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1,7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1B60294E" w14:textId="77777777" w:rsidR="0044062F" w:rsidRPr="00E40101" w:rsidRDefault="0044062F" w:rsidP="001E7AE1">
            <w:pPr>
              <w:pStyle w:val="Default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2,5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531D649C" w14:textId="77777777" w:rsidR="0044062F" w:rsidRPr="00E40101" w:rsidRDefault="0044062F" w:rsidP="001E7AE1">
            <w:pPr>
              <w:pStyle w:val="Default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1,7 </w:t>
            </w:r>
          </w:p>
        </w:tc>
      </w:tr>
      <w:tr w:rsidR="0044062F" w:rsidRPr="00E40101" w14:paraId="07FA9DDE" w14:textId="77777777" w:rsidTr="001E7AE1">
        <w:trPr>
          <w:trHeight w:val="1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69CFBD9F" w14:textId="77777777" w:rsidR="0044062F" w:rsidRPr="00E40101" w:rsidRDefault="0044062F" w:rsidP="001E7AE1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Early preterm (28-31 wGA)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61AA62E3" w14:textId="77777777" w:rsidR="0044062F" w:rsidRPr="00E40101" w:rsidRDefault="0044062F" w:rsidP="001E7AE1">
            <w:pPr>
              <w:pStyle w:val="Default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0,5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60A08E68" w14:textId="77777777" w:rsidR="0044062F" w:rsidRPr="00E40101" w:rsidRDefault="0044062F" w:rsidP="001E7AE1">
            <w:pPr>
              <w:pStyle w:val="Default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2,4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0A8413DC" w14:textId="77777777" w:rsidR="0044062F" w:rsidRPr="00E40101" w:rsidRDefault="0044062F" w:rsidP="001E7AE1">
            <w:pPr>
              <w:pStyle w:val="Default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6,8 </w:t>
            </w:r>
          </w:p>
        </w:tc>
      </w:tr>
      <w:tr w:rsidR="0044062F" w:rsidRPr="00E40101" w14:paraId="704A621E" w14:textId="77777777" w:rsidTr="001E7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486F0F1" w14:textId="77777777" w:rsidR="0044062F" w:rsidRPr="00E40101" w:rsidRDefault="0044062F" w:rsidP="001E7AE1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Extreme preterm (&lt; 27 wGA)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D6163B" w14:textId="77777777" w:rsidR="0044062F" w:rsidRPr="00E40101" w:rsidRDefault="0044062F" w:rsidP="001E7AE1">
            <w:pPr>
              <w:pStyle w:val="Default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0,5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1FB69E" w14:textId="77777777" w:rsidR="0044062F" w:rsidRPr="00E40101" w:rsidRDefault="0044062F" w:rsidP="001E7AE1">
            <w:pPr>
              <w:pStyle w:val="Default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2,4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AAD956D" w14:textId="77777777" w:rsidR="0044062F" w:rsidRPr="00E40101" w:rsidRDefault="0044062F" w:rsidP="001E7AE1">
            <w:pPr>
              <w:pStyle w:val="Default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6,8 </w:t>
            </w:r>
          </w:p>
        </w:tc>
      </w:tr>
      <w:bookmarkEnd w:id="0"/>
    </w:tbl>
    <w:p w14:paraId="6B42A067" w14:textId="77777777" w:rsidR="002712D5" w:rsidRDefault="002712D5" w:rsidP="002712D5">
      <w:pPr>
        <w:ind w:left="0"/>
        <w:jc w:val="both"/>
        <w:rPr>
          <w:rFonts w:cs="Times New Roman"/>
          <w:b/>
          <w:bCs/>
          <w:i/>
          <w:iCs/>
          <w:sz w:val="24"/>
          <w:szCs w:val="24"/>
          <w:lang w:val="en-US"/>
        </w:rPr>
      </w:pPr>
    </w:p>
    <w:p w14:paraId="60ABA683" w14:textId="177D767E" w:rsidR="002712D5" w:rsidRDefault="002712D5" w:rsidP="002712D5">
      <w:pPr>
        <w:ind w:left="0"/>
        <w:jc w:val="both"/>
        <w:rPr>
          <w:rFonts w:cs="Times New Roman"/>
          <w:i/>
          <w:iCs/>
          <w:sz w:val="24"/>
          <w:szCs w:val="24"/>
          <w:lang w:val="en-US"/>
        </w:rPr>
      </w:pPr>
      <w:r w:rsidRPr="00842DC2"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Table </w:t>
      </w:r>
      <w:r>
        <w:rPr>
          <w:rFonts w:cs="Times New Roman"/>
          <w:b/>
          <w:bCs/>
          <w:i/>
          <w:iCs/>
          <w:sz w:val="24"/>
          <w:szCs w:val="24"/>
          <w:lang w:val="en-US"/>
        </w:rPr>
        <w:t>S2</w:t>
      </w:r>
      <w:r w:rsidRPr="00842DC2">
        <w:rPr>
          <w:rFonts w:cs="Times New Roman"/>
          <w:b/>
          <w:bCs/>
          <w:i/>
          <w:iCs/>
          <w:sz w:val="24"/>
          <w:szCs w:val="24"/>
          <w:lang w:val="en-US"/>
        </w:rPr>
        <w:t>.</w:t>
      </w:r>
      <w:r w:rsidRPr="00E40101">
        <w:rPr>
          <w:rFonts w:cs="Times New Roman"/>
          <w:i/>
          <w:iCs/>
          <w:sz w:val="24"/>
          <w:szCs w:val="24"/>
          <w:lang w:val="en-US"/>
        </w:rPr>
        <w:t xml:space="preserve"> Relative risk of </w:t>
      </w:r>
      <w:r>
        <w:rPr>
          <w:rFonts w:cs="Times New Roman"/>
          <w:i/>
          <w:iCs/>
          <w:sz w:val="24"/>
          <w:szCs w:val="24"/>
          <w:lang w:val="en-US"/>
        </w:rPr>
        <w:t>infant mortality due to</w:t>
      </w:r>
      <w:r w:rsidRPr="00E40101">
        <w:rPr>
          <w:rFonts w:cs="Times New Roman"/>
          <w:i/>
          <w:iCs/>
          <w:sz w:val="24"/>
          <w:szCs w:val="24"/>
          <w:lang w:val="en-US"/>
        </w:rPr>
        <w:t xml:space="preserve"> RSV infection across age in months at the time of the visit, adjusted by gestational age at birth.</w:t>
      </w:r>
    </w:p>
    <w:p w14:paraId="40D48C5B" w14:textId="77777777" w:rsidR="002712D5" w:rsidRPr="00E40101" w:rsidRDefault="002712D5" w:rsidP="002712D5">
      <w:pPr>
        <w:ind w:left="0"/>
        <w:jc w:val="both"/>
        <w:rPr>
          <w:rFonts w:cs="Times New Roman"/>
          <w:i/>
          <w:iCs/>
          <w:sz w:val="24"/>
          <w:szCs w:val="24"/>
          <w:lang w:val="en-US"/>
        </w:rPr>
      </w:pPr>
    </w:p>
    <w:tbl>
      <w:tblPr>
        <w:tblStyle w:val="PlainTable2"/>
        <w:tblW w:w="0" w:type="auto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3"/>
        <w:gridCol w:w="1276"/>
        <w:gridCol w:w="1559"/>
        <w:gridCol w:w="1271"/>
      </w:tblGrid>
      <w:tr w:rsidR="002712D5" w:rsidRPr="00E40101" w14:paraId="68DE8AD7" w14:textId="77777777" w:rsidTr="00271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53" w:type="dxa"/>
            <w:tcBorders>
              <w:top w:val="single" w:sz="12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</w:tcPr>
          <w:p w14:paraId="341FE142" w14:textId="77777777" w:rsidR="002712D5" w:rsidRPr="00E40101" w:rsidRDefault="002712D5" w:rsidP="001E7AE1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Subgroup of interest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tcBorders>
              <w:top w:val="single" w:sz="12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</w:tcPr>
          <w:p w14:paraId="46116982" w14:textId="77777777" w:rsidR="002712D5" w:rsidRPr="00E40101" w:rsidRDefault="002712D5" w:rsidP="001E7AE1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&lt;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12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</w:tcPr>
          <w:p w14:paraId="25097379" w14:textId="77777777" w:rsidR="002712D5" w:rsidRPr="00E40101" w:rsidRDefault="002712D5" w:rsidP="001E7AE1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1 - &lt; 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1" w:type="dxa"/>
            <w:tcBorders>
              <w:top w:val="single" w:sz="12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</w:tcPr>
          <w:p w14:paraId="769FBB3A" w14:textId="77777777" w:rsidR="002712D5" w:rsidRPr="00E40101" w:rsidRDefault="002712D5" w:rsidP="001E7AE1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6 - &lt;12</w:t>
            </w:r>
          </w:p>
        </w:tc>
      </w:tr>
      <w:tr w:rsidR="002712D5" w:rsidRPr="00E40101" w14:paraId="4B1FD616" w14:textId="77777777" w:rsidTr="002712D5">
        <w:trPr>
          <w:trHeight w:val="1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53" w:type="dxa"/>
            <w:tcBorders>
              <w:top w:val="single" w:sz="12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3C81542A" w14:textId="77777777" w:rsidR="002712D5" w:rsidRPr="00E40101" w:rsidRDefault="002712D5" w:rsidP="001E7AE1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Full Term (&gt; 37 wGA)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tcBorders>
              <w:top w:val="single" w:sz="12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4886A4FA" w14:textId="77777777" w:rsidR="002712D5" w:rsidRPr="00E40101" w:rsidRDefault="002712D5" w:rsidP="001E7AE1">
            <w:pPr>
              <w:pStyle w:val="Default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1,0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12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7073DCDD" w14:textId="77777777" w:rsidR="002712D5" w:rsidRPr="00E40101" w:rsidRDefault="002712D5" w:rsidP="001E7AE1">
            <w:pPr>
              <w:pStyle w:val="Default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1,0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1" w:type="dxa"/>
            <w:tcBorders>
              <w:top w:val="single" w:sz="12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7ED0685" w14:textId="77777777" w:rsidR="002712D5" w:rsidRPr="00E40101" w:rsidRDefault="002712D5" w:rsidP="001E7AE1">
            <w:pPr>
              <w:pStyle w:val="Default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1,0 </w:t>
            </w:r>
          </w:p>
        </w:tc>
      </w:tr>
      <w:tr w:rsidR="002712D5" w:rsidRPr="00E40101" w14:paraId="4EF05C14" w14:textId="77777777" w:rsidTr="00271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1F64E58F" w14:textId="77777777" w:rsidR="002712D5" w:rsidRPr="00E40101" w:rsidRDefault="002712D5" w:rsidP="001E7AE1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Late preterm (32-36 wGA)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7CC75113" w14:textId="77777777" w:rsidR="002712D5" w:rsidRPr="00E40101" w:rsidRDefault="002712D5" w:rsidP="001E7AE1">
            <w:pPr>
              <w:pStyle w:val="Default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13,3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057E339A" w14:textId="77777777" w:rsidR="002712D5" w:rsidRPr="00E40101" w:rsidRDefault="002712D5" w:rsidP="001E7AE1">
            <w:pPr>
              <w:pStyle w:val="Default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4,9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1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558E4B6C" w14:textId="77777777" w:rsidR="002712D5" w:rsidRPr="00E40101" w:rsidRDefault="002712D5" w:rsidP="001E7AE1">
            <w:pPr>
              <w:pStyle w:val="Default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2,3 </w:t>
            </w:r>
          </w:p>
        </w:tc>
      </w:tr>
      <w:tr w:rsidR="002712D5" w:rsidRPr="00E40101" w14:paraId="394E6A9D" w14:textId="77777777" w:rsidTr="002712D5">
        <w:trPr>
          <w:trHeight w:val="1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7609500B" w14:textId="77777777" w:rsidR="002712D5" w:rsidRPr="00E40101" w:rsidRDefault="002712D5" w:rsidP="001E7AE1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Early preterm (28-31 wGA)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5E509B99" w14:textId="77777777" w:rsidR="002712D5" w:rsidRPr="00E40101" w:rsidRDefault="002712D5" w:rsidP="001E7AE1">
            <w:pPr>
              <w:pStyle w:val="Default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13,3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556E221C" w14:textId="77777777" w:rsidR="002712D5" w:rsidRPr="00E40101" w:rsidRDefault="002712D5" w:rsidP="001E7AE1">
            <w:pPr>
              <w:pStyle w:val="Default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4,9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1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7D1F6ABA" w14:textId="77777777" w:rsidR="002712D5" w:rsidRPr="00E40101" w:rsidRDefault="002712D5" w:rsidP="001E7AE1">
            <w:pPr>
              <w:pStyle w:val="Default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2,3 </w:t>
            </w:r>
          </w:p>
        </w:tc>
      </w:tr>
      <w:tr w:rsidR="002712D5" w:rsidRPr="00E40101" w14:paraId="1B118FA5" w14:textId="77777777" w:rsidTr="00271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05CEB6B" w14:textId="77777777" w:rsidR="002712D5" w:rsidRPr="00E40101" w:rsidRDefault="002712D5" w:rsidP="001E7AE1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Extreme preterm (&lt; 27 wGA)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7C02E4D" w14:textId="77777777" w:rsidR="002712D5" w:rsidRPr="00E40101" w:rsidRDefault="002712D5" w:rsidP="001E7AE1">
            <w:pPr>
              <w:pStyle w:val="Default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273,4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2BD364A" w14:textId="77777777" w:rsidR="002712D5" w:rsidRPr="00E40101" w:rsidRDefault="002712D5" w:rsidP="001E7AE1">
            <w:pPr>
              <w:pStyle w:val="Default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37,2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1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FD86118" w14:textId="77777777" w:rsidR="002712D5" w:rsidRPr="00E40101" w:rsidRDefault="002712D5" w:rsidP="001E7AE1">
            <w:pPr>
              <w:pStyle w:val="Default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4010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49,0 </w:t>
            </w:r>
          </w:p>
        </w:tc>
      </w:tr>
    </w:tbl>
    <w:p w14:paraId="0BC060B8" w14:textId="77777777" w:rsidR="002712D5" w:rsidRPr="00E40101" w:rsidRDefault="002712D5" w:rsidP="002712D5">
      <w:pPr>
        <w:rPr>
          <w:lang w:val="en-US"/>
        </w:rPr>
      </w:pPr>
    </w:p>
    <w:p w14:paraId="4F2B9EEC" w14:textId="033D43E2" w:rsidR="001B6A25" w:rsidRPr="00DF263F" w:rsidRDefault="009320C0" w:rsidP="00BC65DC">
      <w:pPr>
        <w:pStyle w:val="NormalWeb"/>
        <w:spacing w:line="276" w:lineRule="auto"/>
        <w:jc w:val="both"/>
        <w:rPr>
          <w:rStyle w:val="Strong"/>
          <w:rFonts w:asciiTheme="minorHAnsi" w:eastAsiaTheme="majorEastAsia" w:hAnsiTheme="minorHAnsi"/>
          <w:lang w:val="en-US"/>
        </w:rPr>
      </w:pPr>
      <w:r>
        <w:rPr>
          <w:rStyle w:val="Strong"/>
          <w:rFonts w:asciiTheme="minorHAnsi" w:eastAsiaTheme="majorEastAsia" w:hAnsiTheme="minorHAnsi"/>
          <w:lang w:val="en-US"/>
        </w:rPr>
        <w:t xml:space="preserve">Added </w:t>
      </w:r>
      <w:r w:rsidR="00DF263F" w:rsidRPr="00DF263F">
        <w:rPr>
          <w:rStyle w:val="Strong"/>
          <w:rFonts w:asciiTheme="minorHAnsi" w:eastAsiaTheme="majorEastAsia" w:hAnsiTheme="minorHAnsi"/>
          <w:lang w:val="en-US"/>
        </w:rPr>
        <w:t>Scenario: 10-year horizon</w:t>
      </w:r>
    </w:p>
    <w:p w14:paraId="7AFDBF46" w14:textId="04F60CFF" w:rsidR="00131D4E" w:rsidRPr="00802242" w:rsidRDefault="00131D4E" w:rsidP="00BC65DC">
      <w:pPr>
        <w:pStyle w:val="NormalWeb"/>
        <w:spacing w:line="276" w:lineRule="auto"/>
        <w:jc w:val="both"/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  <w:lang w:val="en-US"/>
        </w:rPr>
      </w:pPr>
      <w:r w:rsidRPr="00802242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  <w:lang w:val="en-US"/>
        </w:rPr>
        <w:t>In this section</w:t>
      </w:r>
      <w:r w:rsidR="00ED52B9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  <w:lang w:val="en-US"/>
        </w:rPr>
        <w:t>, a scenario of a 10-year</w:t>
      </w:r>
      <w:r w:rsidR="00802242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  <w:lang w:val="en-US"/>
        </w:rPr>
        <w:t xml:space="preserve"> horizon is presented</w:t>
      </w:r>
      <w:r w:rsidR="009320C0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  <w:lang w:val="en-US"/>
        </w:rPr>
        <w:t xml:space="preserve"> for RSVpreF vaccination against no intervention</w:t>
      </w:r>
      <w:r w:rsidR="00802242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  <w:lang w:val="en-US"/>
        </w:rPr>
        <w:t xml:space="preserve">. </w:t>
      </w:r>
    </w:p>
    <w:p w14:paraId="3BBC8D17" w14:textId="1EB0AD86" w:rsidR="00BC65DC" w:rsidRPr="000E7079" w:rsidRDefault="00BC65DC" w:rsidP="00BC65DC">
      <w:pPr>
        <w:pStyle w:val="NormalWeb"/>
        <w:spacing w:line="276" w:lineRule="auto"/>
        <w:jc w:val="both"/>
        <w:rPr>
          <w:rFonts w:asciiTheme="minorHAnsi" w:hAnsiTheme="minorHAnsi"/>
          <w:b/>
          <w:bCs/>
          <w:sz w:val="22"/>
          <w:szCs w:val="22"/>
          <w:lang w:val="en-US"/>
        </w:rPr>
      </w:pPr>
      <w:r w:rsidRPr="000E7079">
        <w:rPr>
          <w:rFonts w:asciiTheme="minorHAnsi" w:hAnsiTheme="minorHAnsi"/>
          <w:b/>
          <w:bCs/>
          <w:sz w:val="22"/>
          <w:szCs w:val="22"/>
          <w:lang w:val="en-US"/>
        </w:rPr>
        <w:t>Results</w:t>
      </w:r>
    </w:p>
    <w:p w14:paraId="4B7D82F2" w14:textId="63A41249" w:rsidR="00BC65DC" w:rsidRPr="00FB1761" w:rsidRDefault="00B96E1D" w:rsidP="00BC65DC">
      <w:pPr>
        <w:pStyle w:val="NormalWeb"/>
        <w:spacing w:line="276" w:lineRule="auto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With a </w:t>
      </w:r>
      <w:r w:rsidR="00ED52B9">
        <w:rPr>
          <w:rFonts w:asciiTheme="minorHAnsi" w:hAnsiTheme="minorHAnsi"/>
          <w:sz w:val="22"/>
          <w:szCs w:val="22"/>
          <w:lang w:val="en-US"/>
        </w:rPr>
        <w:t>10-year</w:t>
      </w:r>
      <w:r>
        <w:rPr>
          <w:rFonts w:asciiTheme="minorHAnsi" w:hAnsiTheme="minorHAnsi"/>
          <w:sz w:val="22"/>
          <w:szCs w:val="22"/>
          <w:lang w:val="en-US"/>
        </w:rPr>
        <w:t xml:space="preserve"> horizon, c</w:t>
      </w:r>
      <w:r w:rsidR="00BC65DC" w:rsidRPr="00FB1761">
        <w:rPr>
          <w:rFonts w:asciiTheme="minorHAnsi" w:hAnsiTheme="minorHAnsi"/>
          <w:sz w:val="22"/>
          <w:szCs w:val="22"/>
          <w:lang w:val="en-US"/>
        </w:rPr>
        <w:t xml:space="preserve">ompared to no intervention (NI), </w:t>
      </w:r>
      <w:r w:rsidR="00DC5108">
        <w:rPr>
          <w:rFonts w:asciiTheme="minorHAnsi" w:hAnsiTheme="minorHAnsi"/>
          <w:sz w:val="22"/>
          <w:szCs w:val="22"/>
          <w:lang w:val="en-US"/>
        </w:rPr>
        <w:t xml:space="preserve">year-round </w:t>
      </w:r>
      <w:r w:rsidR="00BC65DC" w:rsidRPr="00FB1761">
        <w:rPr>
          <w:rFonts w:asciiTheme="minorHAnsi" w:hAnsiTheme="minorHAnsi"/>
          <w:sz w:val="22"/>
          <w:szCs w:val="22"/>
          <w:lang w:val="en-US"/>
        </w:rPr>
        <w:t xml:space="preserve">maternal RSVpreF vaccination was cost-effective at a willingness-to-pay (WTP) threshold of </w:t>
      </w:r>
      <w:r w:rsidR="00275B2D">
        <w:rPr>
          <w:rFonts w:asciiTheme="minorHAnsi" w:hAnsiTheme="minorHAnsi"/>
          <w:sz w:val="22"/>
          <w:szCs w:val="22"/>
          <w:lang w:val="en-US"/>
        </w:rPr>
        <w:t>USD 7,491</w:t>
      </w:r>
      <w:r w:rsidR="00BC65DC" w:rsidRPr="00FB1761">
        <w:rPr>
          <w:rFonts w:asciiTheme="minorHAnsi" w:hAnsiTheme="minorHAnsi"/>
          <w:sz w:val="22"/>
          <w:szCs w:val="22"/>
          <w:lang w:val="en-US"/>
        </w:rPr>
        <w:t xml:space="preserve"> per QALY. </w:t>
      </w:r>
      <w:r w:rsidR="00275B2D">
        <w:rPr>
          <w:rFonts w:asciiTheme="minorHAnsi" w:hAnsiTheme="minorHAnsi"/>
          <w:sz w:val="22"/>
          <w:szCs w:val="22"/>
          <w:lang w:val="en-US"/>
        </w:rPr>
        <w:t>Implementing</w:t>
      </w:r>
      <w:r w:rsidR="00BC65DC" w:rsidRPr="00FB1761">
        <w:rPr>
          <w:rFonts w:asciiTheme="minorHAnsi" w:hAnsiTheme="minorHAnsi"/>
          <w:sz w:val="22"/>
          <w:szCs w:val="22"/>
          <w:lang w:val="en-US"/>
        </w:rPr>
        <w:t xml:space="preserve"> maternal vaccination could prevent approximately </w:t>
      </w:r>
      <w:r w:rsidR="0032759E">
        <w:rPr>
          <w:rFonts w:asciiTheme="minorHAnsi" w:hAnsiTheme="minorHAnsi"/>
          <w:sz w:val="22"/>
          <w:szCs w:val="22"/>
          <w:lang w:val="en-US"/>
        </w:rPr>
        <w:t>25</w:t>
      </w:r>
      <w:r w:rsidR="00BC65DC" w:rsidRPr="00FB1761">
        <w:rPr>
          <w:rFonts w:asciiTheme="minorHAnsi" w:hAnsiTheme="minorHAnsi"/>
          <w:sz w:val="22"/>
          <w:szCs w:val="22"/>
          <w:lang w:val="en-US"/>
        </w:rPr>
        <w:t>,7</w:t>
      </w:r>
      <w:r w:rsidR="0032759E">
        <w:rPr>
          <w:rFonts w:asciiTheme="minorHAnsi" w:hAnsiTheme="minorHAnsi"/>
          <w:sz w:val="22"/>
          <w:szCs w:val="22"/>
          <w:lang w:val="en-US"/>
        </w:rPr>
        <w:t>81</w:t>
      </w:r>
      <w:r w:rsidR="00BC65DC" w:rsidRPr="00FB1761">
        <w:rPr>
          <w:rFonts w:asciiTheme="minorHAnsi" w:hAnsiTheme="minorHAnsi"/>
          <w:sz w:val="22"/>
          <w:szCs w:val="22"/>
          <w:lang w:val="en-US"/>
        </w:rPr>
        <w:t xml:space="preserve"> RSV-related cases, translating into 1,</w:t>
      </w:r>
      <w:r w:rsidR="0032759E">
        <w:rPr>
          <w:rFonts w:asciiTheme="minorHAnsi" w:hAnsiTheme="minorHAnsi"/>
          <w:sz w:val="22"/>
          <w:szCs w:val="22"/>
          <w:lang w:val="en-US"/>
        </w:rPr>
        <w:t>081</w:t>
      </w:r>
      <w:r w:rsidR="00BC65DC" w:rsidRPr="00FB1761">
        <w:rPr>
          <w:rFonts w:asciiTheme="minorHAnsi" w:hAnsiTheme="minorHAnsi"/>
          <w:sz w:val="22"/>
          <w:szCs w:val="22"/>
          <w:lang w:val="en-US"/>
        </w:rPr>
        <w:t xml:space="preserve"> QALYs gained in the studied cohort. The incremental cost of the intervention was around </w:t>
      </w:r>
      <w:r w:rsidR="00275B2D">
        <w:rPr>
          <w:rFonts w:asciiTheme="minorHAnsi" w:hAnsiTheme="minorHAnsi"/>
          <w:sz w:val="22"/>
          <w:szCs w:val="22"/>
          <w:lang w:val="en-US"/>
        </w:rPr>
        <w:t>USD 4 million</w:t>
      </w:r>
      <w:r w:rsidR="00BC65DC" w:rsidRPr="00FB1761">
        <w:rPr>
          <w:rFonts w:asciiTheme="minorHAnsi" w:hAnsiTheme="minorHAnsi"/>
          <w:sz w:val="22"/>
          <w:szCs w:val="22"/>
          <w:lang w:val="en-US"/>
        </w:rPr>
        <w:t>, leading to an incremental cost-effectiveness ratio (ICER) of $</w:t>
      </w:r>
      <w:r w:rsidR="00436BEC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3C7BC2">
        <w:rPr>
          <w:rFonts w:asciiTheme="minorHAnsi" w:hAnsiTheme="minorHAnsi"/>
          <w:sz w:val="22"/>
          <w:szCs w:val="22"/>
          <w:lang w:val="en-US"/>
        </w:rPr>
        <w:t>4</w:t>
      </w:r>
      <w:r w:rsidR="00BC65DC" w:rsidRPr="00FB1761">
        <w:rPr>
          <w:rFonts w:asciiTheme="minorHAnsi" w:hAnsiTheme="minorHAnsi"/>
          <w:sz w:val="22"/>
          <w:szCs w:val="22"/>
          <w:lang w:val="en-US"/>
        </w:rPr>
        <w:t>,</w:t>
      </w:r>
      <w:r w:rsidR="003C7BC2">
        <w:rPr>
          <w:rFonts w:asciiTheme="minorHAnsi" w:hAnsiTheme="minorHAnsi"/>
          <w:sz w:val="22"/>
          <w:szCs w:val="22"/>
          <w:lang w:val="en-US"/>
        </w:rPr>
        <w:t>974</w:t>
      </w:r>
      <w:r w:rsidR="00BC65DC" w:rsidRPr="00FB1761">
        <w:rPr>
          <w:rFonts w:asciiTheme="minorHAnsi" w:hAnsiTheme="minorHAnsi"/>
          <w:sz w:val="22"/>
          <w:szCs w:val="22"/>
          <w:lang w:val="en-US"/>
        </w:rPr>
        <w:t xml:space="preserve"> per QALY, which is </w:t>
      </w:r>
      <w:r w:rsidR="00CD72E7">
        <w:rPr>
          <w:rFonts w:asciiTheme="minorHAnsi" w:hAnsiTheme="minorHAnsi"/>
          <w:sz w:val="22"/>
          <w:szCs w:val="22"/>
          <w:lang w:val="en-US"/>
        </w:rPr>
        <w:t>less than half the</w:t>
      </w:r>
      <w:r w:rsidR="00BC65DC" w:rsidRPr="00FB1761">
        <w:rPr>
          <w:rFonts w:asciiTheme="minorHAnsi" w:hAnsiTheme="minorHAnsi"/>
          <w:sz w:val="22"/>
          <w:szCs w:val="22"/>
          <w:lang w:val="en-US"/>
        </w:rPr>
        <w:t xml:space="preserve"> WTP threshold</w:t>
      </w:r>
      <w:r w:rsidR="00CD72E7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FA5946">
        <w:rPr>
          <w:rFonts w:asciiTheme="minorHAnsi" w:hAnsiTheme="minorHAnsi"/>
          <w:sz w:val="22"/>
          <w:szCs w:val="22"/>
          <w:lang w:val="en-US"/>
        </w:rPr>
        <w:t>66</w:t>
      </w:r>
      <w:r w:rsidR="001F6467">
        <w:rPr>
          <w:rFonts w:asciiTheme="minorHAnsi" w:hAnsiTheme="minorHAnsi"/>
          <w:sz w:val="22"/>
          <w:szCs w:val="22"/>
          <w:lang w:val="en-US"/>
        </w:rPr>
        <w:t>.</w:t>
      </w:r>
      <w:r w:rsidR="00FA5946">
        <w:rPr>
          <w:rFonts w:asciiTheme="minorHAnsi" w:hAnsiTheme="minorHAnsi"/>
          <w:sz w:val="22"/>
          <w:szCs w:val="22"/>
          <w:lang w:val="en-US"/>
        </w:rPr>
        <w:t>4</w:t>
      </w:r>
      <w:r w:rsidR="00CD72E7">
        <w:rPr>
          <w:rFonts w:asciiTheme="minorHAnsi" w:hAnsiTheme="minorHAnsi"/>
          <w:sz w:val="22"/>
          <w:szCs w:val="22"/>
          <w:lang w:val="en-US"/>
        </w:rPr>
        <w:t>%)</w:t>
      </w:r>
      <w:r w:rsidR="00BC65DC" w:rsidRPr="00FB1761">
        <w:rPr>
          <w:rFonts w:asciiTheme="minorHAnsi" w:hAnsiTheme="minorHAnsi"/>
          <w:sz w:val="22"/>
          <w:szCs w:val="22"/>
          <w:lang w:val="en-US"/>
        </w:rPr>
        <w:t>.</w:t>
      </w:r>
    </w:p>
    <w:p w14:paraId="291564B8" w14:textId="08F1C653" w:rsidR="00BC65DC" w:rsidRDefault="00BC65DC" w:rsidP="00BC65DC">
      <w:pPr>
        <w:pStyle w:val="NormalWeb"/>
        <w:spacing w:line="276" w:lineRule="auto"/>
        <w:jc w:val="both"/>
        <w:rPr>
          <w:rFonts w:asciiTheme="minorHAnsi" w:hAnsiTheme="minorHAnsi"/>
          <w:sz w:val="22"/>
          <w:szCs w:val="22"/>
          <w:lang w:val="en-US"/>
        </w:rPr>
      </w:pPr>
      <w:r w:rsidRPr="00FB1761">
        <w:rPr>
          <w:rFonts w:asciiTheme="minorHAnsi" w:hAnsiTheme="minorHAnsi"/>
          <w:b/>
          <w:bCs/>
          <w:sz w:val="22"/>
          <w:szCs w:val="22"/>
          <w:lang w:val="en-US"/>
        </w:rPr>
        <w:lastRenderedPageBreak/>
        <w:t xml:space="preserve">Health Outcomes: </w:t>
      </w:r>
      <w:r w:rsidRPr="00FB1761">
        <w:rPr>
          <w:rFonts w:asciiTheme="minorHAnsi" w:hAnsiTheme="minorHAnsi"/>
          <w:sz w:val="22"/>
          <w:szCs w:val="22"/>
          <w:lang w:val="en-US"/>
        </w:rPr>
        <w:t xml:space="preserve">The vaccination strategy demonstrated substantial reductions in RSV-related cases. As shown in </w:t>
      </w:r>
      <w:r w:rsidRPr="00FB1761">
        <w:rPr>
          <w:rFonts w:asciiTheme="minorHAnsi" w:hAnsiTheme="minorHAnsi"/>
          <w:i/>
          <w:iCs/>
          <w:sz w:val="22"/>
          <w:szCs w:val="22"/>
          <w:lang w:val="en-US"/>
        </w:rPr>
        <w:t xml:space="preserve">Table </w:t>
      </w:r>
      <w:r w:rsidR="007F5E25">
        <w:rPr>
          <w:rFonts w:asciiTheme="minorHAnsi" w:hAnsiTheme="minorHAnsi"/>
          <w:i/>
          <w:iCs/>
          <w:sz w:val="22"/>
          <w:szCs w:val="22"/>
          <w:lang w:val="en-US"/>
        </w:rPr>
        <w:t>S3</w:t>
      </w:r>
      <w:r w:rsidRPr="00FB1761">
        <w:rPr>
          <w:rFonts w:asciiTheme="minorHAnsi" w:hAnsiTheme="minorHAnsi"/>
          <w:sz w:val="22"/>
          <w:szCs w:val="22"/>
          <w:lang w:val="en-US"/>
        </w:rPr>
        <w:t>, maternal RSVpreF vaccination led to a 3</w:t>
      </w:r>
      <w:r w:rsidR="004024F7">
        <w:rPr>
          <w:rFonts w:asciiTheme="minorHAnsi" w:hAnsiTheme="minorHAnsi"/>
          <w:sz w:val="22"/>
          <w:szCs w:val="22"/>
          <w:lang w:val="en-US"/>
        </w:rPr>
        <w:t>7</w:t>
      </w:r>
      <w:r w:rsidRPr="00FB1761">
        <w:rPr>
          <w:rFonts w:asciiTheme="minorHAnsi" w:hAnsiTheme="minorHAnsi"/>
          <w:sz w:val="22"/>
          <w:szCs w:val="22"/>
          <w:lang w:val="en-US"/>
        </w:rPr>
        <w:t xml:space="preserve">% reduction in RSV cases, preventing over 6,823 hospitalizations, </w:t>
      </w:r>
      <w:r w:rsidR="0042728D">
        <w:rPr>
          <w:rFonts w:asciiTheme="minorHAnsi" w:hAnsiTheme="minorHAnsi"/>
          <w:sz w:val="22"/>
          <w:szCs w:val="22"/>
          <w:lang w:val="en-US"/>
        </w:rPr>
        <w:t>6</w:t>
      </w:r>
      <w:r w:rsidRPr="00FB1761">
        <w:rPr>
          <w:rFonts w:asciiTheme="minorHAnsi" w:hAnsiTheme="minorHAnsi"/>
          <w:sz w:val="22"/>
          <w:szCs w:val="22"/>
          <w:lang w:val="en-US"/>
        </w:rPr>
        <w:t>,</w:t>
      </w:r>
      <w:r w:rsidR="0042728D">
        <w:rPr>
          <w:rFonts w:asciiTheme="minorHAnsi" w:hAnsiTheme="minorHAnsi"/>
          <w:sz w:val="22"/>
          <w:szCs w:val="22"/>
          <w:lang w:val="en-US"/>
        </w:rPr>
        <w:t>930</w:t>
      </w:r>
      <w:r w:rsidRPr="00FB1761">
        <w:rPr>
          <w:rFonts w:asciiTheme="minorHAnsi" w:hAnsiTheme="minorHAnsi"/>
          <w:sz w:val="22"/>
          <w:szCs w:val="22"/>
          <w:lang w:val="en-US"/>
        </w:rPr>
        <w:t xml:space="preserve"> emergency room visits, and </w:t>
      </w:r>
      <w:r w:rsidR="0042728D">
        <w:rPr>
          <w:rFonts w:asciiTheme="minorHAnsi" w:hAnsiTheme="minorHAnsi"/>
          <w:sz w:val="22"/>
          <w:szCs w:val="22"/>
          <w:lang w:val="en-US"/>
        </w:rPr>
        <w:t>1</w:t>
      </w:r>
      <w:r w:rsidRPr="00FB1761">
        <w:rPr>
          <w:rFonts w:asciiTheme="minorHAnsi" w:hAnsiTheme="minorHAnsi"/>
          <w:sz w:val="22"/>
          <w:szCs w:val="22"/>
          <w:lang w:val="en-US"/>
        </w:rPr>
        <w:t>2</w:t>
      </w:r>
      <w:r w:rsidR="0042728D">
        <w:rPr>
          <w:rFonts w:asciiTheme="minorHAnsi" w:hAnsiTheme="minorHAnsi"/>
          <w:sz w:val="22"/>
          <w:szCs w:val="22"/>
          <w:lang w:val="en-US"/>
        </w:rPr>
        <w:t>,028</w:t>
      </w:r>
      <w:r w:rsidRPr="00FB1761">
        <w:rPr>
          <w:rFonts w:asciiTheme="minorHAnsi" w:hAnsiTheme="minorHAnsi"/>
          <w:sz w:val="22"/>
          <w:szCs w:val="22"/>
          <w:lang w:val="en-US"/>
        </w:rPr>
        <w:t xml:space="preserve"> outpatient visits. Additionally, the intervention could prevent 116 infant deaths. These health gains translated into 892 life-years (LY) and 1,</w:t>
      </w:r>
      <w:r w:rsidR="0066770B">
        <w:rPr>
          <w:rFonts w:asciiTheme="minorHAnsi" w:hAnsiTheme="minorHAnsi"/>
          <w:sz w:val="22"/>
          <w:szCs w:val="22"/>
          <w:lang w:val="en-US"/>
        </w:rPr>
        <w:t>081</w:t>
      </w:r>
      <w:r w:rsidRPr="00FB1761">
        <w:rPr>
          <w:rFonts w:asciiTheme="minorHAnsi" w:hAnsiTheme="minorHAnsi"/>
          <w:sz w:val="22"/>
          <w:szCs w:val="22"/>
          <w:lang w:val="en-US"/>
        </w:rPr>
        <w:t xml:space="preserve"> quality-adjusted life years (QALYs).</w:t>
      </w:r>
    </w:p>
    <w:p w14:paraId="228BD0DF" w14:textId="77777777" w:rsidR="00E06F76" w:rsidRDefault="00E06F76" w:rsidP="00E06F76">
      <w:pPr>
        <w:ind w:left="0"/>
        <w:rPr>
          <w:rFonts w:cs="Times New Roman"/>
          <w:i/>
          <w:iCs/>
          <w:sz w:val="24"/>
          <w:szCs w:val="24"/>
          <w:lang w:val="en-US"/>
        </w:rPr>
      </w:pPr>
      <w:r w:rsidRPr="00D3590D">
        <w:rPr>
          <w:rFonts w:cs="Times New Roman"/>
          <w:b/>
          <w:bCs/>
          <w:i/>
          <w:iCs/>
          <w:sz w:val="24"/>
          <w:szCs w:val="24"/>
          <w:lang w:val="en-US"/>
        </w:rPr>
        <w:t>Table S3</w:t>
      </w:r>
      <w:r w:rsidRPr="00E40101">
        <w:rPr>
          <w:rFonts w:cs="Times New Roman"/>
          <w:i/>
          <w:iCs/>
          <w:sz w:val="24"/>
          <w:szCs w:val="24"/>
          <w:lang w:val="en-US"/>
        </w:rPr>
        <w:t>. Deterministic results of maternal vaccination against no intervention, Colombia 2025.</w:t>
      </w:r>
    </w:p>
    <w:p w14:paraId="68D8BC32" w14:textId="77777777" w:rsidR="00E06F76" w:rsidRPr="00E40101" w:rsidRDefault="00E06F76" w:rsidP="00E06F76">
      <w:pPr>
        <w:jc w:val="both"/>
        <w:rPr>
          <w:rFonts w:cs="Times New Roman"/>
          <w:i/>
          <w:iCs/>
          <w:sz w:val="24"/>
          <w:szCs w:val="24"/>
          <w:lang w:val="en-US"/>
        </w:rPr>
      </w:pPr>
    </w:p>
    <w:tbl>
      <w:tblPr>
        <w:tblStyle w:val="GridTable1Light"/>
        <w:tblpPr w:leftFromText="141" w:rightFromText="141" w:vertAnchor="text" w:tblpXSpec="center" w:tblpY="1"/>
        <w:tblOverlap w:val="never"/>
        <w:tblW w:w="8789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1701"/>
        <w:gridCol w:w="2126"/>
      </w:tblGrid>
      <w:tr w:rsidR="00E06F76" w:rsidRPr="00E40101" w14:paraId="25291E9C" w14:textId="77777777" w:rsidTr="00841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sz="12" w:space="0" w:color="auto"/>
              <w:bottom w:val="single" w:sz="12" w:space="0" w:color="auto"/>
            </w:tcBorders>
          </w:tcPr>
          <w:p w14:paraId="5DB8CB6A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608803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RSVpreF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4EA126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No intervention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890246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RSVpreF</w:t>
            </w:r>
            <w:r w:rsidRPr="00E40101" w:rsidDel="00BB0AF6">
              <w:rPr>
                <w:rFonts w:asciiTheme="minorHAnsi" w:hAnsiTheme="minorHAnsi"/>
                <w:lang w:val="en-US"/>
              </w:rPr>
              <w:t xml:space="preserve"> </w:t>
            </w:r>
            <w:r w:rsidRPr="00E40101">
              <w:rPr>
                <w:rFonts w:asciiTheme="minorHAnsi" w:hAnsiTheme="minorHAnsi"/>
                <w:lang w:val="en-US"/>
              </w:rPr>
              <w:t>vs. No Intervention</w:t>
            </w:r>
          </w:p>
        </w:tc>
      </w:tr>
      <w:tr w:rsidR="00E06F76" w:rsidRPr="00E40101" w14:paraId="0610233C" w14:textId="77777777" w:rsidTr="008410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sz="12" w:space="0" w:color="auto"/>
              <w:bottom w:val="nil"/>
            </w:tcBorders>
          </w:tcPr>
          <w:p w14:paraId="3587FEB8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No. pregnant women</w:t>
            </w:r>
          </w:p>
        </w:tc>
        <w:tc>
          <w:tcPr>
            <w:tcW w:w="1701" w:type="dxa"/>
            <w:tcBorders>
              <w:top w:val="single" w:sz="12" w:space="0" w:color="auto"/>
              <w:bottom w:val="nil"/>
            </w:tcBorders>
            <w:vAlign w:val="center"/>
          </w:tcPr>
          <w:p w14:paraId="3D43AD97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425</w:t>
            </w:r>
            <w:r>
              <w:rPr>
                <w:rFonts w:asciiTheme="minorHAnsi" w:hAnsiTheme="minorHAnsi"/>
                <w:lang w:val="en-US"/>
              </w:rPr>
              <w:t>,</w:t>
            </w:r>
            <w:r w:rsidRPr="00E40101">
              <w:rPr>
                <w:rFonts w:asciiTheme="minorHAnsi" w:hAnsiTheme="minorHAnsi"/>
                <w:lang w:val="en-US"/>
              </w:rPr>
              <w:t>327</w:t>
            </w:r>
          </w:p>
        </w:tc>
        <w:tc>
          <w:tcPr>
            <w:tcW w:w="1701" w:type="dxa"/>
            <w:tcBorders>
              <w:top w:val="single" w:sz="12" w:space="0" w:color="auto"/>
              <w:bottom w:val="nil"/>
            </w:tcBorders>
            <w:vAlign w:val="center"/>
          </w:tcPr>
          <w:p w14:paraId="68673E0A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425</w:t>
            </w:r>
            <w:r>
              <w:rPr>
                <w:rFonts w:asciiTheme="minorHAnsi" w:hAnsiTheme="minorHAnsi"/>
                <w:lang w:val="en-US"/>
              </w:rPr>
              <w:t>,</w:t>
            </w:r>
            <w:r w:rsidRPr="00E40101">
              <w:rPr>
                <w:rFonts w:asciiTheme="minorHAnsi" w:hAnsiTheme="minorHAnsi"/>
                <w:lang w:val="en-US"/>
              </w:rPr>
              <w:t>327</w:t>
            </w:r>
          </w:p>
        </w:tc>
        <w:tc>
          <w:tcPr>
            <w:tcW w:w="2126" w:type="dxa"/>
            <w:tcBorders>
              <w:top w:val="single" w:sz="12" w:space="0" w:color="auto"/>
              <w:bottom w:val="nil"/>
            </w:tcBorders>
            <w:vAlign w:val="center"/>
          </w:tcPr>
          <w:p w14:paraId="5BC3EAB6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0</w:t>
            </w:r>
          </w:p>
        </w:tc>
      </w:tr>
      <w:tr w:rsidR="00E06F76" w:rsidRPr="00E40101" w14:paraId="6B8EA219" w14:textId="77777777" w:rsidTr="008410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bottom w:val="nil"/>
            </w:tcBorders>
          </w:tcPr>
          <w:p w14:paraId="3424637A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No. infants born</w:t>
            </w:r>
          </w:p>
        </w:tc>
        <w:tc>
          <w:tcPr>
            <w:tcW w:w="1701" w:type="dxa"/>
            <w:tcBorders>
              <w:bottom w:val="nil"/>
            </w:tcBorders>
          </w:tcPr>
          <w:p w14:paraId="73091F60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429</w:t>
            </w:r>
            <w:r>
              <w:rPr>
                <w:rFonts w:asciiTheme="minorHAnsi" w:hAnsiTheme="minorHAnsi"/>
                <w:lang w:val="en-US"/>
              </w:rPr>
              <w:t>,</w:t>
            </w:r>
            <w:r w:rsidRPr="00E40101">
              <w:rPr>
                <w:rFonts w:asciiTheme="minorHAnsi" w:hAnsiTheme="minorHAnsi"/>
                <w:lang w:val="en-US"/>
              </w:rPr>
              <w:t>363</w:t>
            </w:r>
          </w:p>
        </w:tc>
        <w:tc>
          <w:tcPr>
            <w:tcW w:w="1701" w:type="dxa"/>
            <w:tcBorders>
              <w:bottom w:val="nil"/>
            </w:tcBorders>
          </w:tcPr>
          <w:p w14:paraId="4005A0D5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429</w:t>
            </w:r>
            <w:r>
              <w:rPr>
                <w:rFonts w:asciiTheme="minorHAnsi" w:hAnsiTheme="minorHAnsi"/>
                <w:lang w:val="en-US"/>
              </w:rPr>
              <w:t>,</w:t>
            </w:r>
            <w:r w:rsidRPr="00E40101">
              <w:rPr>
                <w:rFonts w:asciiTheme="minorHAnsi" w:hAnsiTheme="minorHAnsi"/>
                <w:lang w:val="en-US"/>
              </w:rPr>
              <w:t>363</w:t>
            </w:r>
          </w:p>
        </w:tc>
        <w:tc>
          <w:tcPr>
            <w:tcW w:w="2126" w:type="dxa"/>
            <w:tcBorders>
              <w:bottom w:val="nil"/>
            </w:tcBorders>
          </w:tcPr>
          <w:p w14:paraId="32F7E811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0</w:t>
            </w:r>
          </w:p>
        </w:tc>
      </w:tr>
      <w:tr w:rsidR="00E06F76" w:rsidRPr="00E40101" w14:paraId="0EBEC0DD" w14:textId="77777777" w:rsidTr="008410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bottom w:val="single" w:sz="8" w:space="0" w:color="auto"/>
            </w:tcBorders>
          </w:tcPr>
          <w:p w14:paraId="59ED95B0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No. live births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0A945D7A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410</w:t>
            </w:r>
            <w:r>
              <w:rPr>
                <w:rFonts w:asciiTheme="minorHAnsi" w:hAnsiTheme="minorHAnsi"/>
                <w:lang w:val="en-US"/>
              </w:rPr>
              <w:t>,</w:t>
            </w:r>
            <w:r w:rsidRPr="00E40101">
              <w:rPr>
                <w:rFonts w:asciiTheme="minorHAnsi" w:hAnsiTheme="minorHAnsi"/>
                <w:lang w:val="en-US"/>
              </w:rPr>
              <w:t>223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78D2D14E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410</w:t>
            </w:r>
            <w:r>
              <w:rPr>
                <w:rFonts w:asciiTheme="minorHAnsi" w:hAnsiTheme="minorHAnsi"/>
                <w:lang w:val="en-US"/>
              </w:rPr>
              <w:t>,</w:t>
            </w:r>
            <w:r w:rsidRPr="00E40101">
              <w:rPr>
                <w:rFonts w:asciiTheme="minorHAnsi" w:hAnsiTheme="minorHAnsi"/>
                <w:lang w:val="en-US"/>
              </w:rPr>
              <w:t>223</w:t>
            </w: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14:paraId="4AB4A22F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0</w:t>
            </w:r>
          </w:p>
        </w:tc>
      </w:tr>
      <w:tr w:rsidR="00E06F76" w:rsidRPr="00E40101" w14:paraId="7247F5C1" w14:textId="77777777" w:rsidTr="008410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6F9A551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Use of intervention</w:t>
            </w:r>
          </w:p>
        </w:tc>
      </w:tr>
      <w:tr w:rsidR="00E06F76" w:rsidRPr="00E40101" w14:paraId="01B03D03" w14:textId="77777777" w:rsidTr="008410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sz="8" w:space="0" w:color="auto"/>
              <w:bottom w:val="nil"/>
            </w:tcBorders>
          </w:tcPr>
          <w:p w14:paraId="4DABEB71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 xml:space="preserve">No. receiving </w:t>
            </w:r>
            <w:r>
              <w:rPr>
                <w:rFonts w:asciiTheme="minorHAnsi" w:hAnsiTheme="minorHAnsi"/>
                <w:lang w:val="en-US"/>
              </w:rPr>
              <w:t xml:space="preserve">the </w:t>
            </w:r>
            <w:r w:rsidRPr="00E40101">
              <w:rPr>
                <w:rFonts w:asciiTheme="minorHAnsi" w:hAnsiTheme="minorHAnsi"/>
                <w:lang w:val="en-US"/>
              </w:rPr>
              <w:t>maternal vaccine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  <w:vAlign w:val="center"/>
          </w:tcPr>
          <w:p w14:paraId="5774317B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351</w:t>
            </w:r>
            <w:r>
              <w:rPr>
                <w:rFonts w:asciiTheme="minorHAnsi" w:hAnsiTheme="minorHAnsi"/>
                <w:lang w:val="en-US"/>
              </w:rPr>
              <w:t>,</w:t>
            </w:r>
            <w:r w:rsidRPr="00E40101">
              <w:rPr>
                <w:rFonts w:asciiTheme="minorHAnsi" w:hAnsiTheme="minorHAnsi"/>
                <w:lang w:val="en-US"/>
              </w:rPr>
              <w:t>868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  <w:vAlign w:val="center"/>
          </w:tcPr>
          <w:p w14:paraId="1F9B16F3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8" w:space="0" w:color="auto"/>
              <w:bottom w:val="nil"/>
            </w:tcBorders>
            <w:vAlign w:val="center"/>
          </w:tcPr>
          <w:p w14:paraId="1BCC24E6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351</w:t>
            </w:r>
            <w:r>
              <w:rPr>
                <w:rFonts w:asciiTheme="minorHAnsi" w:hAnsiTheme="minorHAnsi"/>
                <w:lang w:val="en-US"/>
              </w:rPr>
              <w:t>,</w:t>
            </w:r>
            <w:r w:rsidRPr="00E40101">
              <w:rPr>
                <w:rFonts w:asciiTheme="minorHAnsi" w:hAnsiTheme="minorHAnsi"/>
                <w:lang w:val="en-US"/>
              </w:rPr>
              <w:t>868</w:t>
            </w:r>
          </w:p>
        </w:tc>
      </w:tr>
      <w:tr w:rsidR="00E06F76" w:rsidRPr="00E40101" w14:paraId="56E81D5F" w14:textId="77777777" w:rsidTr="008410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bottom w:val="single" w:sz="8" w:space="0" w:color="auto"/>
            </w:tcBorders>
          </w:tcPr>
          <w:p w14:paraId="61214B11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% infants adequately protected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5549C71C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98</w:t>
            </w:r>
            <w:r>
              <w:rPr>
                <w:rFonts w:asciiTheme="minorHAnsi" w:hAnsiTheme="minorHAnsi"/>
                <w:lang w:val="en-US"/>
              </w:rPr>
              <w:t>.</w:t>
            </w:r>
            <w:r w:rsidRPr="00E40101">
              <w:rPr>
                <w:rFonts w:asciiTheme="minorHAnsi" w:hAnsiTheme="minorHAnsi"/>
                <w:lang w:val="en-US"/>
              </w:rPr>
              <w:t>6 %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0A68584A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0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vAlign w:val="center"/>
          </w:tcPr>
          <w:p w14:paraId="600FBD90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98</w:t>
            </w:r>
            <w:r>
              <w:rPr>
                <w:rFonts w:asciiTheme="minorHAnsi" w:hAnsiTheme="minorHAnsi"/>
                <w:lang w:val="en-US"/>
              </w:rPr>
              <w:t>.</w:t>
            </w:r>
            <w:r w:rsidRPr="00E40101">
              <w:rPr>
                <w:rFonts w:asciiTheme="minorHAnsi" w:hAnsiTheme="minorHAnsi"/>
                <w:lang w:val="en-US"/>
              </w:rPr>
              <w:t>6 %</w:t>
            </w:r>
          </w:p>
        </w:tc>
      </w:tr>
      <w:tr w:rsidR="00E06F76" w:rsidRPr="00E40101" w14:paraId="3513DA6C" w14:textId="77777777" w:rsidTr="008410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BB9A1C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Clinical outcomes</w:t>
            </w:r>
          </w:p>
        </w:tc>
      </w:tr>
      <w:tr w:rsidR="00E06F76" w:rsidRPr="00E40101" w14:paraId="42B42D39" w14:textId="77777777" w:rsidTr="008410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sz="8" w:space="0" w:color="auto"/>
              <w:bottom w:val="nil"/>
            </w:tcBorders>
          </w:tcPr>
          <w:p w14:paraId="55AF2831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No. of cases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  <w:vAlign w:val="bottom"/>
          </w:tcPr>
          <w:p w14:paraId="3BA5BA2A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43,597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14:paraId="5FE3B958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237CC0">
              <w:t>69,378</w:t>
            </w:r>
          </w:p>
        </w:tc>
        <w:tc>
          <w:tcPr>
            <w:tcW w:w="2126" w:type="dxa"/>
            <w:tcBorders>
              <w:top w:val="single" w:sz="8" w:space="0" w:color="auto"/>
              <w:bottom w:val="nil"/>
            </w:tcBorders>
          </w:tcPr>
          <w:p w14:paraId="3E4A47E0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B56E44">
              <w:t>-25,781</w:t>
            </w:r>
          </w:p>
        </w:tc>
      </w:tr>
      <w:tr w:rsidR="00E06F76" w:rsidRPr="00E40101" w14:paraId="56752D26" w14:textId="77777777" w:rsidTr="008410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bottom w:val="nil"/>
            </w:tcBorders>
          </w:tcPr>
          <w:p w14:paraId="1537BD2D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RSV hospitalization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1661162E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7,340</w:t>
            </w:r>
          </w:p>
        </w:tc>
        <w:tc>
          <w:tcPr>
            <w:tcW w:w="1701" w:type="dxa"/>
            <w:tcBorders>
              <w:bottom w:val="nil"/>
            </w:tcBorders>
          </w:tcPr>
          <w:p w14:paraId="259CAA58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237CC0">
              <w:t>14,164</w:t>
            </w:r>
          </w:p>
        </w:tc>
        <w:tc>
          <w:tcPr>
            <w:tcW w:w="2126" w:type="dxa"/>
            <w:tcBorders>
              <w:bottom w:val="nil"/>
            </w:tcBorders>
          </w:tcPr>
          <w:p w14:paraId="063FBE53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B56E44">
              <w:t>-6,823</w:t>
            </w:r>
          </w:p>
        </w:tc>
      </w:tr>
      <w:tr w:rsidR="00E06F76" w:rsidRPr="00E40101" w14:paraId="699A03A8" w14:textId="77777777" w:rsidTr="008410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bottom w:val="nil"/>
            </w:tcBorders>
          </w:tcPr>
          <w:p w14:paraId="6851F114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RSV ED encounter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2A9A8A26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13,407</w:t>
            </w:r>
          </w:p>
        </w:tc>
        <w:tc>
          <w:tcPr>
            <w:tcW w:w="1701" w:type="dxa"/>
            <w:tcBorders>
              <w:bottom w:val="nil"/>
            </w:tcBorders>
          </w:tcPr>
          <w:p w14:paraId="05B28D47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237CC0">
              <w:t>20,337</w:t>
            </w:r>
          </w:p>
        </w:tc>
        <w:tc>
          <w:tcPr>
            <w:tcW w:w="2126" w:type="dxa"/>
            <w:tcBorders>
              <w:bottom w:val="nil"/>
            </w:tcBorders>
          </w:tcPr>
          <w:p w14:paraId="2DE29C7C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B56E44">
              <w:t>-6,930</w:t>
            </w:r>
          </w:p>
        </w:tc>
      </w:tr>
      <w:tr w:rsidR="00E06F76" w:rsidRPr="00E40101" w14:paraId="0A4047E8" w14:textId="77777777" w:rsidTr="008410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bottom w:val="nil"/>
            </w:tcBorders>
          </w:tcPr>
          <w:p w14:paraId="548B303A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RSV outpatient clinic encounter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7AC605FF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22,850</w:t>
            </w:r>
          </w:p>
        </w:tc>
        <w:tc>
          <w:tcPr>
            <w:tcW w:w="1701" w:type="dxa"/>
            <w:tcBorders>
              <w:bottom w:val="nil"/>
            </w:tcBorders>
          </w:tcPr>
          <w:p w14:paraId="19E0FB2E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237CC0">
              <w:t>34,878</w:t>
            </w:r>
          </w:p>
        </w:tc>
        <w:tc>
          <w:tcPr>
            <w:tcW w:w="2126" w:type="dxa"/>
            <w:tcBorders>
              <w:bottom w:val="nil"/>
            </w:tcBorders>
          </w:tcPr>
          <w:p w14:paraId="6710CAC8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B56E44">
              <w:t>-12,028</w:t>
            </w:r>
          </w:p>
        </w:tc>
      </w:tr>
      <w:tr w:rsidR="00E06F76" w:rsidRPr="00E40101" w14:paraId="2E246338" w14:textId="77777777" w:rsidTr="008410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bottom w:val="nil"/>
            </w:tcBorders>
          </w:tcPr>
          <w:p w14:paraId="5F133C50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No. of RSV-related deaths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7FFDA944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1701" w:type="dxa"/>
            <w:tcBorders>
              <w:bottom w:val="nil"/>
            </w:tcBorders>
          </w:tcPr>
          <w:p w14:paraId="41539E99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237CC0">
              <w:t>241</w:t>
            </w:r>
          </w:p>
        </w:tc>
        <w:tc>
          <w:tcPr>
            <w:tcW w:w="2126" w:type="dxa"/>
            <w:tcBorders>
              <w:bottom w:val="nil"/>
            </w:tcBorders>
          </w:tcPr>
          <w:p w14:paraId="3FF82807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B56E44">
              <w:t>-116</w:t>
            </w:r>
          </w:p>
        </w:tc>
      </w:tr>
      <w:tr w:rsidR="00E06F76" w:rsidRPr="00E40101" w14:paraId="1B3D2CAD" w14:textId="77777777" w:rsidTr="008410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bottom w:val="nil"/>
            </w:tcBorders>
          </w:tcPr>
          <w:p w14:paraId="44FF2A8B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Life years (discounted)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0C0FF01D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3,216,099</w:t>
            </w:r>
          </w:p>
        </w:tc>
        <w:tc>
          <w:tcPr>
            <w:tcW w:w="1701" w:type="dxa"/>
            <w:tcBorders>
              <w:bottom w:val="nil"/>
            </w:tcBorders>
          </w:tcPr>
          <w:p w14:paraId="5A7B454D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237CC0">
              <w:t>3,215,208</w:t>
            </w:r>
          </w:p>
        </w:tc>
        <w:tc>
          <w:tcPr>
            <w:tcW w:w="2126" w:type="dxa"/>
            <w:tcBorders>
              <w:bottom w:val="nil"/>
            </w:tcBorders>
          </w:tcPr>
          <w:p w14:paraId="461E80BA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B56E44">
              <w:t>892</w:t>
            </w:r>
          </w:p>
        </w:tc>
      </w:tr>
      <w:tr w:rsidR="00E06F76" w:rsidRPr="00E40101" w14:paraId="25A8C91E" w14:textId="77777777" w:rsidTr="008410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bottom w:val="single" w:sz="8" w:space="0" w:color="auto"/>
            </w:tcBorders>
          </w:tcPr>
          <w:p w14:paraId="14E798CE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QALYs (discounted)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bottom"/>
          </w:tcPr>
          <w:p w14:paraId="13DDD3E8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3,128,326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4017202E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237CC0">
              <w:t>3,127,245</w:t>
            </w: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14:paraId="523A67B1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B56E44">
              <w:t>1,081</w:t>
            </w:r>
          </w:p>
        </w:tc>
      </w:tr>
      <w:tr w:rsidR="00E06F76" w:rsidRPr="00E40101" w14:paraId="27C47518" w14:textId="77777777" w:rsidTr="008410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38593E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Economic outcomes (millions)</w:t>
            </w:r>
          </w:p>
        </w:tc>
      </w:tr>
      <w:tr w:rsidR="00E06F76" w:rsidRPr="009943E3" w14:paraId="72D4964E" w14:textId="77777777" w:rsidTr="008410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sz="8" w:space="0" w:color="auto"/>
              <w:bottom w:val="nil"/>
            </w:tcBorders>
          </w:tcPr>
          <w:p w14:paraId="36CCDDD4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Medical care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14:paraId="6C66EC20" w14:textId="77777777" w:rsidR="00E06F76" w:rsidRPr="009943E3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943E3">
              <w:rPr>
                <w:rFonts w:asciiTheme="minorHAnsi" w:hAnsiTheme="minorHAnsi"/>
              </w:rPr>
              <w:t xml:space="preserve"> $ 1</w:t>
            </w:r>
            <w:r>
              <w:rPr>
                <w:rFonts w:asciiTheme="minorHAnsi" w:hAnsiTheme="minorHAnsi"/>
              </w:rPr>
              <w:t>3</w:t>
            </w:r>
            <w:r w:rsidRPr="009943E3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</w:t>
            </w:r>
            <w:r w:rsidRPr="009943E3">
              <w:rPr>
                <w:rFonts w:asciiTheme="minorHAnsi" w:hAnsiTheme="minorHAnsi"/>
              </w:rPr>
              <w:t xml:space="preserve">2 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14:paraId="437D66DC" w14:textId="77777777" w:rsidR="00E06F76" w:rsidRPr="009943E3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943E3">
              <w:rPr>
                <w:rFonts w:asciiTheme="minorHAnsi" w:hAnsiTheme="minorHAnsi"/>
              </w:rPr>
              <w:t xml:space="preserve"> $ </w:t>
            </w:r>
            <w:r>
              <w:rPr>
                <w:rFonts w:asciiTheme="minorHAnsi" w:hAnsiTheme="minorHAnsi"/>
              </w:rPr>
              <w:t>25</w:t>
            </w:r>
            <w:r w:rsidRPr="009943E3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98</w:t>
            </w:r>
            <w:r w:rsidRPr="009943E3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bottom w:val="nil"/>
            </w:tcBorders>
          </w:tcPr>
          <w:p w14:paraId="3CDFDAAB" w14:textId="77777777" w:rsidR="00E06F76" w:rsidRPr="009943E3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943E3">
              <w:rPr>
                <w:rFonts w:asciiTheme="minorHAnsi" w:hAnsiTheme="minorHAnsi"/>
              </w:rPr>
              <w:t>-$ 1</w:t>
            </w:r>
            <w:r>
              <w:rPr>
                <w:rFonts w:asciiTheme="minorHAnsi" w:hAnsiTheme="minorHAnsi"/>
              </w:rPr>
              <w:t>2</w:t>
            </w:r>
            <w:r w:rsidRPr="009943E3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87</w:t>
            </w:r>
            <w:r w:rsidRPr="009943E3">
              <w:rPr>
                <w:rFonts w:asciiTheme="minorHAnsi" w:hAnsiTheme="minorHAnsi"/>
              </w:rPr>
              <w:t xml:space="preserve"> </w:t>
            </w:r>
          </w:p>
        </w:tc>
      </w:tr>
      <w:tr w:rsidR="00E06F76" w:rsidRPr="009943E3" w14:paraId="799697FC" w14:textId="77777777" w:rsidTr="008410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bottom w:val="nil"/>
            </w:tcBorders>
          </w:tcPr>
          <w:p w14:paraId="6097136A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Maternal vaccination</w:t>
            </w:r>
          </w:p>
        </w:tc>
        <w:tc>
          <w:tcPr>
            <w:tcW w:w="1701" w:type="dxa"/>
            <w:tcBorders>
              <w:bottom w:val="nil"/>
            </w:tcBorders>
          </w:tcPr>
          <w:p w14:paraId="1ED0A4B3" w14:textId="77777777" w:rsidR="00E06F76" w:rsidRPr="009943E3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943E3">
              <w:rPr>
                <w:rFonts w:asciiTheme="minorHAnsi" w:hAnsiTheme="minorHAnsi"/>
              </w:rPr>
              <w:t xml:space="preserve"> $ 18.24 </w:t>
            </w:r>
          </w:p>
        </w:tc>
        <w:tc>
          <w:tcPr>
            <w:tcW w:w="1701" w:type="dxa"/>
            <w:tcBorders>
              <w:bottom w:val="nil"/>
            </w:tcBorders>
          </w:tcPr>
          <w:p w14:paraId="454B1CAD" w14:textId="77777777" w:rsidR="00E06F76" w:rsidRPr="009943E3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943E3">
              <w:rPr>
                <w:rFonts w:asciiTheme="minorHAnsi" w:hAnsiTheme="minorHAnsi"/>
              </w:rPr>
              <w:t xml:space="preserve"> $ -   </w:t>
            </w:r>
          </w:p>
        </w:tc>
        <w:tc>
          <w:tcPr>
            <w:tcW w:w="2126" w:type="dxa"/>
            <w:tcBorders>
              <w:bottom w:val="nil"/>
            </w:tcBorders>
          </w:tcPr>
          <w:p w14:paraId="6D97F4C8" w14:textId="77777777" w:rsidR="00E06F76" w:rsidRPr="009943E3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943E3">
              <w:rPr>
                <w:rFonts w:asciiTheme="minorHAnsi" w:hAnsiTheme="minorHAnsi"/>
              </w:rPr>
              <w:t xml:space="preserve"> $ 18.24 </w:t>
            </w:r>
          </w:p>
        </w:tc>
      </w:tr>
      <w:tr w:rsidR="00E06F76" w:rsidRPr="009943E3" w14:paraId="311BBEB4" w14:textId="77777777" w:rsidTr="008410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il"/>
              <w:bottom w:val="single" w:sz="8" w:space="0" w:color="auto"/>
            </w:tcBorders>
          </w:tcPr>
          <w:p w14:paraId="21519E27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Total cost (Medical care + Maternal vaccination)</w:t>
            </w:r>
          </w:p>
        </w:tc>
        <w:tc>
          <w:tcPr>
            <w:tcW w:w="1701" w:type="dxa"/>
            <w:tcBorders>
              <w:top w:val="nil"/>
              <w:bottom w:val="single" w:sz="8" w:space="0" w:color="auto"/>
            </w:tcBorders>
          </w:tcPr>
          <w:p w14:paraId="532CFE88" w14:textId="77777777" w:rsidR="00E06F76" w:rsidRPr="009943E3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A38B3">
              <w:rPr>
                <w:rFonts w:asciiTheme="minorHAnsi" w:hAnsiTheme="minorHAnsi"/>
                <w:lang w:val="en-US"/>
              </w:rPr>
              <w:t xml:space="preserve"> </w:t>
            </w:r>
            <w:r w:rsidRPr="009943E3">
              <w:rPr>
                <w:rFonts w:asciiTheme="minorHAnsi" w:hAnsiTheme="minorHAnsi"/>
              </w:rPr>
              <w:t>$ 3</w:t>
            </w:r>
            <w:r>
              <w:rPr>
                <w:rFonts w:asciiTheme="minorHAnsi" w:hAnsiTheme="minorHAnsi"/>
              </w:rPr>
              <w:t>1</w:t>
            </w:r>
            <w:r w:rsidRPr="009943E3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36</w:t>
            </w:r>
            <w:r w:rsidRPr="009943E3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bottom w:val="single" w:sz="8" w:space="0" w:color="auto"/>
            </w:tcBorders>
          </w:tcPr>
          <w:p w14:paraId="002D8260" w14:textId="77777777" w:rsidR="00E06F76" w:rsidRPr="009943E3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943E3">
              <w:rPr>
                <w:rFonts w:asciiTheme="minorHAnsi" w:hAnsiTheme="minorHAnsi"/>
              </w:rPr>
              <w:t xml:space="preserve"> $ </w:t>
            </w:r>
            <w:r>
              <w:rPr>
                <w:rFonts w:asciiTheme="minorHAnsi" w:hAnsiTheme="minorHAnsi"/>
              </w:rPr>
              <w:t>25</w:t>
            </w:r>
            <w:r w:rsidRPr="009943E3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98</w:t>
            </w:r>
            <w:r w:rsidRPr="009943E3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bottom w:val="single" w:sz="8" w:space="0" w:color="auto"/>
            </w:tcBorders>
          </w:tcPr>
          <w:p w14:paraId="6CEF3D9E" w14:textId="77777777" w:rsidR="00E06F76" w:rsidRPr="009943E3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943E3">
              <w:rPr>
                <w:rFonts w:asciiTheme="minorHAnsi" w:hAnsiTheme="minorHAnsi"/>
              </w:rPr>
              <w:t xml:space="preserve"> $ </w:t>
            </w:r>
            <w:r>
              <w:rPr>
                <w:rFonts w:asciiTheme="minorHAnsi" w:hAnsiTheme="minorHAnsi"/>
              </w:rPr>
              <w:t>8</w:t>
            </w:r>
            <w:r w:rsidRPr="009943E3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94</w:t>
            </w:r>
            <w:r w:rsidRPr="009943E3">
              <w:rPr>
                <w:rFonts w:asciiTheme="minorHAnsi" w:hAnsiTheme="minorHAnsi"/>
              </w:rPr>
              <w:t xml:space="preserve"> </w:t>
            </w:r>
          </w:p>
        </w:tc>
      </w:tr>
      <w:tr w:rsidR="00E06F76" w:rsidRPr="00E40101" w14:paraId="7D9AE144" w14:textId="77777777" w:rsidTr="008410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106FBB43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ICER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14:paraId="296FB1D6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14:paraId="3D0636EF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</w:tcPr>
          <w:p w14:paraId="327640A6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</w:p>
        </w:tc>
      </w:tr>
      <w:tr w:rsidR="00E06F76" w:rsidRPr="000D6923" w14:paraId="01A890CE" w14:textId="77777777" w:rsidTr="008410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sz="8" w:space="0" w:color="auto"/>
              <w:bottom w:val="nil"/>
            </w:tcBorders>
          </w:tcPr>
          <w:p w14:paraId="39C0DA0D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lastRenderedPageBreak/>
              <w:t>Cost per LY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14:paraId="3679F160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Cost-effective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14:paraId="7F2DC2BE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126" w:type="dxa"/>
            <w:tcBorders>
              <w:top w:val="single" w:sz="8" w:space="0" w:color="auto"/>
              <w:bottom w:val="nil"/>
            </w:tcBorders>
          </w:tcPr>
          <w:p w14:paraId="1994EF2F" w14:textId="77777777" w:rsidR="00E06F76" w:rsidRPr="000D6923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$ 6,029</w:t>
            </w:r>
          </w:p>
        </w:tc>
      </w:tr>
      <w:tr w:rsidR="00E06F76" w:rsidRPr="000D6923" w14:paraId="003AECC1" w14:textId="77777777" w:rsidTr="008410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bottom w:val="single" w:sz="12" w:space="0" w:color="auto"/>
            </w:tcBorders>
            <w:vAlign w:val="center"/>
          </w:tcPr>
          <w:p w14:paraId="3AC7E130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rPr>
                <w:rFonts w:asciiTheme="minorHAnsi" w:hAnsiTheme="minorHAnsi"/>
                <w:lang w:val="en-US"/>
              </w:rPr>
            </w:pPr>
            <w:r w:rsidRPr="00E40101">
              <w:rPr>
                <w:rFonts w:asciiTheme="minorHAnsi" w:hAnsiTheme="minorHAnsi"/>
                <w:lang w:val="en-US"/>
              </w:rPr>
              <w:t>Cost per QALY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2116CAAD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26A24CB" w14:textId="77777777" w:rsidR="00E06F76" w:rsidRPr="00E40101" w:rsidRDefault="00E06F76" w:rsidP="00841074">
            <w:pPr>
              <w:pStyle w:val="BodyText"/>
              <w:spacing w:before="101" w:line="276" w:lineRule="auto"/>
              <w:ind w:right="20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3D124056" w14:textId="77777777" w:rsidR="00E06F76" w:rsidRPr="000D6923" w:rsidRDefault="00E06F76" w:rsidP="00841074">
            <w:pPr>
              <w:pStyle w:val="BodyText"/>
              <w:spacing w:before="101" w:line="276" w:lineRule="auto"/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 xml:space="preserve"> $ 4,974</w:t>
            </w:r>
          </w:p>
        </w:tc>
      </w:tr>
    </w:tbl>
    <w:p w14:paraId="34C5A26A" w14:textId="6A13EE50" w:rsidR="00BC65DC" w:rsidRPr="00E06F76" w:rsidRDefault="00E06F76" w:rsidP="00BC65DC">
      <w:pPr>
        <w:pStyle w:val="NormalWeb"/>
        <w:spacing w:line="276" w:lineRule="auto"/>
        <w:jc w:val="both"/>
        <w:rPr>
          <w:rFonts w:asciiTheme="minorHAnsi" w:hAnsiTheme="minorHAnsi"/>
          <w:b/>
          <w:bCs/>
          <w:sz w:val="22"/>
          <w:szCs w:val="22"/>
          <w:lang w:val="en-US"/>
        </w:rPr>
      </w:pPr>
      <w:r w:rsidRPr="00E40101">
        <w:rPr>
          <w:lang w:val="en-US"/>
        </w:rPr>
        <w:br w:type="textWrapping" w:clear="all"/>
      </w:r>
      <w:r w:rsidR="00BC65DC" w:rsidRPr="00FB1761">
        <w:rPr>
          <w:rFonts w:asciiTheme="minorHAnsi" w:hAnsiTheme="minorHAnsi"/>
          <w:b/>
          <w:bCs/>
          <w:sz w:val="22"/>
          <w:szCs w:val="22"/>
          <w:lang w:val="en-US"/>
        </w:rPr>
        <w:t>Economic Outcomes:</w:t>
      </w:r>
      <w:r w:rsidR="00786357" w:rsidRPr="00FB1761">
        <w:rPr>
          <w:rFonts w:asciiTheme="minorHAnsi" w:hAnsiTheme="minorHAnsi"/>
          <w:b/>
          <w:bCs/>
          <w:sz w:val="22"/>
          <w:szCs w:val="22"/>
          <w:lang w:val="en-US"/>
        </w:rPr>
        <w:t xml:space="preserve"> </w:t>
      </w:r>
      <w:r w:rsidR="00C71F03" w:rsidRPr="00C71F03">
        <w:rPr>
          <w:rFonts w:asciiTheme="minorHAnsi" w:hAnsiTheme="minorHAnsi"/>
          <w:sz w:val="22"/>
          <w:szCs w:val="22"/>
          <w:lang w:val="en-US"/>
        </w:rPr>
        <w:t xml:space="preserve">In terms of direct medical costs, they would be reduced to </w:t>
      </w:r>
      <w:r w:rsidR="00DE01CB">
        <w:rPr>
          <w:rFonts w:asciiTheme="minorHAnsi" w:hAnsiTheme="minorHAnsi"/>
          <w:sz w:val="22"/>
          <w:szCs w:val="22"/>
          <w:lang w:val="en-US"/>
        </w:rPr>
        <w:t>USD 1</w:t>
      </w:r>
      <w:r w:rsidR="000F0815">
        <w:rPr>
          <w:rFonts w:asciiTheme="minorHAnsi" w:hAnsiTheme="minorHAnsi"/>
          <w:sz w:val="22"/>
          <w:szCs w:val="22"/>
          <w:lang w:val="en-US"/>
        </w:rPr>
        <w:t>3</w:t>
      </w:r>
      <w:r w:rsidR="00DE01CB">
        <w:rPr>
          <w:rFonts w:asciiTheme="minorHAnsi" w:hAnsiTheme="minorHAnsi"/>
          <w:sz w:val="22"/>
          <w:szCs w:val="22"/>
          <w:lang w:val="en-US"/>
        </w:rPr>
        <w:t>.</w:t>
      </w:r>
      <w:r w:rsidR="000F0815">
        <w:rPr>
          <w:rFonts w:asciiTheme="minorHAnsi" w:hAnsiTheme="minorHAnsi"/>
          <w:sz w:val="22"/>
          <w:szCs w:val="22"/>
          <w:lang w:val="en-US"/>
        </w:rPr>
        <w:t>1</w:t>
      </w:r>
      <w:r w:rsidR="00DE01CB">
        <w:rPr>
          <w:rFonts w:asciiTheme="minorHAnsi" w:hAnsiTheme="minorHAnsi"/>
          <w:sz w:val="22"/>
          <w:szCs w:val="22"/>
          <w:lang w:val="en-US"/>
        </w:rPr>
        <w:t xml:space="preserve"> million, which is a 4</w:t>
      </w:r>
      <w:r w:rsidR="00F326C2">
        <w:rPr>
          <w:rFonts w:asciiTheme="minorHAnsi" w:hAnsiTheme="minorHAnsi"/>
          <w:sz w:val="22"/>
          <w:szCs w:val="22"/>
          <w:lang w:val="en-US"/>
        </w:rPr>
        <w:t>9</w:t>
      </w:r>
      <w:r w:rsidR="00DE01CB">
        <w:rPr>
          <w:rFonts w:asciiTheme="minorHAnsi" w:hAnsiTheme="minorHAnsi"/>
          <w:sz w:val="22"/>
          <w:szCs w:val="22"/>
          <w:lang w:val="en-US"/>
        </w:rPr>
        <w:t>.</w:t>
      </w:r>
      <w:r w:rsidR="00F326C2">
        <w:rPr>
          <w:rFonts w:asciiTheme="minorHAnsi" w:hAnsiTheme="minorHAnsi"/>
          <w:sz w:val="22"/>
          <w:szCs w:val="22"/>
          <w:lang w:val="en-US"/>
        </w:rPr>
        <w:t>5</w:t>
      </w:r>
      <w:r w:rsidR="00DE01CB">
        <w:rPr>
          <w:rFonts w:asciiTheme="minorHAnsi" w:hAnsiTheme="minorHAnsi"/>
          <w:sz w:val="22"/>
          <w:szCs w:val="22"/>
          <w:lang w:val="en-US"/>
        </w:rPr>
        <w:t xml:space="preserve">% reduction compared to the scenario of not vaccinating (USD </w:t>
      </w:r>
      <w:r w:rsidR="00F326C2">
        <w:rPr>
          <w:rFonts w:asciiTheme="minorHAnsi" w:hAnsiTheme="minorHAnsi"/>
          <w:sz w:val="22"/>
          <w:szCs w:val="22"/>
          <w:lang w:val="en-US"/>
        </w:rPr>
        <w:t>26.0</w:t>
      </w:r>
      <w:r w:rsidR="00DE01CB">
        <w:rPr>
          <w:rFonts w:asciiTheme="minorHAnsi" w:hAnsiTheme="minorHAnsi"/>
          <w:sz w:val="22"/>
          <w:szCs w:val="22"/>
          <w:lang w:val="en-US"/>
        </w:rPr>
        <w:t xml:space="preserve"> million</w:t>
      </w:r>
      <w:r w:rsidR="00C71F03" w:rsidRPr="00C71F03">
        <w:rPr>
          <w:rFonts w:asciiTheme="minorHAnsi" w:hAnsiTheme="minorHAnsi"/>
          <w:sz w:val="22"/>
          <w:szCs w:val="22"/>
          <w:lang w:val="en-US"/>
        </w:rPr>
        <w:t xml:space="preserve">). </w:t>
      </w:r>
      <w:r w:rsidR="00865E16">
        <w:rPr>
          <w:rFonts w:asciiTheme="minorHAnsi" w:hAnsiTheme="minorHAnsi"/>
          <w:sz w:val="22"/>
          <w:szCs w:val="22"/>
          <w:lang w:val="en-US"/>
        </w:rPr>
        <w:t>Additionally</w:t>
      </w:r>
      <w:r w:rsidR="00C056F7">
        <w:rPr>
          <w:rFonts w:asciiTheme="minorHAnsi" w:hAnsiTheme="minorHAnsi"/>
          <w:sz w:val="22"/>
          <w:szCs w:val="22"/>
          <w:lang w:val="en-US"/>
        </w:rPr>
        <w:t xml:space="preserve">, </w:t>
      </w:r>
      <w:r w:rsidR="00C71F03" w:rsidRPr="00C71F03">
        <w:rPr>
          <w:rFonts w:asciiTheme="minorHAnsi" w:hAnsiTheme="minorHAnsi"/>
          <w:sz w:val="22"/>
          <w:szCs w:val="22"/>
          <w:lang w:val="en-US"/>
        </w:rPr>
        <w:t xml:space="preserve">the cost of implementing a maternal vaccination strategy with RSVpreF would amount to </w:t>
      </w:r>
      <w:r w:rsidR="00DE01CB">
        <w:rPr>
          <w:rFonts w:asciiTheme="minorHAnsi" w:hAnsiTheme="minorHAnsi"/>
          <w:sz w:val="22"/>
          <w:szCs w:val="22"/>
          <w:lang w:val="en-US"/>
        </w:rPr>
        <w:t>USD 18.2 million</w:t>
      </w:r>
      <w:r w:rsidR="00C71F03" w:rsidRPr="00C71F03">
        <w:rPr>
          <w:rFonts w:asciiTheme="minorHAnsi" w:hAnsiTheme="minorHAnsi"/>
          <w:sz w:val="22"/>
          <w:szCs w:val="22"/>
          <w:lang w:val="en-US"/>
        </w:rPr>
        <w:t>.</w:t>
      </w:r>
    </w:p>
    <w:p w14:paraId="1CF47F7F" w14:textId="7C97EC7A" w:rsidR="00BC65DC" w:rsidRDefault="00BC65DC" w:rsidP="00BC65DC">
      <w:pPr>
        <w:pStyle w:val="NormalWeb"/>
        <w:spacing w:line="276" w:lineRule="auto"/>
        <w:jc w:val="both"/>
        <w:rPr>
          <w:rFonts w:asciiTheme="minorHAnsi" w:hAnsiTheme="minorHAnsi"/>
          <w:sz w:val="22"/>
          <w:szCs w:val="22"/>
          <w:lang w:val="en-US"/>
        </w:rPr>
      </w:pPr>
      <w:r w:rsidRPr="00FB1761">
        <w:rPr>
          <w:rFonts w:asciiTheme="minorHAnsi" w:hAnsiTheme="minorHAnsi"/>
          <w:b/>
          <w:bCs/>
          <w:sz w:val="22"/>
          <w:szCs w:val="22"/>
          <w:lang w:val="en-US"/>
        </w:rPr>
        <w:t>Deterministic Sensitivity Analysis (DSA):</w:t>
      </w:r>
      <w:r w:rsidR="00786357" w:rsidRPr="00FB1761">
        <w:rPr>
          <w:rFonts w:asciiTheme="minorHAnsi" w:hAnsiTheme="minorHAnsi"/>
          <w:b/>
          <w:bCs/>
          <w:sz w:val="22"/>
          <w:szCs w:val="22"/>
          <w:lang w:val="en-US"/>
        </w:rPr>
        <w:t xml:space="preserve"> </w:t>
      </w:r>
      <w:r w:rsidRPr="00FB1761">
        <w:rPr>
          <w:rFonts w:asciiTheme="minorHAnsi" w:hAnsiTheme="minorHAnsi"/>
          <w:sz w:val="22"/>
          <w:szCs w:val="22"/>
          <w:lang w:val="en-US"/>
        </w:rPr>
        <w:t xml:space="preserve">The one-way sensitivity analysis (OWSA), illustrated in </w:t>
      </w:r>
      <w:r w:rsidRPr="00FB1761">
        <w:rPr>
          <w:rFonts w:asciiTheme="minorHAnsi" w:hAnsiTheme="minorHAnsi"/>
          <w:i/>
          <w:iCs/>
          <w:sz w:val="22"/>
          <w:szCs w:val="22"/>
          <w:lang w:val="en-US"/>
        </w:rPr>
        <w:t xml:space="preserve">Figure </w:t>
      </w:r>
      <w:r w:rsidR="0080317B">
        <w:rPr>
          <w:rFonts w:asciiTheme="minorHAnsi" w:hAnsiTheme="minorHAnsi"/>
          <w:i/>
          <w:iCs/>
          <w:sz w:val="22"/>
          <w:szCs w:val="22"/>
          <w:lang w:val="en-US"/>
        </w:rPr>
        <w:t>S</w:t>
      </w:r>
      <w:r w:rsidRPr="00FB1761">
        <w:rPr>
          <w:rFonts w:asciiTheme="minorHAnsi" w:hAnsiTheme="minorHAnsi"/>
          <w:i/>
          <w:iCs/>
          <w:sz w:val="22"/>
          <w:szCs w:val="22"/>
          <w:lang w:val="en-US"/>
        </w:rPr>
        <w:t>1</w:t>
      </w:r>
      <w:r w:rsidRPr="00FB1761">
        <w:rPr>
          <w:rFonts w:asciiTheme="minorHAnsi" w:hAnsiTheme="minorHAnsi"/>
          <w:sz w:val="22"/>
          <w:szCs w:val="22"/>
          <w:lang w:val="en-US"/>
        </w:rPr>
        <w:t xml:space="preserve"> (Tornado Diagram), revealed that the model was most sensitive to changes in vaccine effectiveness, RSV hospitalization rates</w:t>
      </w:r>
      <w:r w:rsidR="00DE01CB">
        <w:rPr>
          <w:rFonts w:asciiTheme="minorHAnsi" w:hAnsiTheme="minorHAnsi"/>
          <w:sz w:val="22"/>
          <w:szCs w:val="22"/>
          <w:lang w:val="en-US"/>
        </w:rPr>
        <w:t>,</w:t>
      </w:r>
      <w:r w:rsidR="0050654C">
        <w:rPr>
          <w:rFonts w:asciiTheme="minorHAnsi" w:hAnsiTheme="minorHAnsi"/>
          <w:sz w:val="22"/>
          <w:szCs w:val="22"/>
          <w:lang w:val="en-US"/>
        </w:rPr>
        <w:t xml:space="preserve"> and RSV hospitalization costs</w:t>
      </w:r>
      <w:r w:rsidRPr="00FB1761">
        <w:rPr>
          <w:rFonts w:asciiTheme="minorHAnsi" w:hAnsiTheme="minorHAnsi"/>
          <w:sz w:val="22"/>
          <w:szCs w:val="22"/>
          <w:lang w:val="en-US"/>
        </w:rPr>
        <w:t>.</w:t>
      </w:r>
      <w:r w:rsidR="0050654C">
        <w:rPr>
          <w:rFonts w:asciiTheme="minorHAnsi" w:hAnsiTheme="minorHAnsi"/>
          <w:sz w:val="22"/>
          <w:szCs w:val="22"/>
          <w:lang w:val="en-US"/>
        </w:rPr>
        <w:t xml:space="preserve"> A</w:t>
      </w:r>
      <w:r w:rsidR="0050654C" w:rsidRPr="00FB1761">
        <w:rPr>
          <w:rFonts w:asciiTheme="minorHAnsi" w:hAnsiTheme="minorHAnsi"/>
          <w:sz w:val="22"/>
          <w:szCs w:val="22"/>
          <w:lang w:val="en-US"/>
        </w:rPr>
        <w:t>lthough</w:t>
      </w:r>
      <w:r w:rsidRPr="00FB1761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50654C">
        <w:rPr>
          <w:rFonts w:asciiTheme="minorHAnsi" w:hAnsiTheme="minorHAnsi"/>
          <w:sz w:val="22"/>
          <w:szCs w:val="22"/>
          <w:lang w:val="en-US"/>
        </w:rPr>
        <w:t>a</w:t>
      </w:r>
      <w:r w:rsidRPr="00FB1761">
        <w:rPr>
          <w:rFonts w:asciiTheme="minorHAnsi" w:hAnsiTheme="minorHAnsi"/>
          <w:sz w:val="22"/>
          <w:szCs w:val="22"/>
          <w:lang w:val="en-US"/>
        </w:rPr>
        <w:t>djustments of ±25</w:t>
      </w:r>
      <w:r w:rsidR="000B10BE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FB1761">
        <w:rPr>
          <w:rFonts w:asciiTheme="minorHAnsi" w:hAnsiTheme="minorHAnsi"/>
          <w:sz w:val="22"/>
          <w:szCs w:val="22"/>
          <w:lang w:val="en-US"/>
        </w:rPr>
        <w:t xml:space="preserve">% in these parameters </w:t>
      </w:r>
      <w:r w:rsidR="00D5522A">
        <w:rPr>
          <w:rFonts w:asciiTheme="minorHAnsi" w:hAnsiTheme="minorHAnsi"/>
          <w:sz w:val="22"/>
          <w:szCs w:val="22"/>
          <w:lang w:val="en-US"/>
        </w:rPr>
        <w:t>affected</w:t>
      </w:r>
      <w:r w:rsidRPr="00FB1761">
        <w:rPr>
          <w:rFonts w:asciiTheme="minorHAnsi" w:hAnsiTheme="minorHAnsi"/>
          <w:sz w:val="22"/>
          <w:szCs w:val="22"/>
          <w:lang w:val="en-US"/>
        </w:rPr>
        <w:t xml:space="preserve"> the ICER, the strategy remained cost-effective across most scenarios.</w:t>
      </w:r>
    </w:p>
    <w:p w14:paraId="3556424D" w14:textId="77777777" w:rsidR="0080317B" w:rsidRPr="00E40101" w:rsidRDefault="0080317B" w:rsidP="0080317B">
      <w:pPr>
        <w:ind w:left="0"/>
        <w:jc w:val="both"/>
        <w:rPr>
          <w:rFonts w:cs="Times New Roman"/>
          <w:i/>
          <w:iCs/>
          <w:sz w:val="24"/>
          <w:szCs w:val="24"/>
          <w:lang w:val="en-US"/>
        </w:rPr>
      </w:pPr>
      <w:r w:rsidRPr="00616124">
        <w:rPr>
          <w:rFonts w:cs="Times New Roman"/>
          <w:b/>
          <w:bCs/>
          <w:i/>
          <w:iCs/>
          <w:sz w:val="24"/>
          <w:szCs w:val="24"/>
          <w:lang w:val="en-US"/>
        </w:rPr>
        <w:t>Figure S1. Tornado diagram</w:t>
      </w:r>
      <w:r>
        <w:rPr>
          <w:rFonts w:cs="Times New Roman"/>
          <w:i/>
          <w:iCs/>
          <w:sz w:val="24"/>
          <w:szCs w:val="24"/>
          <w:lang w:val="en-US"/>
        </w:rPr>
        <w:t>.</w:t>
      </w:r>
      <w:r w:rsidRPr="00E40101">
        <w:rPr>
          <w:rFonts w:cs="Times New Roman"/>
          <w:i/>
          <w:iCs/>
          <w:sz w:val="24"/>
          <w:szCs w:val="24"/>
          <w:lang w:val="en-US"/>
        </w:rPr>
        <w:t xml:space="preserve"> Tornado diagram for the outcomes of the DSA.</w:t>
      </w:r>
    </w:p>
    <w:p w14:paraId="70603175" w14:textId="7850C6EC" w:rsidR="0080317B" w:rsidRDefault="0080317B" w:rsidP="0080317B">
      <w:pPr>
        <w:jc w:val="center"/>
        <w:rPr>
          <w:lang w:val="en-US"/>
        </w:rPr>
      </w:pPr>
      <w:r w:rsidRPr="00F7420A">
        <w:rPr>
          <w:noProof/>
          <w:lang w:val="en-US"/>
        </w:rPr>
        <w:drawing>
          <wp:inline distT="0" distB="0" distL="0" distR="0" wp14:anchorId="1DCC2B9F" wp14:editId="3CB235E6">
            <wp:extent cx="5566867" cy="3455067"/>
            <wp:effectExtent l="0" t="0" r="0" b="0"/>
            <wp:docPr id="351674044" name="Picture 1" descr="A graph with blue and red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674044" name="Picture 1" descr="A graph with blue and red bars&#10;&#10;AI-generated content may be incorrect."/>
                    <pic:cNvPicPr/>
                  </pic:nvPicPr>
                  <pic:blipFill rotWithShape="1">
                    <a:blip r:embed="rId5"/>
                    <a:srcRect r="1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391" cy="3457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A6507C" w14:textId="77777777" w:rsidR="0080317B" w:rsidRPr="00FB1761" w:rsidRDefault="0080317B" w:rsidP="0080317B">
      <w:pPr>
        <w:jc w:val="center"/>
        <w:rPr>
          <w:lang w:val="en-US"/>
        </w:rPr>
      </w:pPr>
    </w:p>
    <w:p w14:paraId="216AFC88" w14:textId="027278FB" w:rsidR="00D3590D" w:rsidRDefault="00BC65DC" w:rsidP="0080317B">
      <w:pPr>
        <w:pStyle w:val="NormalWeb"/>
        <w:spacing w:line="276" w:lineRule="auto"/>
        <w:jc w:val="both"/>
        <w:rPr>
          <w:b/>
          <w:bCs/>
          <w:i/>
          <w:iCs/>
          <w:lang w:val="en-US"/>
        </w:rPr>
      </w:pPr>
      <w:r w:rsidRPr="00FB1761">
        <w:rPr>
          <w:rFonts w:asciiTheme="minorHAnsi" w:hAnsiTheme="minorHAnsi"/>
          <w:b/>
          <w:bCs/>
          <w:sz w:val="22"/>
          <w:szCs w:val="22"/>
          <w:lang w:val="en-US"/>
        </w:rPr>
        <w:t>Probabilistic Sensitivity Analysis (PSA):</w:t>
      </w:r>
      <w:r w:rsidR="00786357" w:rsidRPr="00FB1761">
        <w:rPr>
          <w:rFonts w:asciiTheme="minorHAnsi" w:hAnsiTheme="minorHAnsi"/>
          <w:b/>
          <w:bCs/>
          <w:sz w:val="22"/>
          <w:szCs w:val="22"/>
          <w:lang w:val="en-US"/>
        </w:rPr>
        <w:t xml:space="preserve"> </w:t>
      </w:r>
      <w:r w:rsidRPr="00FB1761">
        <w:rPr>
          <w:rFonts w:asciiTheme="minorHAnsi" w:hAnsiTheme="minorHAnsi"/>
          <w:sz w:val="22"/>
          <w:szCs w:val="22"/>
          <w:lang w:val="en-US"/>
        </w:rPr>
        <w:t xml:space="preserve">The probabilistic sensitivity analysis (PSA) assessed the combined uncertainty of model parameters. The cost-effectiveness acceptability curve </w:t>
      </w:r>
      <w:r w:rsidRPr="00FB1761">
        <w:rPr>
          <w:rFonts w:asciiTheme="minorHAnsi" w:hAnsiTheme="minorHAnsi"/>
          <w:sz w:val="22"/>
          <w:szCs w:val="22"/>
          <w:lang w:val="en-US"/>
        </w:rPr>
        <w:lastRenderedPageBreak/>
        <w:t xml:space="preserve">(CEAC), shown in </w:t>
      </w:r>
      <w:r w:rsidRPr="00FB1761">
        <w:rPr>
          <w:rFonts w:asciiTheme="minorHAnsi" w:hAnsiTheme="minorHAnsi"/>
          <w:i/>
          <w:iCs/>
          <w:sz w:val="22"/>
          <w:szCs w:val="22"/>
          <w:lang w:val="en-US"/>
        </w:rPr>
        <w:t xml:space="preserve">Figure </w:t>
      </w:r>
      <w:r w:rsidR="0080317B">
        <w:rPr>
          <w:rFonts w:asciiTheme="minorHAnsi" w:hAnsiTheme="minorHAnsi"/>
          <w:i/>
          <w:iCs/>
          <w:sz w:val="22"/>
          <w:szCs w:val="22"/>
          <w:lang w:val="en-US"/>
        </w:rPr>
        <w:t>S</w:t>
      </w:r>
      <w:r w:rsidRPr="00FB1761">
        <w:rPr>
          <w:rFonts w:asciiTheme="minorHAnsi" w:hAnsiTheme="minorHAnsi"/>
          <w:i/>
          <w:iCs/>
          <w:sz w:val="22"/>
          <w:szCs w:val="22"/>
          <w:lang w:val="en-US"/>
        </w:rPr>
        <w:t>2</w:t>
      </w:r>
      <w:r w:rsidRPr="00FB1761">
        <w:rPr>
          <w:rFonts w:asciiTheme="minorHAnsi" w:hAnsiTheme="minorHAnsi"/>
          <w:sz w:val="22"/>
          <w:szCs w:val="22"/>
          <w:lang w:val="en-US"/>
        </w:rPr>
        <w:t>, indicated that at the current WTP threshold, RSVpreF has a 6</w:t>
      </w:r>
      <w:r w:rsidR="00F57ADD">
        <w:rPr>
          <w:rFonts w:asciiTheme="minorHAnsi" w:hAnsiTheme="minorHAnsi"/>
          <w:sz w:val="22"/>
          <w:szCs w:val="22"/>
          <w:lang w:val="en-US"/>
        </w:rPr>
        <w:t>1</w:t>
      </w:r>
      <w:r w:rsidRPr="00FB1761">
        <w:rPr>
          <w:rFonts w:asciiTheme="minorHAnsi" w:hAnsiTheme="minorHAnsi"/>
          <w:sz w:val="22"/>
          <w:szCs w:val="22"/>
          <w:lang w:val="en-US"/>
        </w:rPr>
        <w:t>.</w:t>
      </w:r>
      <w:r w:rsidR="00F57ADD">
        <w:rPr>
          <w:rFonts w:asciiTheme="minorHAnsi" w:hAnsiTheme="minorHAnsi"/>
          <w:sz w:val="22"/>
          <w:szCs w:val="22"/>
          <w:lang w:val="en-US"/>
        </w:rPr>
        <w:t>1</w:t>
      </w:r>
      <w:r w:rsidR="000B10BE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FB1761">
        <w:rPr>
          <w:rFonts w:asciiTheme="minorHAnsi" w:hAnsiTheme="minorHAnsi"/>
          <w:sz w:val="22"/>
          <w:szCs w:val="22"/>
          <w:lang w:val="en-US"/>
        </w:rPr>
        <w:t xml:space="preserve">% probability of being </w:t>
      </w:r>
      <w:r w:rsidR="00806CD5">
        <w:rPr>
          <w:rFonts w:asciiTheme="minorHAnsi" w:hAnsiTheme="minorHAnsi"/>
          <w:sz w:val="22"/>
          <w:szCs w:val="22"/>
          <w:lang w:val="en-US"/>
        </w:rPr>
        <w:t xml:space="preserve">a </w:t>
      </w:r>
      <w:r w:rsidR="000B10BE" w:rsidRPr="00FB1761">
        <w:rPr>
          <w:rFonts w:asciiTheme="minorHAnsi" w:hAnsiTheme="minorHAnsi"/>
          <w:sz w:val="22"/>
          <w:szCs w:val="22"/>
          <w:lang w:val="en-US"/>
        </w:rPr>
        <w:t>cost</w:t>
      </w:r>
      <w:r w:rsidRPr="00FB1761">
        <w:rPr>
          <w:rFonts w:asciiTheme="minorHAnsi" w:hAnsiTheme="minorHAnsi"/>
          <w:sz w:val="22"/>
          <w:szCs w:val="22"/>
          <w:lang w:val="en-US"/>
        </w:rPr>
        <w:t>-effective intervention.</w:t>
      </w:r>
    </w:p>
    <w:p w14:paraId="71F71F87" w14:textId="4C87FB05" w:rsidR="001853D8" w:rsidRPr="00E40101" w:rsidRDefault="001853D8" w:rsidP="00142BC5">
      <w:pPr>
        <w:ind w:left="0"/>
        <w:jc w:val="both"/>
        <w:rPr>
          <w:rFonts w:cs="Times New Roman"/>
          <w:i/>
          <w:iCs/>
          <w:sz w:val="24"/>
          <w:szCs w:val="24"/>
          <w:lang w:val="en-US"/>
        </w:rPr>
      </w:pPr>
      <w:r w:rsidRPr="00616124"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Figure </w:t>
      </w:r>
      <w:r w:rsidR="00A02255" w:rsidRPr="00616124">
        <w:rPr>
          <w:rFonts w:cs="Times New Roman"/>
          <w:b/>
          <w:bCs/>
          <w:i/>
          <w:iCs/>
          <w:sz w:val="24"/>
          <w:szCs w:val="24"/>
          <w:lang w:val="en-US"/>
        </w:rPr>
        <w:t>S</w:t>
      </w:r>
      <w:r w:rsidRPr="00616124"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2. </w:t>
      </w:r>
      <w:r w:rsidR="00616124" w:rsidRPr="00616124">
        <w:rPr>
          <w:rFonts w:cs="Times New Roman"/>
          <w:b/>
          <w:bCs/>
          <w:i/>
          <w:iCs/>
          <w:sz w:val="24"/>
          <w:szCs w:val="24"/>
          <w:lang w:val="en-US"/>
        </w:rPr>
        <w:t>Cost-effectiveness acceptability curve</w:t>
      </w:r>
      <w:r w:rsidR="00616124">
        <w:rPr>
          <w:rFonts w:cs="Times New Roman"/>
          <w:i/>
          <w:iCs/>
          <w:sz w:val="24"/>
          <w:szCs w:val="24"/>
          <w:lang w:val="en-US"/>
        </w:rPr>
        <w:t xml:space="preserve">. </w:t>
      </w:r>
      <w:r w:rsidRPr="00E40101">
        <w:rPr>
          <w:rFonts w:cs="Times New Roman"/>
          <w:i/>
          <w:iCs/>
          <w:sz w:val="24"/>
          <w:szCs w:val="24"/>
          <w:lang w:val="en-US"/>
        </w:rPr>
        <w:t>Cost-effectiveness acceptability curve</w:t>
      </w:r>
      <w:r w:rsidR="00737228">
        <w:rPr>
          <w:rFonts w:cs="Times New Roman"/>
          <w:i/>
          <w:iCs/>
          <w:sz w:val="24"/>
          <w:szCs w:val="24"/>
          <w:lang w:val="en-US"/>
        </w:rPr>
        <w:t xml:space="preserve"> for RSVpreF against no intervention</w:t>
      </w:r>
      <w:r w:rsidRPr="00E40101">
        <w:rPr>
          <w:rFonts w:cs="Times New Roman"/>
          <w:i/>
          <w:iCs/>
          <w:sz w:val="24"/>
          <w:szCs w:val="24"/>
          <w:lang w:val="en-US"/>
        </w:rPr>
        <w:t>.</w:t>
      </w:r>
    </w:p>
    <w:p w14:paraId="3081685E" w14:textId="7764D340" w:rsidR="001853D8" w:rsidRPr="00E40101" w:rsidRDefault="005845DD" w:rsidP="001853D8">
      <w:pPr>
        <w:rPr>
          <w:lang w:val="en-US"/>
        </w:rPr>
      </w:pPr>
      <w:r w:rsidRPr="005845DD">
        <w:rPr>
          <w:noProof/>
          <w:lang w:val="en-US"/>
        </w:rPr>
        <w:drawing>
          <wp:inline distT="0" distB="0" distL="0" distR="0" wp14:anchorId="72094797" wp14:editId="62ADACC8">
            <wp:extent cx="5426228" cy="2143354"/>
            <wp:effectExtent l="0" t="0" r="3175" b="9525"/>
            <wp:docPr id="1858512880" name="Picture 1" descr="A graph of a person with a blu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512880" name="Picture 1" descr="A graph of a person with a blue lin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9423" cy="2144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3AED3" w14:textId="307E0E2E" w:rsidR="001853D8" w:rsidRPr="006E37CC" w:rsidRDefault="001853D8" w:rsidP="006E37CC">
      <w:pPr>
        <w:spacing w:line="276" w:lineRule="auto"/>
        <w:ind w:left="0"/>
        <w:rPr>
          <w:rFonts w:cs="Times New Roman"/>
          <w:lang w:val="en-US"/>
        </w:rPr>
      </w:pPr>
    </w:p>
    <w:sectPr w:rsidR="001853D8" w:rsidRPr="006E37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A43BB"/>
    <w:multiLevelType w:val="hybridMultilevel"/>
    <w:tmpl w:val="51B64CB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E40F5"/>
    <w:multiLevelType w:val="hybridMultilevel"/>
    <w:tmpl w:val="4ED47794"/>
    <w:lvl w:ilvl="0" w:tplc="240A000F">
      <w:start w:val="1"/>
      <w:numFmt w:val="decimal"/>
      <w:lvlText w:val="%1."/>
      <w:lvlJc w:val="left"/>
      <w:pPr>
        <w:ind w:left="1077" w:hanging="360"/>
      </w:pPr>
    </w:lvl>
    <w:lvl w:ilvl="1" w:tplc="240A0019" w:tentative="1">
      <w:start w:val="1"/>
      <w:numFmt w:val="lowerLetter"/>
      <w:lvlText w:val="%2."/>
      <w:lvlJc w:val="left"/>
      <w:pPr>
        <w:ind w:left="1797" w:hanging="360"/>
      </w:pPr>
    </w:lvl>
    <w:lvl w:ilvl="2" w:tplc="240A001B" w:tentative="1">
      <w:start w:val="1"/>
      <w:numFmt w:val="lowerRoman"/>
      <w:lvlText w:val="%3."/>
      <w:lvlJc w:val="right"/>
      <w:pPr>
        <w:ind w:left="2517" w:hanging="180"/>
      </w:pPr>
    </w:lvl>
    <w:lvl w:ilvl="3" w:tplc="240A000F" w:tentative="1">
      <w:start w:val="1"/>
      <w:numFmt w:val="decimal"/>
      <w:lvlText w:val="%4."/>
      <w:lvlJc w:val="left"/>
      <w:pPr>
        <w:ind w:left="3237" w:hanging="360"/>
      </w:pPr>
    </w:lvl>
    <w:lvl w:ilvl="4" w:tplc="240A0019" w:tentative="1">
      <w:start w:val="1"/>
      <w:numFmt w:val="lowerLetter"/>
      <w:lvlText w:val="%5."/>
      <w:lvlJc w:val="left"/>
      <w:pPr>
        <w:ind w:left="3957" w:hanging="360"/>
      </w:pPr>
    </w:lvl>
    <w:lvl w:ilvl="5" w:tplc="240A001B" w:tentative="1">
      <w:start w:val="1"/>
      <w:numFmt w:val="lowerRoman"/>
      <w:lvlText w:val="%6."/>
      <w:lvlJc w:val="right"/>
      <w:pPr>
        <w:ind w:left="4677" w:hanging="180"/>
      </w:pPr>
    </w:lvl>
    <w:lvl w:ilvl="6" w:tplc="240A000F" w:tentative="1">
      <w:start w:val="1"/>
      <w:numFmt w:val="decimal"/>
      <w:lvlText w:val="%7."/>
      <w:lvlJc w:val="left"/>
      <w:pPr>
        <w:ind w:left="5397" w:hanging="360"/>
      </w:pPr>
    </w:lvl>
    <w:lvl w:ilvl="7" w:tplc="240A0019" w:tentative="1">
      <w:start w:val="1"/>
      <w:numFmt w:val="lowerLetter"/>
      <w:lvlText w:val="%8."/>
      <w:lvlJc w:val="left"/>
      <w:pPr>
        <w:ind w:left="6117" w:hanging="360"/>
      </w:pPr>
    </w:lvl>
    <w:lvl w:ilvl="8" w:tplc="240A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57027653">
    <w:abstractNumId w:val="1"/>
  </w:num>
  <w:num w:numId="2" w16cid:durableId="1431389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zMbYwMzewMAIyDZR0lIJTi4sz8/NACkxqAdI90s0sAAAA"/>
  </w:docVars>
  <w:rsids>
    <w:rsidRoot w:val="00B43B99"/>
    <w:rsid w:val="00007EBF"/>
    <w:rsid w:val="00013F1B"/>
    <w:rsid w:val="000169E2"/>
    <w:rsid w:val="000172A6"/>
    <w:rsid w:val="00022EAC"/>
    <w:rsid w:val="00024435"/>
    <w:rsid w:val="00030327"/>
    <w:rsid w:val="00036445"/>
    <w:rsid w:val="000601AD"/>
    <w:rsid w:val="000652A1"/>
    <w:rsid w:val="0006670C"/>
    <w:rsid w:val="00067A55"/>
    <w:rsid w:val="00081905"/>
    <w:rsid w:val="00081A23"/>
    <w:rsid w:val="000825C7"/>
    <w:rsid w:val="00082602"/>
    <w:rsid w:val="00084A4F"/>
    <w:rsid w:val="0008729C"/>
    <w:rsid w:val="00094588"/>
    <w:rsid w:val="000A0546"/>
    <w:rsid w:val="000A3469"/>
    <w:rsid w:val="000A748A"/>
    <w:rsid w:val="000B10BE"/>
    <w:rsid w:val="000B353F"/>
    <w:rsid w:val="000B3FAC"/>
    <w:rsid w:val="000B4C02"/>
    <w:rsid w:val="000C0F08"/>
    <w:rsid w:val="000C297B"/>
    <w:rsid w:val="000E0E05"/>
    <w:rsid w:val="000E0E1A"/>
    <w:rsid w:val="000E506A"/>
    <w:rsid w:val="000E6756"/>
    <w:rsid w:val="000E7079"/>
    <w:rsid w:val="000F0815"/>
    <w:rsid w:val="000F4974"/>
    <w:rsid w:val="000F7962"/>
    <w:rsid w:val="0010580D"/>
    <w:rsid w:val="001058B6"/>
    <w:rsid w:val="00105CC8"/>
    <w:rsid w:val="001071AD"/>
    <w:rsid w:val="0010734E"/>
    <w:rsid w:val="00114D9D"/>
    <w:rsid w:val="001236C8"/>
    <w:rsid w:val="00126DDB"/>
    <w:rsid w:val="00131D4E"/>
    <w:rsid w:val="00137B97"/>
    <w:rsid w:val="00137D5F"/>
    <w:rsid w:val="00140A1E"/>
    <w:rsid w:val="00142BC5"/>
    <w:rsid w:val="00143139"/>
    <w:rsid w:val="00150D03"/>
    <w:rsid w:val="00160551"/>
    <w:rsid w:val="001635A2"/>
    <w:rsid w:val="00170AA1"/>
    <w:rsid w:val="00171F87"/>
    <w:rsid w:val="00183609"/>
    <w:rsid w:val="0018457D"/>
    <w:rsid w:val="001853D8"/>
    <w:rsid w:val="00190C7C"/>
    <w:rsid w:val="001914BA"/>
    <w:rsid w:val="0019731B"/>
    <w:rsid w:val="00197C25"/>
    <w:rsid w:val="001A7D9E"/>
    <w:rsid w:val="001B47CE"/>
    <w:rsid w:val="001B5A90"/>
    <w:rsid w:val="001B6A25"/>
    <w:rsid w:val="001C3334"/>
    <w:rsid w:val="001D2DE3"/>
    <w:rsid w:val="001E03D7"/>
    <w:rsid w:val="001E1565"/>
    <w:rsid w:val="001F0479"/>
    <w:rsid w:val="001F6467"/>
    <w:rsid w:val="002021BE"/>
    <w:rsid w:val="002023C0"/>
    <w:rsid w:val="00203AFF"/>
    <w:rsid w:val="002040AA"/>
    <w:rsid w:val="0020556E"/>
    <w:rsid w:val="0020582B"/>
    <w:rsid w:val="00205C1E"/>
    <w:rsid w:val="00210E03"/>
    <w:rsid w:val="00212251"/>
    <w:rsid w:val="0021268F"/>
    <w:rsid w:val="00213CFE"/>
    <w:rsid w:val="00220A74"/>
    <w:rsid w:val="00224617"/>
    <w:rsid w:val="00225537"/>
    <w:rsid w:val="002273D3"/>
    <w:rsid w:val="0023275A"/>
    <w:rsid w:val="002328F3"/>
    <w:rsid w:val="002420E1"/>
    <w:rsid w:val="00244A2D"/>
    <w:rsid w:val="00246D8C"/>
    <w:rsid w:val="002511EC"/>
    <w:rsid w:val="0025797C"/>
    <w:rsid w:val="00257FB5"/>
    <w:rsid w:val="00261C45"/>
    <w:rsid w:val="0026510B"/>
    <w:rsid w:val="002712D5"/>
    <w:rsid w:val="002728F3"/>
    <w:rsid w:val="00272F53"/>
    <w:rsid w:val="00275B2D"/>
    <w:rsid w:val="002803C0"/>
    <w:rsid w:val="00285C65"/>
    <w:rsid w:val="0029426E"/>
    <w:rsid w:val="002A10D8"/>
    <w:rsid w:val="002A3365"/>
    <w:rsid w:val="002B6267"/>
    <w:rsid w:val="002C19ED"/>
    <w:rsid w:val="002C2F76"/>
    <w:rsid w:val="002C5E46"/>
    <w:rsid w:val="002E0E4B"/>
    <w:rsid w:val="002E25C7"/>
    <w:rsid w:val="002F6956"/>
    <w:rsid w:val="0030416F"/>
    <w:rsid w:val="00304E04"/>
    <w:rsid w:val="0031025B"/>
    <w:rsid w:val="00316CDE"/>
    <w:rsid w:val="00322F56"/>
    <w:rsid w:val="003233B3"/>
    <w:rsid w:val="003255AE"/>
    <w:rsid w:val="0032759E"/>
    <w:rsid w:val="0033159C"/>
    <w:rsid w:val="003348C5"/>
    <w:rsid w:val="00335AB4"/>
    <w:rsid w:val="00341AD5"/>
    <w:rsid w:val="00355BA6"/>
    <w:rsid w:val="00363682"/>
    <w:rsid w:val="0036678B"/>
    <w:rsid w:val="003745B3"/>
    <w:rsid w:val="00374E51"/>
    <w:rsid w:val="003755F5"/>
    <w:rsid w:val="0038009C"/>
    <w:rsid w:val="0038266E"/>
    <w:rsid w:val="0038761C"/>
    <w:rsid w:val="0039580B"/>
    <w:rsid w:val="003A1AB3"/>
    <w:rsid w:val="003A1E93"/>
    <w:rsid w:val="003A2029"/>
    <w:rsid w:val="003B1B04"/>
    <w:rsid w:val="003B5ED1"/>
    <w:rsid w:val="003C40CD"/>
    <w:rsid w:val="003C71D9"/>
    <w:rsid w:val="003C7BC2"/>
    <w:rsid w:val="003D0A66"/>
    <w:rsid w:val="003D0BBD"/>
    <w:rsid w:val="003D1378"/>
    <w:rsid w:val="003D4E4C"/>
    <w:rsid w:val="003D7176"/>
    <w:rsid w:val="003E3883"/>
    <w:rsid w:val="003E584E"/>
    <w:rsid w:val="003F620C"/>
    <w:rsid w:val="003F6B1B"/>
    <w:rsid w:val="00401FC7"/>
    <w:rsid w:val="004024F7"/>
    <w:rsid w:val="00405515"/>
    <w:rsid w:val="00417DD6"/>
    <w:rsid w:val="00417F5C"/>
    <w:rsid w:val="004203BB"/>
    <w:rsid w:val="004207E8"/>
    <w:rsid w:val="00421CC6"/>
    <w:rsid w:val="004229CE"/>
    <w:rsid w:val="00422AC6"/>
    <w:rsid w:val="00426B3B"/>
    <w:rsid w:val="0042728D"/>
    <w:rsid w:val="00436BEC"/>
    <w:rsid w:val="004373D0"/>
    <w:rsid w:val="00437565"/>
    <w:rsid w:val="0044062F"/>
    <w:rsid w:val="00441BC3"/>
    <w:rsid w:val="004458E0"/>
    <w:rsid w:val="00451B95"/>
    <w:rsid w:val="00460313"/>
    <w:rsid w:val="00464FFF"/>
    <w:rsid w:val="00466A2C"/>
    <w:rsid w:val="004671EA"/>
    <w:rsid w:val="00483D52"/>
    <w:rsid w:val="004910FA"/>
    <w:rsid w:val="004B0C19"/>
    <w:rsid w:val="004B11CB"/>
    <w:rsid w:val="004F2C02"/>
    <w:rsid w:val="004F454E"/>
    <w:rsid w:val="004F51CA"/>
    <w:rsid w:val="004F69D5"/>
    <w:rsid w:val="004F6F3B"/>
    <w:rsid w:val="005036C4"/>
    <w:rsid w:val="0050654C"/>
    <w:rsid w:val="005100FB"/>
    <w:rsid w:val="005107D4"/>
    <w:rsid w:val="00512254"/>
    <w:rsid w:val="0051320F"/>
    <w:rsid w:val="0051591C"/>
    <w:rsid w:val="00526604"/>
    <w:rsid w:val="00535663"/>
    <w:rsid w:val="00535872"/>
    <w:rsid w:val="00545198"/>
    <w:rsid w:val="00546C9E"/>
    <w:rsid w:val="0054703F"/>
    <w:rsid w:val="00556840"/>
    <w:rsid w:val="0057102E"/>
    <w:rsid w:val="0057466E"/>
    <w:rsid w:val="00583CE0"/>
    <w:rsid w:val="005843E4"/>
    <w:rsid w:val="005845DD"/>
    <w:rsid w:val="00595C86"/>
    <w:rsid w:val="005A7350"/>
    <w:rsid w:val="005B7B11"/>
    <w:rsid w:val="005C14D6"/>
    <w:rsid w:val="005C732E"/>
    <w:rsid w:val="005D05B7"/>
    <w:rsid w:val="005D6F98"/>
    <w:rsid w:val="005E32C6"/>
    <w:rsid w:val="005E635B"/>
    <w:rsid w:val="005F0615"/>
    <w:rsid w:val="006015B5"/>
    <w:rsid w:val="0060177B"/>
    <w:rsid w:val="0060453B"/>
    <w:rsid w:val="00604EEA"/>
    <w:rsid w:val="00612577"/>
    <w:rsid w:val="00616124"/>
    <w:rsid w:val="0063375C"/>
    <w:rsid w:val="00637252"/>
    <w:rsid w:val="006600CA"/>
    <w:rsid w:val="0066479D"/>
    <w:rsid w:val="00665D79"/>
    <w:rsid w:val="0066770B"/>
    <w:rsid w:val="00670342"/>
    <w:rsid w:val="00675D2F"/>
    <w:rsid w:val="006820F0"/>
    <w:rsid w:val="006A1ACC"/>
    <w:rsid w:val="006A6E6B"/>
    <w:rsid w:val="006C35D3"/>
    <w:rsid w:val="006C3958"/>
    <w:rsid w:val="006C477D"/>
    <w:rsid w:val="006D1E6C"/>
    <w:rsid w:val="006D6B52"/>
    <w:rsid w:val="006E37CC"/>
    <w:rsid w:val="0070160F"/>
    <w:rsid w:val="007053D0"/>
    <w:rsid w:val="0070595F"/>
    <w:rsid w:val="00707298"/>
    <w:rsid w:val="007218CB"/>
    <w:rsid w:val="0072311A"/>
    <w:rsid w:val="007330D9"/>
    <w:rsid w:val="00737228"/>
    <w:rsid w:val="00740068"/>
    <w:rsid w:val="00743D20"/>
    <w:rsid w:val="00752018"/>
    <w:rsid w:val="007551C1"/>
    <w:rsid w:val="007616EF"/>
    <w:rsid w:val="00763972"/>
    <w:rsid w:val="007758AF"/>
    <w:rsid w:val="00776687"/>
    <w:rsid w:val="00781750"/>
    <w:rsid w:val="00782FAC"/>
    <w:rsid w:val="007840DE"/>
    <w:rsid w:val="00786357"/>
    <w:rsid w:val="00786E45"/>
    <w:rsid w:val="007905B9"/>
    <w:rsid w:val="00791028"/>
    <w:rsid w:val="00794600"/>
    <w:rsid w:val="007A73E4"/>
    <w:rsid w:val="007B3030"/>
    <w:rsid w:val="007B5676"/>
    <w:rsid w:val="007D3617"/>
    <w:rsid w:val="007D48E7"/>
    <w:rsid w:val="007D4B7D"/>
    <w:rsid w:val="007E6CAA"/>
    <w:rsid w:val="007F374E"/>
    <w:rsid w:val="007F3DBB"/>
    <w:rsid w:val="007F5E25"/>
    <w:rsid w:val="00800C1A"/>
    <w:rsid w:val="00802242"/>
    <w:rsid w:val="0080317B"/>
    <w:rsid w:val="00806CD5"/>
    <w:rsid w:val="00812653"/>
    <w:rsid w:val="008126D1"/>
    <w:rsid w:val="00822D06"/>
    <w:rsid w:val="008307A6"/>
    <w:rsid w:val="00835312"/>
    <w:rsid w:val="00835B44"/>
    <w:rsid w:val="008370B3"/>
    <w:rsid w:val="00842711"/>
    <w:rsid w:val="00844861"/>
    <w:rsid w:val="00847C98"/>
    <w:rsid w:val="008608E5"/>
    <w:rsid w:val="00860A9C"/>
    <w:rsid w:val="00863E09"/>
    <w:rsid w:val="00865E16"/>
    <w:rsid w:val="008723EE"/>
    <w:rsid w:val="00873152"/>
    <w:rsid w:val="00876EFC"/>
    <w:rsid w:val="008778C9"/>
    <w:rsid w:val="00882BB1"/>
    <w:rsid w:val="00886CC5"/>
    <w:rsid w:val="00886D03"/>
    <w:rsid w:val="008937FC"/>
    <w:rsid w:val="00893C4B"/>
    <w:rsid w:val="008A2788"/>
    <w:rsid w:val="008B1615"/>
    <w:rsid w:val="008B2303"/>
    <w:rsid w:val="008B2CE9"/>
    <w:rsid w:val="008B3FB2"/>
    <w:rsid w:val="008D2FF2"/>
    <w:rsid w:val="008D4FC9"/>
    <w:rsid w:val="008D79C6"/>
    <w:rsid w:val="008E5EE1"/>
    <w:rsid w:val="008E6B1D"/>
    <w:rsid w:val="00902B27"/>
    <w:rsid w:val="00904AE2"/>
    <w:rsid w:val="00915797"/>
    <w:rsid w:val="00926784"/>
    <w:rsid w:val="009320C0"/>
    <w:rsid w:val="00932C3A"/>
    <w:rsid w:val="00933614"/>
    <w:rsid w:val="009507EE"/>
    <w:rsid w:val="009566A5"/>
    <w:rsid w:val="009569CE"/>
    <w:rsid w:val="009618AD"/>
    <w:rsid w:val="00961F72"/>
    <w:rsid w:val="00966BA2"/>
    <w:rsid w:val="009749F0"/>
    <w:rsid w:val="00976924"/>
    <w:rsid w:val="009825F5"/>
    <w:rsid w:val="0099701F"/>
    <w:rsid w:val="009A74BC"/>
    <w:rsid w:val="009B71A3"/>
    <w:rsid w:val="009C011C"/>
    <w:rsid w:val="009C5DB6"/>
    <w:rsid w:val="009D59FC"/>
    <w:rsid w:val="009D765C"/>
    <w:rsid w:val="009E3263"/>
    <w:rsid w:val="009F48B2"/>
    <w:rsid w:val="00A02255"/>
    <w:rsid w:val="00A03D54"/>
    <w:rsid w:val="00A044F6"/>
    <w:rsid w:val="00A0450E"/>
    <w:rsid w:val="00A1115F"/>
    <w:rsid w:val="00A113C8"/>
    <w:rsid w:val="00A23E6F"/>
    <w:rsid w:val="00A422E7"/>
    <w:rsid w:val="00A4312E"/>
    <w:rsid w:val="00A43DE0"/>
    <w:rsid w:val="00A511C9"/>
    <w:rsid w:val="00A6155D"/>
    <w:rsid w:val="00A62C44"/>
    <w:rsid w:val="00A65134"/>
    <w:rsid w:val="00A73A20"/>
    <w:rsid w:val="00A753CC"/>
    <w:rsid w:val="00A75750"/>
    <w:rsid w:val="00A80ECE"/>
    <w:rsid w:val="00A810B1"/>
    <w:rsid w:val="00AA1994"/>
    <w:rsid w:val="00AC00AA"/>
    <w:rsid w:val="00AC062F"/>
    <w:rsid w:val="00AC709C"/>
    <w:rsid w:val="00AD6119"/>
    <w:rsid w:val="00AD7688"/>
    <w:rsid w:val="00AF3122"/>
    <w:rsid w:val="00B04403"/>
    <w:rsid w:val="00B0444E"/>
    <w:rsid w:val="00B045B3"/>
    <w:rsid w:val="00B050A6"/>
    <w:rsid w:val="00B07D42"/>
    <w:rsid w:val="00B12E55"/>
    <w:rsid w:val="00B140F4"/>
    <w:rsid w:val="00B16D19"/>
    <w:rsid w:val="00B21E7F"/>
    <w:rsid w:val="00B30FA6"/>
    <w:rsid w:val="00B3419C"/>
    <w:rsid w:val="00B37F2B"/>
    <w:rsid w:val="00B43B99"/>
    <w:rsid w:val="00B441F2"/>
    <w:rsid w:val="00B45CBB"/>
    <w:rsid w:val="00B54839"/>
    <w:rsid w:val="00B607FE"/>
    <w:rsid w:val="00B6286C"/>
    <w:rsid w:val="00B67CC5"/>
    <w:rsid w:val="00B80289"/>
    <w:rsid w:val="00B82AB0"/>
    <w:rsid w:val="00B90DF4"/>
    <w:rsid w:val="00B96E1D"/>
    <w:rsid w:val="00BA06F6"/>
    <w:rsid w:val="00BA1567"/>
    <w:rsid w:val="00BA5A9E"/>
    <w:rsid w:val="00BA5EE4"/>
    <w:rsid w:val="00BB1372"/>
    <w:rsid w:val="00BB2F0F"/>
    <w:rsid w:val="00BC65DC"/>
    <w:rsid w:val="00BE5002"/>
    <w:rsid w:val="00BF0876"/>
    <w:rsid w:val="00BF16CB"/>
    <w:rsid w:val="00C056F7"/>
    <w:rsid w:val="00C05E7E"/>
    <w:rsid w:val="00C06CD6"/>
    <w:rsid w:val="00C2121B"/>
    <w:rsid w:val="00C23528"/>
    <w:rsid w:val="00C4282E"/>
    <w:rsid w:val="00C51C25"/>
    <w:rsid w:val="00C54612"/>
    <w:rsid w:val="00C5476A"/>
    <w:rsid w:val="00C56227"/>
    <w:rsid w:val="00C57048"/>
    <w:rsid w:val="00C6181C"/>
    <w:rsid w:val="00C64D83"/>
    <w:rsid w:val="00C71F03"/>
    <w:rsid w:val="00C73CFC"/>
    <w:rsid w:val="00C74F46"/>
    <w:rsid w:val="00C81649"/>
    <w:rsid w:val="00C8450D"/>
    <w:rsid w:val="00C90F4B"/>
    <w:rsid w:val="00C927CB"/>
    <w:rsid w:val="00CA04EC"/>
    <w:rsid w:val="00CA097A"/>
    <w:rsid w:val="00CA2A36"/>
    <w:rsid w:val="00CA37E8"/>
    <w:rsid w:val="00CA3F1C"/>
    <w:rsid w:val="00CA4276"/>
    <w:rsid w:val="00CA6AF5"/>
    <w:rsid w:val="00CC3909"/>
    <w:rsid w:val="00CC3D75"/>
    <w:rsid w:val="00CD4968"/>
    <w:rsid w:val="00CD5680"/>
    <w:rsid w:val="00CD72E7"/>
    <w:rsid w:val="00CF3281"/>
    <w:rsid w:val="00CF33B6"/>
    <w:rsid w:val="00D1385D"/>
    <w:rsid w:val="00D15812"/>
    <w:rsid w:val="00D15D9F"/>
    <w:rsid w:val="00D3590D"/>
    <w:rsid w:val="00D408B2"/>
    <w:rsid w:val="00D47D85"/>
    <w:rsid w:val="00D54A4C"/>
    <w:rsid w:val="00D5522A"/>
    <w:rsid w:val="00D820B8"/>
    <w:rsid w:val="00D82653"/>
    <w:rsid w:val="00D91429"/>
    <w:rsid w:val="00D939AF"/>
    <w:rsid w:val="00D97E06"/>
    <w:rsid w:val="00DA3C9F"/>
    <w:rsid w:val="00DA6952"/>
    <w:rsid w:val="00DA7433"/>
    <w:rsid w:val="00DC071C"/>
    <w:rsid w:val="00DC0D9C"/>
    <w:rsid w:val="00DC2810"/>
    <w:rsid w:val="00DC5108"/>
    <w:rsid w:val="00DD2210"/>
    <w:rsid w:val="00DD32E9"/>
    <w:rsid w:val="00DD69D9"/>
    <w:rsid w:val="00DE01CB"/>
    <w:rsid w:val="00DE5CC7"/>
    <w:rsid w:val="00DF23D7"/>
    <w:rsid w:val="00DF263F"/>
    <w:rsid w:val="00DF42FB"/>
    <w:rsid w:val="00DF584F"/>
    <w:rsid w:val="00E048F6"/>
    <w:rsid w:val="00E06F76"/>
    <w:rsid w:val="00E23C3F"/>
    <w:rsid w:val="00E35E0F"/>
    <w:rsid w:val="00E40A18"/>
    <w:rsid w:val="00E45C21"/>
    <w:rsid w:val="00E52AD9"/>
    <w:rsid w:val="00E62E18"/>
    <w:rsid w:val="00E746FE"/>
    <w:rsid w:val="00E81A93"/>
    <w:rsid w:val="00E83222"/>
    <w:rsid w:val="00E836D0"/>
    <w:rsid w:val="00E8423D"/>
    <w:rsid w:val="00E847C9"/>
    <w:rsid w:val="00E85077"/>
    <w:rsid w:val="00E91864"/>
    <w:rsid w:val="00E94BCA"/>
    <w:rsid w:val="00E950C1"/>
    <w:rsid w:val="00E9648D"/>
    <w:rsid w:val="00EA0BFA"/>
    <w:rsid w:val="00EA1F32"/>
    <w:rsid w:val="00EA304E"/>
    <w:rsid w:val="00EA6961"/>
    <w:rsid w:val="00EB0189"/>
    <w:rsid w:val="00ED52B9"/>
    <w:rsid w:val="00EE387F"/>
    <w:rsid w:val="00EE7245"/>
    <w:rsid w:val="00EF5AD1"/>
    <w:rsid w:val="00F013FA"/>
    <w:rsid w:val="00F03D78"/>
    <w:rsid w:val="00F10496"/>
    <w:rsid w:val="00F1305E"/>
    <w:rsid w:val="00F13505"/>
    <w:rsid w:val="00F168A7"/>
    <w:rsid w:val="00F23A9F"/>
    <w:rsid w:val="00F2624B"/>
    <w:rsid w:val="00F2714C"/>
    <w:rsid w:val="00F326C2"/>
    <w:rsid w:val="00F43716"/>
    <w:rsid w:val="00F46CE9"/>
    <w:rsid w:val="00F471CE"/>
    <w:rsid w:val="00F53B6B"/>
    <w:rsid w:val="00F549CE"/>
    <w:rsid w:val="00F56594"/>
    <w:rsid w:val="00F56D7E"/>
    <w:rsid w:val="00F57ADD"/>
    <w:rsid w:val="00F64031"/>
    <w:rsid w:val="00F72A34"/>
    <w:rsid w:val="00F7420A"/>
    <w:rsid w:val="00F76DB1"/>
    <w:rsid w:val="00F81C02"/>
    <w:rsid w:val="00F84081"/>
    <w:rsid w:val="00F92E2A"/>
    <w:rsid w:val="00FA0B22"/>
    <w:rsid w:val="00FA1894"/>
    <w:rsid w:val="00FA2285"/>
    <w:rsid w:val="00FA47D5"/>
    <w:rsid w:val="00FA57CE"/>
    <w:rsid w:val="00FA5946"/>
    <w:rsid w:val="00FA5C60"/>
    <w:rsid w:val="00FA6527"/>
    <w:rsid w:val="00FA7384"/>
    <w:rsid w:val="00FB1761"/>
    <w:rsid w:val="00FC6295"/>
    <w:rsid w:val="00FD10E9"/>
    <w:rsid w:val="00FE0D8F"/>
    <w:rsid w:val="00FE5486"/>
    <w:rsid w:val="00FE6256"/>
    <w:rsid w:val="00FE7703"/>
    <w:rsid w:val="00FF169A"/>
    <w:rsid w:val="00FF1B50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636EF"/>
  <w15:chartTrackingRefBased/>
  <w15:docId w15:val="{D1FD32CE-8003-4BFF-919F-AB0BA7B2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before="160"/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B99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B99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B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B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B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B99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B99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B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B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B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B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B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B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B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B99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B99"/>
    <w:pPr>
      <w:numPr>
        <w:ilvl w:val="1"/>
      </w:numPr>
      <w:spacing w:after="160"/>
      <w:ind w:left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B99"/>
    <w:pPr>
      <w:spacing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B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B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B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B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B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07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7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3C3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styleId="Strong">
    <w:name w:val="Strong"/>
    <w:basedOn w:val="DefaultParagraphFont"/>
    <w:uiPriority w:val="22"/>
    <w:qFormat/>
    <w:rsid w:val="00E23C3F"/>
    <w:rPr>
      <w:b/>
      <w:bCs/>
    </w:rPr>
  </w:style>
  <w:style w:type="character" w:styleId="Emphasis">
    <w:name w:val="Emphasis"/>
    <w:basedOn w:val="DefaultParagraphFont"/>
    <w:uiPriority w:val="20"/>
    <w:qFormat/>
    <w:rsid w:val="00966BA2"/>
    <w:rPr>
      <w:i/>
      <w:iCs/>
    </w:rPr>
  </w:style>
  <w:style w:type="paragraph" w:styleId="Revision">
    <w:name w:val="Revision"/>
    <w:hidden/>
    <w:uiPriority w:val="99"/>
    <w:semiHidden/>
    <w:rsid w:val="006820F0"/>
    <w:pPr>
      <w:spacing w:before="0"/>
      <w:ind w:left="0"/>
    </w:pPr>
  </w:style>
  <w:style w:type="character" w:styleId="CommentReference">
    <w:name w:val="annotation reference"/>
    <w:basedOn w:val="DefaultParagraphFont"/>
    <w:uiPriority w:val="99"/>
    <w:semiHidden/>
    <w:unhideWhenUsed/>
    <w:rsid w:val="00B67C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7C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7C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C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CC5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1853D8"/>
    <w:pPr>
      <w:widowControl w:val="0"/>
      <w:autoSpaceDE w:val="0"/>
      <w:autoSpaceDN w:val="0"/>
      <w:spacing w:before="0"/>
      <w:ind w:left="0"/>
    </w:pPr>
    <w:rPr>
      <w:rFonts w:ascii="Segoe UI" w:eastAsia="Segoe UI" w:hAnsi="Segoe UI" w:cs="Segoe UI"/>
      <w:kern w:val="0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853D8"/>
    <w:rPr>
      <w:rFonts w:ascii="Segoe UI" w:eastAsia="Segoe UI" w:hAnsi="Segoe UI" w:cs="Segoe UI"/>
      <w:kern w:val="0"/>
      <w:lang w:val="es-ES"/>
      <w14:ligatures w14:val="none"/>
    </w:rPr>
  </w:style>
  <w:style w:type="table" w:styleId="GridTable1Light">
    <w:name w:val="Grid Table 1 Light"/>
    <w:basedOn w:val="TableNormal"/>
    <w:uiPriority w:val="46"/>
    <w:rsid w:val="001853D8"/>
    <w:pPr>
      <w:widowControl w:val="0"/>
      <w:autoSpaceDE w:val="0"/>
      <w:autoSpaceDN w:val="0"/>
      <w:spacing w:before="0"/>
      <w:ind w:left="0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44062F"/>
    <w:pPr>
      <w:autoSpaceDE w:val="0"/>
      <w:autoSpaceDN w:val="0"/>
      <w:adjustRightInd w:val="0"/>
      <w:spacing w:before="0"/>
      <w:ind w:left="0"/>
    </w:pPr>
    <w:rPr>
      <w:rFonts w:ascii="Segoe UI" w:hAnsi="Segoe UI" w:cs="Segoe UI"/>
      <w:color w:val="000000"/>
      <w:kern w:val="0"/>
      <w:sz w:val="24"/>
      <w:szCs w:val="24"/>
    </w:rPr>
  </w:style>
  <w:style w:type="table" w:styleId="PlainTable2">
    <w:name w:val="Plain Table 2"/>
    <w:basedOn w:val="TableNormal"/>
    <w:uiPriority w:val="42"/>
    <w:rsid w:val="0044062F"/>
    <w:pPr>
      <w:spacing w:before="0"/>
      <w:ind w:left="0"/>
    </w:pPr>
    <w:rPr>
      <w:kern w:val="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626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Links>
    <vt:vector size="30" baseType="variant">
      <vt:variant>
        <vt:i4>5505028</vt:i4>
      </vt:variant>
      <vt:variant>
        <vt:i4>12</vt:i4>
      </vt:variant>
      <vt:variant>
        <vt:i4>0</vt:i4>
      </vt:variant>
      <vt:variant>
        <vt:i4>5</vt:i4>
      </vt:variant>
      <vt:variant>
        <vt:lpwstr>https://suameca.banrep.gov.co/estadisticas-economicas/</vt:lpwstr>
      </vt:variant>
      <vt:variant>
        <vt:lpwstr>/informacionSerie/500011/Producto%20Interno%20Bruto%20%28PIB%29/PIB%20trimestral%20observado%20-%20crecimiento%20anual%20%28serie%20original%29</vt:lpwstr>
      </vt:variant>
      <vt:variant>
        <vt:i4>7995507</vt:i4>
      </vt:variant>
      <vt:variant>
        <vt:i4>9</vt:i4>
      </vt:variant>
      <vt:variant>
        <vt:i4>0</vt:i4>
      </vt:variant>
      <vt:variant>
        <vt:i4>5</vt:i4>
      </vt:variant>
      <vt:variant>
        <vt:lpwstr>https://www.paho.org/en/file/153586/download?token=s4ElXKRK</vt:lpwstr>
      </vt:variant>
      <vt:variant>
        <vt:lpwstr/>
      </vt:variant>
      <vt:variant>
        <vt:i4>2162812</vt:i4>
      </vt:variant>
      <vt:variant>
        <vt:i4>6</vt:i4>
      </vt:variant>
      <vt:variant>
        <vt:i4>0</vt:i4>
      </vt:variant>
      <vt:variant>
        <vt:i4>5</vt:i4>
      </vt:variant>
      <vt:variant>
        <vt:lpwstr>https://medicina.uniandes.edu.co/sites/default/files/observatorio-sp/boletin-junio2024-observatorio-sp-uniandes.pdf</vt:lpwstr>
      </vt:variant>
      <vt:variant>
        <vt:lpwstr/>
      </vt:variant>
      <vt:variant>
        <vt:i4>7798822</vt:i4>
      </vt:variant>
      <vt:variant>
        <vt:i4>3</vt:i4>
      </vt:variant>
      <vt:variant>
        <vt:i4>0</vt:i4>
      </vt:variant>
      <vt:variant>
        <vt:i4>5</vt:i4>
      </vt:variant>
      <vt:variant>
        <vt:lpwstr>https://microdatos.dane.gov.co/index.php/catalog/807/get-microdata</vt:lpwstr>
      </vt:variant>
      <vt:variant>
        <vt:lpwstr/>
      </vt:variant>
      <vt:variant>
        <vt:i4>3342443</vt:i4>
      </vt:variant>
      <vt:variant>
        <vt:i4>0</vt:i4>
      </vt:variant>
      <vt:variant>
        <vt:i4>0</vt:i4>
      </vt:variant>
      <vt:variant>
        <vt:i4>5</vt:i4>
      </vt:variant>
      <vt:variant>
        <vt:lpwstr>https://www.iets.org.co/2014/11/13/manual-para-la-elaboracion-de-evaluaciones-economicas-en-salud/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Ordóñez</dc:creator>
  <cp:keywords/>
  <dc:description/>
  <cp:lastModifiedBy>Alamo, Andreina Jose</cp:lastModifiedBy>
  <cp:revision>40</cp:revision>
  <dcterms:created xsi:type="dcterms:W3CDTF">2025-07-29T17:26:00Z</dcterms:created>
  <dcterms:modified xsi:type="dcterms:W3CDTF">2025-08-28T16:50:00Z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91b42f-c435-42ca-9531-75a3f42aae3d_Enabled">
    <vt:lpwstr>true</vt:lpwstr>
  </property>
  <property fmtid="{D5CDD505-2E9C-101B-9397-08002B2CF9AE}" pid="3" name="MSIP_Label_4791b42f-c435-42ca-9531-75a3f42aae3d_SetDate">
    <vt:lpwstr>2025-02-24T14:02:09Z</vt:lpwstr>
  </property>
  <property fmtid="{D5CDD505-2E9C-101B-9397-08002B2CF9AE}" pid="4" name="MSIP_Label_4791b42f-c435-42ca-9531-75a3f42aae3d_Method">
    <vt:lpwstr>Privileged</vt:lpwstr>
  </property>
  <property fmtid="{D5CDD505-2E9C-101B-9397-08002B2CF9AE}" pid="5" name="MSIP_Label_4791b42f-c435-42ca-9531-75a3f42aae3d_Name">
    <vt:lpwstr>4791b42f-c435-42ca-9531-75a3f42aae3d</vt:lpwstr>
  </property>
  <property fmtid="{D5CDD505-2E9C-101B-9397-08002B2CF9AE}" pid="6" name="MSIP_Label_4791b42f-c435-42ca-9531-75a3f42aae3d_SiteId">
    <vt:lpwstr>7a916015-20ae-4ad1-9170-eefd915e9272</vt:lpwstr>
  </property>
  <property fmtid="{D5CDD505-2E9C-101B-9397-08002B2CF9AE}" pid="7" name="MSIP_Label_4791b42f-c435-42ca-9531-75a3f42aae3d_ActionId">
    <vt:lpwstr>b9206a5d-0688-4357-b3f0-33f87a716df3</vt:lpwstr>
  </property>
  <property fmtid="{D5CDD505-2E9C-101B-9397-08002B2CF9AE}" pid="8" name="MSIP_Label_4791b42f-c435-42ca-9531-75a3f42aae3d_ContentBits">
    <vt:lpwstr>0</vt:lpwstr>
  </property>
  <property fmtid="{D5CDD505-2E9C-101B-9397-08002B2CF9AE}" pid="9" name="GrammarlyDocumentId">
    <vt:lpwstr>0dfa9ff1-2203-4c1f-8bc0-1a717d1506c5</vt:lpwstr>
  </property>
</Properties>
</file>