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B1B" w:rsidRPr="00D258B8" w:rsidRDefault="00397196" w:rsidP="00397196">
      <w:pPr>
        <w:spacing w:after="0" w:line="480" w:lineRule="auto"/>
        <w:jc w:val="both"/>
        <w:rPr>
          <w:rFonts w:ascii="Arial" w:hAnsi="Arial" w:cs="Arial"/>
          <w:b/>
          <w:sz w:val="24"/>
          <w:szCs w:val="24"/>
          <w:lang w:val="en-US"/>
        </w:rPr>
      </w:pPr>
      <w:r>
        <w:rPr>
          <w:rFonts w:ascii="Arial" w:hAnsi="Arial" w:cs="Arial"/>
          <w:b/>
          <w:sz w:val="24"/>
          <w:szCs w:val="24"/>
          <w:lang w:val="en-US"/>
        </w:rPr>
        <w:t>Additional</w:t>
      </w:r>
      <w:r w:rsidR="000D6E79" w:rsidRPr="00D258B8">
        <w:rPr>
          <w:rFonts w:ascii="Arial" w:hAnsi="Arial" w:cs="Arial"/>
          <w:b/>
          <w:sz w:val="24"/>
          <w:szCs w:val="24"/>
          <w:lang w:val="en-US"/>
        </w:rPr>
        <w:t xml:space="preserve"> Experimental Procedures</w:t>
      </w:r>
    </w:p>
    <w:p w:rsidR="00544CB5" w:rsidRPr="00CA179C" w:rsidRDefault="00544CB5" w:rsidP="00397196">
      <w:pPr>
        <w:spacing w:after="0" w:line="480" w:lineRule="auto"/>
        <w:jc w:val="both"/>
        <w:rPr>
          <w:rFonts w:ascii="Arial" w:hAnsi="Arial" w:cs="Arial"/>
          <w:b/>
          <w:sz w:val="24"/>
          <w:szCs w:val="24"/>
          <w:lang w:val="en-US"/>
        </w:rPr>
      </w:pPr>
      <w:r w:rsidRPr="00CA179C">
        <w:rPr>
          <w:rFonts w:ascii="Arial" w:hAnsi="Arial" w:cs="Arial"/>
          <w:b/>
          <w:sz w:val="24"/>
          <w:szCs w:val="24"/>
          <w:lang w:val="en-US"/>
        </w:rPr>
        <w:t>Cell culture.</w:t>
      </w:r>
    </w:p>
    <w:p w:rsidR="00544CB5" w:rsidRDefault="00544CB5" w:rsidP="00397196">
      <w:pPr>
        <w:spacing w:after="0" w:line="480" w:lineRule="auto"/>
        <w:jc w:val="both"/>
        <w:rPr>
          <w:rFonts w:ascii="Arial" w:hAnsi="Arial" w:cs="Arial"/>
          <w:color w:val="000000"/>
          <w:sz w:val="24"/>
          <w:szCs w:val="24"/>
          <w:lang w:val="en-US"/>
        </w:rPr>
      </w:pPr>
      <w:r w:rsidRPr="00CA179C">
        <w:rPr>
          <w:rFonts w:ascii="Arial" w:hAnsi="Arial" w:cs="Arial"/>
          <w:color w:val="000000"/>
          <w:sz w:val="24"/>
          <w:szCs w:val="24"/>
          <w:lang w:val="en-US"/>
        </w:rPr>
        <w:t>Human HT29 and HCT116 CRC cell lines were obtained from the American Type Culture Collection (ATCC). Cell lines were routinely monitored in our laboratory by microscopic morphology, while cell line authentication was verified before starting this study by STR profiling, according to ATCC product description. Resistant strains were generated</w:t>
      </w:r>
      <w:r w:rsidR="00D258B8">
        <w:rPr>
          <w:rFonts w:ascii="Arial" w:hAnsi="Arial" w:cs="Arial"/>
          <w:color w:val="000000"/>
          <w:sz w:val="24"/>
          <w:szCs w:val="24"/>
          <w:lang w:val="en-US"/>
        </w:rPr>
        <w:t xml:space="preserve"> as previously </w:t>
      </w:r>
      <w:proofErr w:type="spellStart"/>
      <w:r w:rsidR="00D258B8">
        <w:rPr>
          <w:rFonts w:ascii="Arial" w:hAnsi="Arial" w:cs="Arial"/>
          <w:color w:val="000000"/>
          <w:sz w:val="24"/>
          <w:szCs w:val="24"/>
          <w:lang w:val="en-US"/>
        </w:rPr>
        <w:t>descrived</w:t>
      </w:r>
      <w:proofErr w:type="spellEnd"/>
      <w:r w:rsidR="00D258B8">
        <w:rPr>
          <w:rFonts w:ascii="Arial" w:hAnsi="Arial" w:cs="Arial"/>
          <w:color w:val="000000"/>
          <w:sz w:val="24"/>
          <w:szCs w:val="24"/>
          <w:lang w:val="en-US"/>
        </w:rPr>
        <w:t xml:space="preserve"> (</w:t>
      </w:r>
      <w:r w:rsidR="005414F3">
        <w:rPr>
          <w:rFonts w:ascii="Arial" w:hAnsi="Arial" w:cs="Arial"/>
          <w:color w:val="000000"/>
          <w:sz w:val="24"/>
          <w:szCs w:val="24"/>
          <w:lang w:val="en-US"/>
        </w:rPr>
        <w:t>1</w:t>
      </w:r>
      <w:r w:rsidR="00D258B8">
        <w:rPr>
          <w:rFonts w:ascii="Arial" w:hAnsi="Arial" w:cs="Arial"/>
          <w:color w:val="000000"/>
          <w:sz w:val="24"/>
          <w:szCs w:val="24"/>
          <w:lang w:val="en-US"/>
        </w:rPr>
        <w:t>)</w:t>
      </w:r>
      <w:r w:rsidRPr="00CA179C">
        <w:rPr>
          <w:rFonts w:ascii="Arial" w:hAnsi="Arial" w:cs="Arial"/>
          <w:color w:val="000000"/>
          <w:sz w:val="24"/>
          <w:szCs w:val="24"/>
          <w:lang w:val="en-US"/>
        </w:rPr>
        <w:t xml:space="preserve"> from parental cell lines upon progressive drug dose escalation from 0.1 to 3 </w:t>
      </w:r>
      <w:proofErr w:type="spellStart"/>
      <w:r w:rsidRPr="00CA179C">
        <w:rPr>
          <w:rFonts w:ascii="Arial" w:hAnsi="Arial" w:cs="Arial"/>
          <w:color w:val="000000"/>
          <w:sz w:val="24"/>
          <w:szCs w:val="24"/>
          <w:lang w:val="en-US"/>
        </w:rPr>
        <w:t>μM</w:t>
      </w:r>
      <w:proofErr w:type="spellEnd"/>
      <w:r w:rsidRPr="00CA179C">
        <w:rPr>
          <w:rFonts w:ascii="Arial" w:hAnsi="Arial" w:cs="Arial"/>
          <w:color w:val="000000"/>
          <w:sz w:val="24"/>
          <w:szCs w:val="24"/>
          <w:lang w:val="en-US"/>
        </w:rPr>
        <w:t xml:space="preserve"> Oxa (Roche) and from 0.1 to 2 </w:t>
      </w:r>
      <w:proofErr w:type="spellStart"/>
      <w:r w:rsidRPr="00CA179C">
        <w:rPr>
          <w:rFonts w:ascii="Arial" w:hAnsi="Arial" w:cs="Arial"/>
          <w:color w:val="000000"/>
          <w:sz w:val="24"/>
          <w:szCs w:val="24"/>
          <w:lang w:val="en-US"/>
        </w:rPr>
        <w:t>μM</w:t>
      </w:r>
      <w:proofErr w:type="spellEnd"/>
      <w:r w:rsidRPr="00CA179C">
        <w:rPr>
          <w:rFonts w:ascii="Arial" w:hAnsi="Arial" w:cs="Arial"/>
          <w:color w:val="000000"/>
          <w:sz w:val="24"/>
          <w:szCs w:val="24"/>
          <w:lang w:val="en-US"/>
        </w:rPr>
        <w:t xml:space="preserve"> </w:t>
      </w:r>
      <w:proofErr w:type="spellStart"/>
      <w:r w:rsidRPr="00CA179C">
        <w:rPr>
          <w:rFonts w:ascii="Arial" w:hAnsi="Arial" w:cs="Arial"/>
          <w:color w:val="000000"/>
          <w:sz w:val="24"/>
          <w:szCs w:val="24"/>
          <w:lang w:val="en-US"/>
        </w:rPr>
        <w:t>Iri</w:t>
      </w:r>
      <w:proofErr w:type="spellEnd"/>
      <w:r w:rsidRPr="00CA179C">
        <w:rPr>
          <w:rFonts w:ascii="Arial" w:hAnsi="Arial" w:cs="Arial"/>
          <w:color w:val="000000"/>
          <w:sz w:val="24"/>
          <w:szCs w:val="24"/>
          <w:lang w:val="en-US"/>
        </w:rPr>
        <w:t xml:space="preserve"> (Roche) over a 40-days period. Cells lines were cultured in McCoy’s medium supplemented with 10% (v/v) FBS, 0.75 </w:t>
      </w:r>
      <w:proofErr w:type="spellStart"/>
      <w:r w:rsidRPr="00CA179C">
        <w:rPr>
          <w:rFonts w:ascii="Arial" w:hAnsi="Arial" w:cs="Arial"/>
          <w:color w:val="000000"/>
          <w:sz w:val="24"/>
          <w:szCs w:val="24"/>
          <w:lang w:val="en-US"/>
        </w:rPr>
        <w:t>mM</w:t>
      </w:r>
      <w:proofErr w:type="spellEnd"/>
      <w:r w:rsidRPr="00CA179C">
        <w:rPr>
          <w:rFonts w:ascii="Arial" w:hAnsi="Arial" w:cs="Arial"/>
          <w:color w:val="000000"/>
          <w:sz w:val="24"/>
          <w:szCs w:val="24"/>
          <w:lang w:val="en-US"/>
        </w:rPr>
        <w:t xml:space="preserve"> glutamine and 10 U/ml penicillin and streptomycin. (GIBCO).</w:t>
      </w:r>
    </w:p>
    <w:p w:rsidR="00CA179C" w:rsidRPr="00CA179C" w:rsidRDefault="00CA179C" w:rsidP="00397196">
      <w:pPr>
        <w:spacing w:after="0" w:line="480" w:lineRule="auto"/>
        <w:jc w:val="both"/>
        <w:rPr>
          <w:rFonts w:ascii="Arial" w:hAnsi="Arial" w:cs="Arial"/>
          <w:b/>
          <w:sz w:val="24"/>
          <w:szCs w:val="24"/>
          <w:lang w:val="en-US"/>
        </w:rPr>
      </w:pPr>
    </w:p>
    <w:p w:rsidR="000D6E79" w:rsidRPr="00CA179C" w:rsidRDefault="00544CB5" w:rsidP="00397196">
      <w:pPr>
        <w:spacing w:after="0" w:line="480" w:lineRule="auto"/>
        <w:jc w:val="both"/>
        <w:rPr>
          <w:rFonts w:ascii="Arial" w:hAnsi="Arial" w:cs="Arial"/>
          <w:b/>
          <w:sz w:val="24"/>
          <w:szCs w:val="24"/>
          <w:lang w:val="en-US"/>
        </w:rPr>
      </w:pPr>
      <w:r w:rsidRPr="00CA179C">
        <w:rPr>
          <w:rFonts w:ascii="Arial" w:hAnsi="Arial" w:cs="Arial"/>
          <w:b/>
          <w:sz w:val="24"/>
          <w:szCs w:val="24"/>
          <w:lang w:val="en-US"/>
        </w:rPr>
        <w:t>Genomic DNA Extraction from tumor specimens</w:t>
      </w:r>
      <w:r w:rsidR="009C691A">
        <w:rPr>
          <w:rFonts w:ascii="Arial" w:hAnsi="Arial" w:cs="Arial"/>
          <w:b/>
          <w:sz w:val="24"/>
          <w:szCs w:val="24"/>
          <w:lang w:val="en-US"/>
        </w:rPr>
        <w:t>.</w:t>
      </w:r>
    </w:p>
    <w:p w:rsidR="00544CB5" w:rsidRPr="00CA179C" w:rsidRDefault="00544CB5" w:rsidP="00397196">
      <w:pPr>
        <w:spacing w:after="0" w:line="480" w:lineRule="auto"/>
        <w:jc w:val="both"/>
        <w:rPr>
          <w:rFonts w:ascii="Arial" w:hAnsi="Arial" w:cs="Arial"/>
          <w:color w:val="000000"/>
          <w:sz w:val="24"/>
          <w:szCs w:val="24"/>
          <w:lang w:val="en-US"/>
        </w:rPr>
      </w:pPr>
      <w:r w:rsidRPr="00CA179C">
        <w:rPr>
          <w:rFonts w:ascii="Arial" w:hAnsi="Arial" w:cs="Arial"/>
          <w:color w:val="000000"/>
          <w:sz w:val="24"/>
          <w:szCs w:val="24"/>
          <w:lang w:val="en-US"/>
        </w:rPr>
        <w:t xml:space="preserve">Representative tumor areas from formalin-fixed, paraffin-embedded (FFPE) CRC specimens were identified based on hematoxylin and eosin stain and cut into 6 10-µm-thick sections. </w:t>
      </w:r>
      <w:proofErr w:type="spellStart"/>
      <w:r w:rsidRPr="00CA179C">
        <w:rPr>
          <w:rFonts w:ascii="Arial" w:hAnsi="Arial" w:cs="Arial"/>
          <w:color w:val="000000"/>
          <w:sz w:val="24"/>
          <w:szCs w:val="24"/>
          <w:lang w:val="en-US"/>
        </w:rPr>
        <w:t>Deparaffinized</w:t>
      </w:r>
      <w:proofErr w:type="spellEnd"/>
      <w:r w:rsidRPr="00CA179C">
        <w:rPr>
          <w:rFonts w:ascii="Arial" w:hAnsi="Arial" w:cs="Arial"/>
          <w:color w:val="000000"/>
          <w:sz w:val="24"/>
          <w:szCs w:val="24"/>
          <w:lang w:val="en-US"/>
        </w:rPr>
        <w:t xml:space="preserve"> dried sections were used for genomic DNA (</w:t>
      </w:r>
      <w:proofErr w:type="spellStart"/>
      <w:r w:rsidRPr="00CA179C">
        <w:rPr>
          <w:rFonts w:ascii="Arial" w:hAnsi="Arial" w:cs="Arial"/>
          <w:color w:val="000000"/>
          <w:sz w:val="24"/>
          <w:szCs w:val="24"/>
          <w:lang w:val="en-US"/>
        </w:rPr>
        <w:t>gDNA</w:t>
      </w:r>
      <w:proofErr w:type="spellEnd"/>
      <w:r w:rsidRPr="00CA179C">
        <w:rPr>
          <w:rFonts w:ascii="Arial" w:hAnsi="Arial" w:cs="Arial"/>
          <w:color w:val="000000"/>
          <w:sz w:val="24"/>
          <w:szCs w:val="24"/>
          <w:lang w:val="en-US"/>
        </w:rPr>
        <w:t xml:space="preserve">) extraction by using the </w:t>
      </w:r>
      <w:proofErr w:type="spellStart"/>
      <w:r w:rsidRPr="00CA179C">
        <w:rPr>
          <w:rFonts w:ascii="Arial" w:hAnsi="Arial" w:cs="Arial"/>
          <w:color w:val="000000"/>
          <w:sz w:val="24"/>
          <w:szCs w:val="24"/>
          <w:lang w:val="en-US"/>
        </w:rPr>
        <w:t>QIAamp</w:t>
      </w:r>
      <w:proofErr w:type="spellEnd"/>
      <w:r w:rsidRPr="00CA179C">
        <w:rPr>
          <w:rFonts w:ascii="Arial" w:hAnsi="Arial" w:cs="Arial"/>
          <w:color w:val="000000"/>
          <w:sz w:val="24"/>
          <w:szCs w:val="24"/>
          <w:lang w:val="en-US"/>
        </w:rPr>
        <w:t xml:space="preserve"> DNA Mini kit (</w:t>
      </w:r>
      <w:proofErr w:type="spellStart"/>
      <w:r w:rsidRPr="00CA179C">
        <w:rPr>
          <w:rFonts w:ascii="Arial" w:hAnsi="Arial" w:cs="Arial"/>
          <w:color w:val="000000"/>
          <w:sz w:val="24"/>
          <w:szCs w:val="24"/>
          <w:lang w:val="en-US"/>
        </w:rPr>
        <w:t>Qiagen</w:t>
      </w:r>
      <w:proofErr w:type="spellEnd"/>
      <w:r w:rsidRPr="00CA179C">
        <w:rPr>
          <w:rFonts w:ascii="Arial" w:hAnsi="Arial" w:cs="Arial"/>
          <w:color w:val="000000"/>
          <w:sz w:val="24"/>
          <w:szCs w:val="24"/>
          <w:lang w:val="en-US"/>
        </w:rPr>
        <w:t xml:space="preserve">). DNA concentration and purity were assessed by </w:t>
      </w:r>
      <w:proofErr w:type="spellStart"/>
      <w:r w:rsidRPr="00CA179C">
        <w:rPr>
          <w:rFonts w:ascii="Arial" w:hAnsi="Arial" w:cs="Arial"/>
          <w:color w:val="000000"/>
          <w:sz w:val="24"/>
          <w:szCs w:val="24"/>
          <w:lang w:val="en-US"/>
        </w:rPr>
        <w:t>NanoDrop</w:t>
      </w:r>
      <w:proofErr w:type="spellEnd"/>
      <w:r w:rsidRPr="00CA179C">
        <w:rPr>
          <w:rFonts w:ascii="Arial" w:hAnsi="Arial" w:cs="Arial"/>
          <w:color w:val="000000"/>
          <w:sz w:val="24"/>
          <w:szCs w:val="24"/>
          <w:lang w:val="en-US"/>
        </w:rPr>
        <w:t xml:space="preserve"> technology (</w:t>
      </w:r>
      <w:proofErr w:type="spellStart"/>
      <w:r w:rsidRPr="00CA179C">
        <w:rPr>
          <w:rFonts w:ascii="Arial" w:hAnsi="Arial" w:cs="Arial"/>
          <w:color w:val="000000"/>
          <w:sz w:val="24"/>
          <w:szCs w:val="24"/>
          <w:lang w:val="en-US"/>
        </w:rPr>
        <w:t>Thermo</w:t>
      </w:r>
      <w:proofErr w:type="spellEnd"/>
      <w:r w:rsidRPr="00CA179C">
        <w:rPr>
          <w:rFonts w:ascii="Arial" w:hAnsi="Arial" w:cs="Arial"/>
          <w:color w:val="000000"/>
          <w:sz w:val="24"/>
          <w:szCs w:val="24"/>
          <w:lang w:val="en-US"/>
        </w:rPr>
        <w:t xml:space="preserve"> Scientific) using, respectively, the absorbance at 260 nm and the 260/280 nm absorbance ratio.</w:t>
      </w:r>
    </w:p>
    <w:p w:rsidR="00544CB5" w:rsidRPr="00CA179C" w:rsidRDefault="00544CB5" w:rsidP="00397196">
      <w:pPr>
        <w:spacing w:after="0" w:line="480" w:lineRule="auto"/>
        <w:jc w:val="both"/>
        <w:rPr>
          <w:rFonts w:ascii="Arial" w:hAnsi="Arial" w:cs="Arial"/>
          <w:color w:val="000000"/>
          <w:sz w:val="24"/>
          <w:szCs w:val="24"/>
          <w:lang w:val="en-US"/>
        </w:rPr>
      </w:pPr>
    </w:p>
    <w:p w:rsidR="00544CB5" w:rsidRPr="00CA179C" w:rsidRDefault="00544CB5" w:rsidP="00397196">
      <w:pPr>
        <w:spacing w:after="0" w:line="480" w:lineRule="auto"/>
        <w:jc w:val="both"/>
        <w:rPr>
          <w:rFonts w:ascii="Arial" w:hAnsi="Arial" w:cs="Arial"/>
          <w:b/>
          <w:color w:val="000000"/>
          <w:sz w:val="24"/>
          <w:szCs w:val="24"/>
          <w:lang w:val="en-US"/>
        </w:rPr>
      </w:pPr>
      <w:r w:rsidRPr="00CA179C">
        <w:rPr>
          <w:rFonts w:ascii="Arial" w:hAnsi="Arial" w:cs="Arial"/>
          <w:b/>
          <w:color w:val="000000"/>
          <w:sz w:val="24"/>
          <w:szCs w:val="24"/>
          <w:lang w:val="en-US"/>
        </w:rPr>
        <w:t>Microarray data analysis</w:t>
      </w:r>
      <w:r w:rsidR="009C691A">
        <w:rPr>
          <w:rFonts w:ascii="Arial" w:hAnsi="Arial" w:cs="Arial"/>
          <w:b/>
          <w:color w:val="000000"/>
          <w:sz w:val="24"/>
          <w:szCs w:val="24"/>
          <w:lang w:val="en-US"/>
        </w:rPr>
        <w:t>.</w:t>
      </w:r>
    </w:p>
    <w:p w:rsidR="00544CB5" w:rsidRPr="00CA179C" w:rsidRDefault="00544CB5" w:rsidP="00397196">
      <w:pPr>
        <w:keepNext/>
        <w:pBdr>
          <w:top w:val="nil"/>
          <w:left w:val="nil"/>
          <w:bottom w:val="nil"/>
          <w:right w:val="nil"/>
          <w:between w:val="nil"/>
        </w:pBdr>
        <w:spacing w:after="0" w:line="480" w:lineRule="auto"/>
        <w:jc w:val="both"/>
        <w:rPr>
          <w:rFonts w:ascii="Arial" w:hAnsi="Arial" w:cs="Arial"/>
          <w:color w:val="000000"/>
          <w:sz w:val="24"/>
          <w:szCs w:val="24"/>
          <w:lang w:val="en-US"/>
        </w:rPr>
      </w:pPr>
      <w:r w:rsidRPr="00CA179C">
        <w:rPr>
          <w:rFonts w:ascii="Arial" w:hAnsi="Arial" w:cs="Arial"/>
          <w:color w:val="000000"/>
          <w:sz w:val="24"/>
          <w:szCs w:val="24"/>
          <w:lang w:val="en-US"/>
        </w:rPr>
        <w:t xml:space="preserve">Illumina </w:t>
      </w:r>
      <w:proofErr w:type="spellStart"/>
      <w:r w:rsidRPr="00CA179C">
        <w:rPr>
          <w:rFonts w:ascii="Arial" w:hAnsi="Arial" w:cs="Arial"/>
          <w:color w:val="000000"/>
          <w:sz w:val="24"/>
          <w:szCs w:val="24"/>
          <w:lang w:val="en-US"/>
        </w:rPr>
        <w:t>Infinium</w:t>
      </w:r>
      <w:proofErr w:type="spellEnd"/>
      <w:r w:rsidRPr="00CA179C">
        <w:rPr>
          <w:rFonts w:ascii="Arial" w:hAnsi="Arial" w:cs="Arial"/>
          <w:color w:val="000000"/>
          <w:sz w:val="24"/>
          <w:szCs w:val="24"/>
          <w:lang w:val="en-US"/>
        </w:rPr>
        <w:t xml:space="preserve"> Human Methylation EPIC raw data were imported into R/Bioconductor environment (</w:t>
      </w:r>
      <w:r w:rsidR="005414F3">
        <w:rPr>
          <w:rFonts w:ascii="Arial" w:hAnsi="Arial" w:cs="Arial"/>
          <w:color w:val="000000" w:themeColor="text1"/>
          <w:sz w:val="24"/>
          <w:szCs w:val="24"/>
          <w:lang w:val="en-US"/>
        </w:rPr>
        <w:t>2</w:t>
      </w:r>
      <w:r w:rsidRPr="00CA179C">
        <w:rPr>
          <w:rFonts w:ascii="Arial" w:hAnsi="Arial" w:cs="Arial"/>
          <w:color w:val="000000"/>
          <w:sz w:val="24"/>
          <w:szCs w:val="24"/>
          <w:lang w:val="en-US"/>
        </w:rPr>
        <w:t xml:space="preserve">) for quality control, normalization, visualization, and processing, according to </w:t>
      </w:r>
      <w:proofErr w:type="spellStart"/>
      <w:r w:rsidRPr="00CA179C">
        <w:rPr>
          <w:rFonts w:ascii="Arial" w:hAnsi="Arial" w:cs="Arial"/>
          <w:color w:val="000000"/>
          <w:sz w:val="24"/>
          <w:szCs w:val="24"/>
          <w:lang w:val="en-US"/>
        </w:rPr>
        <w:t>Todoerti</w:t>
      </w:r>
      <w:proofErr w:type="spellEnd"/>
      <w:r w:rsidRPr="00CA179C">
        <w:rPr>
          <w:rFonts w:ascii="Arial" w:hAnsi="Arial" w:cs="Arial"/>
          <w:color w:val="000000"/>
          <w:sz w:val="24"/>
          <w:szCs w:val="24"/>
          <w:lang w:val="en-US"/>
        </w:rPr>
        <w:t xml:space="preserve"> et al. (</w:t>
      </w:r>
      <w:r w:rsidR="005414F3">
        <w:rPr>
          <w:rFonts w:ascii="Arial" w:hAnsi="Arial" w:cs="Arial"/>
          <w:color w:val="000000"/>
          <w:sz w:val="24"/>
          <w:szCs w:val="24"/>
          <w:lang w:val="en-US"/>
        </w:rPr>
        <w:t>3</w:t>
      </w:r>
      <w:r w:rsidRPr="00CA179C">
        <w:rPr>
          <w:rFonts w:ascii="Arial" w:hAnsi="Arial" w:cs="Arial"/>
          <w:color w:val="000000"/>
          <w:sz w:val="24"/>
          <w:szCs w:val="24"/>
          <w:lang w:val="en-US"/>
        </w:rPr>
        <w:t xml:space="preserve">). For graphic representation, the methylation level was expressed mainly in terms of β-value, which describes the ratio between methylated and total (methylated and </w:t>
      </w:r>
      <w:proofErr w:type="spellStart"/>
      <w:r w:rsidRPr="00CA179C">
        <w:rPr>
          <w:rFonts w:ascii="Arial" w:hAnsi="Arial" w:cs="Arial"/>
          <w:color w:val="000000"/>
          <w:sz w:val="24"/>
          <w:szCs w:val="24"/>
          <w:lang w:val="en-US"/>
        </w:rPr>
        <w:t>unmethylated</w:t>
      </w:r>
      <w:proofErr w:type="spellEnd"/>
      <w:r w:rsidRPr="00CA179C">
        <w:rPr>
          <w:rFonts w:ascii="Arial" w:hAnsi="Arial" w:cs="Arial"/>
          <w:color w:val="000000"/>
          <w:sz w:val="24"/>
          <w:szCs w:val="24"/>
          <w:lang w:val="en-US"/>
        </w:rPr>
        <w:t>) signals (</w:t>
      </w:r>
      <w:r w:rsidR="005414F3">
        <w:rPr>
          <w:rFonts w:ascii="Arial" w:hAnsi="Arial" w:cs="Arial"/>
          <w:color w:val="000000"/>
          <w:sz w:val="24"/>
          <w:szCs w:val="24"/>
          <w:lang w:val="en-US"/>
        </w:rPr>
        <w:t>2</w:t>
      </w:r>
      <w:r w:rsidRPr="00CA179C">
        <w:rPr>
          <w:rFonts w:ascii="Arial" w:hAnsi="Arial" w:cs="Arial"/>
          <w:color w:val="000000"/>
          <w:sz w:val="24"/>
          <w:szCs w:val="24"/>
          <w:lang w:val="en-US"/>
        </w:rPr>
        <w:t>), according to the following formula: β-value=M/(</w:t>
      </w:r>
      <w:proofErr w:type="spellStart"/>
      <w:r w:rsidRPr="00CA179C">
        <w:rPr>
          <w:rFonts w:ascii="Arial" w:hAnsi="Arial" w:cs="Arial"/>
          <w:color w:val="000000"/>
          <w:sz w:val="24"/>
          <w:szCs w:val="24"/>
          <w:lang w:val="en-US"/>
        </w:rPr>
        <w:t>M+U+offset</w:t>
      </w:r>
      <w:proofErr w:type="spellEnd"/>
      <w:r w:rsidRPr="00CA179C">
        <w:rPr>
          <w:rFonts w:ascii="Arial" w:hAnsi="Arial" w:cs="Arial"/>
          <w:color w:val="000000"/>
          <w:sz w:val="24"/>
          <w:szCs w:val="24"/>
          <w:lang w:val="en-US"/>
        </w:rPr>
        <w:t xml:space="preserve">). For the differential analysis, the M-value was assessed, as log </w:t>
      </w:r>
      <w:r w:rsidRPr="00CA179C">
        <w:rPr>
          <w:rFonts w:ascii="Arial" w:hAnsi="Arial" w:cs="Arial"/>
          <w:color w:val="000000"/>
          <w:sz w:val="24"/>
          <w:szCs w:val="24"/>
          <w:lang w:val="en-US"/>
        </w:rPr>
        <w:lastRenderedPageBreak/>
        <w:t xml:space="preserve">ratio between methylated and </w:t>
      </w:r>
      <w:proofErr w:type="spellStart"/>
      <w:r w:rsidRPr="00CA179C">
        <w:rPr>
          <w:rFonts w:ascii="Arial" w:hAnsi="Arial" w:cs="Arial"/>
          <w:color w:val="000000"/>
          <w:sz w:val="24"/>
          <w:szCs w:val="24"/>
          <w:lang w:val="en-US"/>
        </w:rPr>
        <w:t>unmethylated</w:t>
      </w:r>
      <w:proofErr w:type="spellEnd"/>
      <w:r w:rsidRPr="00CA179C">
        <w:rPr>
          <w:rFonts w:ascii="Arial" w:hAnsi="Arial" w:cs="Arial"/>
          <w:color w:val="000000"/>
          <w:sz w:val="24"/>
          <w:szCs w:val="24"/>
          <w:lang w:val="en-US"/>
        </w:rPr>
        <w:t xml:space="preserve"> signals (</w:t>
      </w:r>
      <w:r w:rsidR="005414F3">
        <w:rPr>
          <w:rFonts w:ascii="Arial" w:hAnsi="Arial" w:cs="Arial"/>
          <w:color w:val="000000"/>
          <w:sz w:val="24"/>
          <w:szCs w:val="24"/>
          <w:lang w:val="en-US"/>
        </w:rPr>
        <w:t>2</w:t>
      </w:r>
      <w:r w:rsidRPr="00CA179C">
        <w:rPr>
          <w:rFonts w:ascii="Arial" w:hAnsi="Arial" w:cs="Arial"/>
          <w:color w:val="000000"/>
          <w:sz w:val="24"/>
          <w:szCs w:val="24"/>
          <w:lang w:val="en-US"/>
        </w:rPr>
        <w:t xml:space="preserve">), according to the following formula: M-value=log2(M/U). For the annotation of methylation probes we used the annotations for Illumina's EPIC methylation arrays (IlluminaHumanMethylationEPICanno.ilm10b2.hg19) package and we focused on genomic context (TSS1500, TSS200, 5'UTR, 1stExon, </w:t>
      </w:r>
      <w:proofErr w:type="spellStart"/>
      <w:r w:rsidRPr="00CA179C">
        <w:rPr>
          <w:rFonts w:ascii="Arial" w:hAnsi="Arial" w:cs="Arial"/>
          <w:color w:val="000000"/>
          <w:sz w:val="24"/>
          <w:szCs w:val="24"/>
          <w:lang w:val="en-US"/>
        </w:rPr>
        <w:t>GeneBody</w:t>
      </w:r>
      <w:proofErr w:type="spellEnd"/>
      <w:r w:rsidRPr="00CA179C">
        <w:rPr>
          <w:rFonts w:ascii="Arial" w:hAnsi="Arial" w:cs="Arial"/>
          <w:color w:val="000000"/>
          <w:sz w:val="24"/>
          <w:szCs w:val="24"/>
          <w:lang w:val="en-US"/>
        </w:rPr>
        <w:t xml:space="preserve">, 3'UTR, </w:t>
      </w:r>
      <w:proofErr w:type="spellStart"/>
      <w:r w:rsidRPr="00CA179C">
        <w:rPr>
          <w:rFonts w:ascii="Arial" w:hAnsi="Arial" w:cs="Arial"/>
          <w:color w:val="000000"/>
          <w:sz w:val="24"/>
          <w:szCs w:val="24"/>
          <w:lang w:val="en-US"/>
        </w:rPr>
        <w:t>ExonBnd</w:t>
      </w:r>
      <w:proofErr w:type="spellEnd"/>
      <w:r w:rsidRPr="00CA179C">
        <w:rPr>
          <w:rFonts w:ascii="Arial" w:hAnsi="Arial" w:cs="Arial"/>
          <w:color w:val="000000"/>
          <w:sz w:val="24"/>
          <w:szCs w:val="24"/>
          <w:lang w:val="en-US"/>
        </w:rPr>
        <w:t xml:space="preserve"> and Not linked to gene) and CGI regions (Shelf, Shore, Island and Open Sea). The differential analysis between primary-resistant and drug-sensitive tumors provided a lists of Differentially Methylated Positions. Probes and corresponding genes were interpreted as differentially methylated if the p-value was &lt; 0.05. Volcano plots and pie charts were obtained by the ggplot2 R package. For subsequent analyses, only methylation events occurring in promoter regions were considered, and a probe was interpreted as promoter if annotated as TSS1500, TSS200, 5'UTR or 1stExon in </w:t>
      </w:r>
      <w:proofErr w:type="spellStart"/>
      <w:r w:rsidRPr="00CA179C">
        <w:rPr>
          <w:rFonts w:ascii="Arial" w:hAnsi="Arial" w:cs="Arial"/>
          <w:color w:val="000000"/>
          <w:sz w:val="24"/>
          <w:szCs w:val="24"/>
          <w:lang w:val="en-US"/>
        </w:rPr>
        <w:t>UCSC_RefGene_Group</w:t>
      </w:r>
      <w:proofErr w:type="spellEnd"/>
      <w:r w:rsidRPr="00CA179C">
        <w:rPr>
          <w:rFonts w:ascii="Arial" w:hAnsi="Arial" w:cs="Arial"/>
          <w:color w:val="000000"/>
          <w:sz w:val="24"/>
          <w:szCs w:val="24"/>
          <w:lang w:val="en-US"/>
        </w:rPr>
        <w:t xml:space="preserve"> (Gene region feature category describing the CpG position, from UCSC) by Illumina </w:t>
      </w:r>
      <w:proofErr w:type="spellStart"/>
      <w:r w:rsidRPr="00CA179C">
        <w:rPr>
          <w:rFonts w:ascii="Arial" w:hAnsi="Arial" w:cs="Arial"/>
          <w:color w:val="000000"/>
          <w:sz w:val="24"/>
          <w:szCs w:val="24"/>
          <w:lang w:val="en-US"/>
        </w:rPr>
        <w:t>Infinium</w:t>
      </w:r>
      <w:proofErr w:type="spellEnd"/>
      <w:r w:rsidRPr="00CA179C">
        <w:rPr>
          <w:rFonts w:ascii="Arial" w:hAnsi="Arial" w:cs="Arial"/>
          <w:color w:val="000000"/>
          <w:sz w:val="24"/>
          <w:szCs w:val="24"/>
          <w:lang w:val="en-US"/>
        </w:rPr>
        <w:t xml:space="preserve"> </w:t>
      </w:r>
      <w:proofErr w:type="spellStart"/>
      <w:r w:rsidRPr="00CA179C">
        <w:rPr>
          <w:rFonts w:ascii="Arial" w:hAnsi="Arial" w:cs="Arial"/>
          <w:color w:val="000000"/>
          <w:sz w:val="24"/>
          <w:szCs w:val="24"/>
          <w:lang w:val="en-US"/>
        </w:rPr>
        <w:t>MethylationEPIC</w:t>
      </w:r>
      <w:proofErr w:type="spellEnd"/>
      <w:r w:rsidRPr="00CA179C">
        <w:rPr>
          <w:rFonts w:ascii="Arial" w:hAnsi="Arial" w:cs="Arial"/>
          <w:color w:val="000000"/>
          <w:sz w:val="24"/>
          <w:szCs w:val="24"/>
          <w:lang w:val="en-US"/>
        </w:rPr>
        <w:t xml:space="preserve"> Manifest.</w:t>
      </w:r>
    </w:p>
    <w:p w:rsidR="00544CB5" w:rsidRPr="00CA179C" w:rsidRDefault="00544CB5" w:rsidP="00397196">
      <w:pPr>
        <w:spacing w:after="0" w:line="480" w:lineRule="auto"/>
        <w:jc w:val="both"/>
        <w:rPr>
          <w:rFonts w:ascii="Arial" w:hAnsi="Arial" w:cs="Arial"/>
          <w:b/>
          <w:sz w:val="24"/>
          <w:szCs w:val="24"/>
          <w:lang w:val="en-US"/>
        </w:rPr>
      </w:pPr>
    </w:p>
    <w:p w:rsidR="00CA179C" w:rsidRDefault="00915F55" w:rsidP="00397196">
      <w:pPr>
        <w:spacing w:after="0" w:line="480" w:lineRule="auto"/>
        <w:jc w:val="both"/>
        <w:rPr>
          <w:rFonts w:ascii="Arial" w:hAnsi="Arial" w:cs="Arial"/>
          <w:b/>
          <w:sz w:val="24"/>
          <w:szCs w:val="24"/>
          <w:lang w:val="en-US"/>
        </w:rPr>
      </w:pPr>
      <w:proofErr w:type="spellStart"/>
      <w:r w:rsidRPr="00CA179C">
        <w:rPr>
          <w:rFonts w:ascii="Arial" w:hAnsi="Arial" w:cs="Arial"/>
          <w:b/>
          <w:color w:val="000000"/>
          <w:sz w:val="24"/>
          <w:szCs w:val="24"/>
          <w:lang w:val="en-US"/>
        </w:rPr>
        <w:t>Cytofluorimetric</w:t>
      </w:r>
      <w:proofErr w:type="spellEnd"/>
      <w:r w:rsidRPr="00CA179C">
        <w:rPr>
          <w:rFonts w:ascii="Arial" w:hAnsi="Arial" w:cs="Arial"/>
          <w:b/>
          <w:color w:val="000000"/>
          <w:sz w:val="24"/>
          <w:szCs w:val="24"/>
          <w:lang w:val="en-US"/>
        </w:rPr>
        <w:t xml:space="preserve"> analysis</w:t>
      </w:r>
      <w:r w:rsidR="009C691A">
        <w:rPr>
          <w:rFonts w:ascii="Arial" w:hAnsi="Arial" w:cs="Arial"/>
          <w:b/>
          <w:sz w:val="24"/>
          <w:szCs w:val="24"/>
          <w:lang w:val="en-US"/>
        </w:rPr>
        <w:t>.</w:t>
      </w:r>
    </w:p>
    <w:p w:rsidR="00915F55" w:rsidRPr="00CA179C" w:rsidRDefault="00915F55" w:rsidP="00397196">
      <w:pPr>
        <w:spacing w:after="0" w:line="480" w:lineRule="auto"/>
        <w:jc w:val="both"/>
        <w:rPr>
          <w:rFonts w:ascii="Arial" w:hAnsi="Arial" w:cs="Arial"/>
          <w:color w:val="000000"/>
          <w:sz w:val="24"/>
          <w:szCs w:val="24"/>
          <w:lang w:val="en-US"/>
        </w:rPr>
      </w:pPr>
      <w:r w:rsidRPr="00CA179C">
        <w:rPr>
          <w:rFonts w:ascii="Arial" w:hAnsi="Arial" w:cs="Arial"/>
          <w:color w:val="000000"/>
          <w:sz w:val="24"/>
          <w:szCs w:val="24"/>
          <w:lang w:val="en-US"/>
        </w:rPr>
        <w:t xml:space="preserve">Apoptosis was evaluated by </w:t>
      </w:r>
      <w:proofErr w:type="spellStart"/>
      <w:r w:rsidRPr="00CA179C">
        <w:rPr>
          <w:rFonts w:ascii="Arial" w:hAnsi="Arial" w:cs="Arial"/>
          <w:color w:val="000000"/>
          <w:sz w:val="24"/>
          <w:szCs w:val="24"/>
          <w:lang w:val="en-US"/>
        </w:rPr>
        <w:t>cytofluorimetric</w:t>
      </w:r>
      <w:proofErr w:type="spellEnd"/>
      <w:r w:rsidRPr="00CA179C">
        <w:rPr>
          <w:rFonts w:ascii="Arial" w:hAnsi="Arial" w:cs="Arial"/>
          <w:color w:val="000000"/>
          <w:sz w:val="24"/>
          <w:szCs w:val="24"/>
          <w:lang w:val="en-US"/>
        </w:rPr>
        <w:t xml:space="preserve"> analysis of </w:t>
      </w:r>
      <w:proofErr w:type="spellStart"/>
      <w:r w:rsidRPr="00CA179C">
        <w:rPr>
          <w:rFonts w:ascii="Arial" w:hAnsi="Arial" w:cs="Arial"/>
          <w:color w:val="000000"/>
          <w:sz w:val="24"/>
          <w:szCs w:val="24"/>
          <w:lang w:val="en-US"/>
        </w:rPr>
        <w:t>Annexin</w:t>
      </w:r>
      <w:proofErr w:type="spellEnd"/>
      <w:r w:rsidRPr="00CA179C">
        <w:rPr>
          <w:rFonts w:ascii="Arial" w:hAnsi="Arial" w:cs="Arial"/>
          <w:color w:val="000000"/>
          <w:sz w:val="24"/>
          <w:szCs w:val="24"/>
          <w:lang w:val="en-US"/>
        </w:rPr>
        <w:t xml:space="preserve">-V and 7-amino-actinomycin-D (7-AAD)-positive cells using the fluorescent </w:t>
      </w:r>
      <w:proofErr w:type="spellStart"/>
      <w:r w:rsidRPr="00CA179C">
        <w:rPr>
          <w:rFonts w:ascii="Arial" w:hAnsi="Arial" w:cs="Arial"/>
          <w:color w:val="000000"/>
          <w:sz w:val="24"/>
          <w:szCs w:val="24"/>
          <w:lang w:val="en-US"/>
        </w:rPr>
        <w:t>isothiocyanate</w:t>
      </w:r>
      <w:proofErr w:type="spellEnd"/>
      <w:r w:rsidRPr="00CA179C">
        <w:rPr>
          <w:rFonts w:ascii="Arial" w:hAnsi="Arial" w:cs="Arial"/>
          <w:color w:val="000000"/>
          <w:sz w:val="24"/>
          <w:szCs w:val="24"/>
          <w:lang w:val="en-US"/>
        </w:rPr>
        <w:t xml:space="preserve"> (FITC)-</w:t>
      </w:r>
      <w:proofErr w:type="spellStart"/>
      <w:r w:rsidRPr="00CA179C">
        <w:rPr>
          <w:rFonts w:ascii="Arial" w:hAnsi="Arial" w:cs="Arial"/>
          <w:color w:val="000000"/>
          <w:sz w:val="24"/>
          <w:szCs w:val="24"/>
          <w:lang w:val="en-US"/>
        </w:rPr>
        <w:t>Annexin</w:t>
      </w:r>
      <w:proofErr w:type="spellEnd"/>
      <w:r w:rsidRPr="00CA179C">
        <w:rPr>
          <w:rFonts w:ascii="Arial" w:hAnsi="Arial" w:cs="Arial"/>
          <w:color w:val="000000"/>
          <w:sz w:val="24"/>
          <w:szCs w:val="24"/>
          <w:lang w:val="en-US"/>
        </w:rPr>
        <w:t xml:space="preserve">-V/7-AAD kit (Beckman Coulter). Stained cells were analyzed using the </w:t>
      </w:r>
      <w:proofErr w:type="spellStart"/>
      <w:r w:rsidRPr="00CA179C">
        <w:rPr>
          <w:rFonts w:ascii="Arial" w:hAnsi="Arial" w:cs="Arial"/>
          <w:color w:val="000000"/>
          <w:sz w:val="24"/>
          <w:szCs w:val="24"/>
          <w:lang w:val="en-US"/>
        </w:rPr>
        <w:t>FACSCaliburTM</w:t>
      </w:r>
      <w:proofErr w:type="spellEnd"/>
      <w:r w:rsidRPr="00CA179C">
        <w:rPr>
          <w:rFonts w:ascii="Arial" w:hAnsi="Arial" w:cs="Arial"/>
          <w:color w:val="000000"/>
          <w:sz w:val="24"/>
          <w:szCs w:val="24"/>
          <w:lang w:val="en-US"/>
        </w:rPr>
        <w:t xml:space="preserve"> (Becton Dickinson). Positive staining for </w:t>
      </w:r>
      <w:proofErr w:type="spellStart"/>
      <w:r w:rsidRPr="00CA179C">
        <w:rPr>
          <w:rFonts w:ascii="Arial" w:hAnsi="Arial" w:cs="Arial"/>
          <w:color w:val="000000"/>
          <w:sz w:val="24"/>
          <w:szCs w:val="24"/>
          <w:lang w:val="en-US"/>
        </w:rPr>
        <w:t>Annexin</w:t>
      </w:r>
      <w:proofErr w:type="spellEnd"/>
      <w:r w:rsidRPr="00CA179C">
        <w:rPr>
          <w:rFonts w:ascii="Arial" w:hAnsi="Arial" w:cs="Arial"/>
          <w:color w:val="000000"/>
          <w:sz w:val="24"/>
          <w:szCs w:val="24"/>
          <w:lang w:val="en-US"/>
        </w:rPr>
        <w:t>-V and 7-AAD were interpreted as signs of early and late phases of apoptosis respectively.</w:t>
      </w:r>
      <w:r w:rsidR="009C691A">
        <w:rPr>
          <w:rFonts w:ascii="Arial" w:hAnsi="Arial" w:cs="Arial"/>
          <w:color w:val="000000"/>
          <w:sz w:val="24"/>
          <w:szCs w:val="24"/>
          <w:lang w:val="en-US"/>
        </w:rPr>
        <w:t xml:space="preserve"> Apoptosis analysis was performed in triplicate.</w:t>
      </w:r>
    </w:p>
    <w:p w:rsidR="00915F55" w:rsidRPr="00CA179C" w:rsidRDefault="00915F55" w:rsidP="00397196">
      <w:pPr>
        <w:spacing w:after="0" w:line="480" w:lineRule="auto"/>
        <w:jc w:val="both"/>
        <w:rPr>
          <w:rFonts w:ascii="Arial" w:hAnsi="Arial" w:cs="Arial"/>
          <w:color w:val="000000"/>
          <w:sz w:val="24"/>
          <w:szCs w:val="24"/>
          <w:lang w:val="en-US"/>
        </w:rPr>
      </w:pPr>
    </w:p>
    <w:p w:rsidR="00915F55" w:rsidRPr="00CA179C" w:rsidRDefault="00915F55" w:rsidP="00397196">
      <w:pPr>
        <w:spacing w:after="0" w:line="480" w:lineRule="auto"/>
        <w:jc w:val="both"/>
        <w:rPr>
          <w:rFonts w:ascii="Arial" w:hAnsi="Arial" w:cs="Arial"/>
          <w:color w:val="000000"/>
          <w:sz w:val="24"/>
          <w:szCs w:val="24"/>
          <w:lang w:val="en-US"/>
        </w:rPr>
      </w:pPr>
      <w:r w:rsidRPr="00CA179C">
        <w:rPr>
          <w:rFonts w:ascii="Arial" w:hAnsi="Arial" w:cs="Arial"/>
          <w:b/>
          <w:color w:val="000000"/>
          <w:sz w:val="24"/>
          <w:szCs w:val="24"/>
          <w:lang w:val="en-US"/>
        </w:rPr>
        <w:t>Real Time RT-PCR analysis</w:t>
      </w:r>
    </w:p>
    <w:p w:rsidR="006233E4" w:rsidRDefault="00915F55" w:rsidP="00C15051">
      <w:pPr>
        <w:keepNext/>
        <w:pBdr>
          <w:top w:val="nil"/>
          <w:left w:val="nil"/>
          <w:bottom w:val="nil"/>
          <w:right w:val="nil"/>
          <w:between w:val="nil"/>
        </w:pBdr>
        <w:spacing w:after="0" w:line="480" w:lineRule="auto"/>
        <w:jc w:val="both"/>
        <w:rPr>
          <w:rFonts w:ascii="Arial" w:hAnsi="Arial" w:cs="Arial"/>
          <w:color w:val="000000"/>
          <w:sz w:val="24"/>
          <w:szCs w:val="24"/>
          <w:lang w:val="en-US"/>
        </w:rPr>
      </w:pPr>
      <w:r w:rsidRPr="00CA179C">
        <w:rPr>
          <w:rFonts w:ascii="Arial" w:hAnsi="Arial" w:cs="Arial"/>
          <w:color w:val="000000"/>
          <w:sz w:val="24"/>
          <w:szCs w:val="24"/>
          <w:lang w:val="en-US"/>
        </w:rPr>
        <w:t xml:space="preserve">The RNA concentration and purity were assessed by </w:t>
      </w:r>
      <w:proofErr w:type="spellStart"/>
      <w:r w:rsidRPr="00CA179C">
        <w:rPr>
          <w:rFonts w:ascii="Arial" w:hAnsi="Arial" w:cs="Arial"/>
          <w:color w:val="000000"/>
          <w:sz w:val="24"/>
          <w:szCs w:val="24"/>
          <w:lang w:val="en-US"/>
        </w:rPr>
        <w:t>NanoDrop</w:t>
      </w:r>
      <w:proofErr w:type="spellEnd"/>
      <w:r w:rsidRPr="00CA179C">
        <w:rPr>
          <w:rFonts w:ascii="Arial" w:hAnsi="Arial" w:cs="Arial"/>
          <w:color w:val="000000"/>
          <w:sz w:val="24"/>
          <w:szCs w:val="24"/>
          <w:lang w:val="en-US"/>
        </w:rPr>
        <w:t xml:space="preserve"> technology (</w:t>
      </w:r>
      <w:proofErr w:type="spellStart"/>
      <w:r w:rsidRPr="00CA179C">
        <w:rPr>
          <w:rFonts w:ascii="Arial" w:hAnsi="Arial" w:cs="Arial"/>
          <w:color w:val="000000"/>
          <w:sz w:val="24"/>
          <w:szCs w:val="24"/>
          <w:lang w:val="en-US"/>
        </w:rPr>
        <w:t>Thermo</w:t>
      </w:r>
      <w:proofErr w:type="spellEnd"/>
      <w:r w:rsidRPr="00CA179C">
        <w:rPr>
          <w:rFonts w:ascii="Arial" w:hAnsi="Arial" w:cs="Arial"/>
          <w:color w:val="000000"/>
          <w:sz w:val="24"/>
          <w:szCs w:val="24"/>
          <w:lang w:val="en-US"/>
        </w:rPr>
        <w:t xml:space="preserve"> Scientific) using, respectively, the absorbance at 260 nm and the 260/280 nm absorbance ratio. For first strand synthesis of cDNA, 1 </w:t>
      </w:r>
      <w:proofErr w:type="spellStart"/>
      <w:r w:rsidRPr="00CA179C">
        <w:rPr>
          <w:rFonts w:ascii="Arial" w:hAnsi="Arial" w:cs="Arial"/>
          <w:color w:val="000000"/>
          <w:sz w:val="24"/>
          <w:szCs w:val="24"/>
          <w:lang w:val="en-US"/>
        </w:rPr>
        <w:t>μg</w:t>
      </w:r>
      <w:proofErr w:type="spellEnd"/>
      <w:r w:rsidRPr="00CA179C">
        <w:rPr>
          <w:rFonts w:ascii="Arial" w:hAnsi="Arial" w:cs="Arial"/>
          <w:color w:val="000000"/>
          <w:sz w:val="24"/>
          <w:szCs w:val="24"/>
          <w:lang w:val="en-US"/>
        </w:rPr>
        <w:t xml:space="preserve"> of RNA was used in a 20 </w:t>
      </w:r>
      <w:proofErr w:type="spellStart"/>
      <w:r w:rsidRPr="00CA179C">
        <w:rPr>
          <w:rFonts w:ascii="Arial" w:hAnsi="Arial" w:cs="Arial"/>
          <w:color w:val="000000"/>
          <w:sz w:val="24"/>
          <w:szCs w:val="24"/>
          <w:lang w:val="en-US"/>
        </w:rPr>
        <w:t>μl</w:t>
      </w:r>
      <w:proofErr w:type="spellEnd"/>
      <w:r w:rsidRPr="00CA179C">
        <w:rPr>
          <w:rFonts w:ascii="Arial" w:hAnsi="Arial" w:cs="Arial"/>
          <w:color w:val="000000"/>
          <w:sz w:val="24"/>
          <w:szCs w:val="24"/>
          <w:lang w:val="en-US"/>
        </w:rPr>
        <w:t xml:space="preserve"> reaction mixture </w:t>
      </w:r>
      <w:r w:rsidRPr="00CA179C">
        <w:rPr>
          <w:rFonts w:ascii="Arial" w:hAnsi="Arial" w:cs="Arial"/>
          <w:color w:val="000000"/>
          <w:sz w:val="24"/>
          <w:szCs w:val="24"/>
          <w:lang w:val="en-US"/>
        </w:rPr>
        <w:lastRenderedPageBreak/>
        <w:t xml:space="preserve">utilizing a </w:t>
      </w:r>
      <w:proofErr w:type="spellStart"/>
      <w:r w:rsidRPr="00CA179C">
        <w:rPr>
          <w:rFonts w:ascii="Arial" w:hAnsi="Arial" w:cs="Arial"/>
          <w:color w:val="000000"/>
          <w:sz w:val="24"/>
          <w:szCs w:val="24"/>
          <w:lang w:val="en-US"/>
        </w:rPr>
        <w:t>Transcriptor</w:t>
      </w:r>
      <w:proofErr w:type="spellEnd"/>
      <w:r w:rsidRPr="00CA179C">
        <w:rPr>
          <w:rFonts w:ascii="Arial" w:hAnsi="Arial" w:cs="Arial"/>
          <w:color w:val="000000"/>
          <w:sz w:val="24"/>
          <w:szCs w:val="24"/>
          <w:lang w:val="en-US"/>
        </w:rPr>
        <w:t xml:space="preserve"> First Strand cDNA Synthesis Kit (Roche). For Real Time PCR analysis, 0.5 ng of cDNA sample was amplified using the </w:t>
      </w:r>
      <w:proofErr w:type="spellStart"/>
      <w:r w:rsidRPr="00CA179C">
        <w:rPr>
          <w:rFonts w:ascii="Arial" w:hAnsi="Arial" w:cs="Arial"/>
          <w:color w:val="000000"/>
          <w:sz w:val="24"/>
          <w:szCs w:val="24"/>
          <w:lang w:val="en-US"/>
        </w:rPr>
        <w:t>LightCycler</w:t>
      </w:r>
      <w:proofErr w:type="spellEnd"/>
      <w:r w:rsidRPr="00CA179C">
        <w:rPr>
          <w:rFonts w:ascii="Arial" w:hAnsi="Arial" w:cs="Arial"/>
          <w:color w:val="000000"/>
          <w:sz w:val="24"/>
          <w:szCs w:val="24"/>
          <w:lang w:val="en-US"/>
        </w:rPr>
        <w:t xml:space="preserve"> 480 SYBR Green I Master (Roche) in a Light Cycler 480 (Roche). Reaction conditions were as follows: pre-incubation at 95 °C for 5 min, followed by 45 cycles of 10 s at 95 °C, 10 s at 60 °C, 10 s at 72 °C. </w:t>
      </w:r>
      <w:proofErr w:type="spellStart"/>
      <w:r w:rsidRPr="00CA179C">
        <w:rPr>
          <w:rFonts w:ascii="Arial" w:hAnsi="Arial" w:cs="Arial"/>
          <w:color w:val="000000"/>
          <w:sz w:val="24"/>
          <w:szCs w:val="24"/>
          <w:lang w:val="en-US"/>
        </w:rPr>
        <w:t>ßActin</w:t>
      </w:r>
      <w:proofErr w:type="spellEnd"/>
      <w:r w:rsidRPr="00CA179C">
        <w:rPr>
          <w:rFonts w:ascii="Arial" w:hAnsi="Arial" w:cs="Arial"/>
          <w:color w:val="000000"/>
          <w:sz w:val="24"/>
          <w:szCs w:val="24"/>
          <w:lang w:val="en-US"/>
        </w:rPr>
        <w:t xml:space="preserve"> was chosen as an internal control. Analyses were conducted in triplicate.</w:t>
      </w:r>
    </w:p>
    <w:p w:rsidR="00C15051" w:rsidRPr="00C15051" w:rsidRDefault="00C15051" w:rsidP="00C15051">
      <w:pPr>
        <w:keepNext/>
        <w:pBdr>
          <w:top w:val="nil"/>
          <w:left w:val="nil"/>
          <w:bottom w:val="nil"/>
          <w:right w:val="nil"/>
          <w:between w:val="nil"/>
        </w:pBdr>
        <w:spacing w:after="0" w:line="480" w:lineRule="auto"/>
        <w:jc w:val="both"/>
        <w:rPr>
          <w:rFonts w:ascii="Arial" w:hAnsi="Arial" w:cs="Arial"/>
          <w:color w:val="000000"/>
          <w:sz w:val="24"/>
          <w:szCs w:val="24"/>
          <w:lang w:val="en-US"/>
        </w:rPr>
      </w:pPr>
    </w:p>
    <w:p w:rsidR="001F3A7C" w:rsidRPr="0040125E" w:rsidRDefault="00397196" w:rsidP="00397196">
      <w:pPr>
        <w:spacing w:after="0" w:line="480" w:lineRule="auto"/>
        <w:jc w:val="both"/>
        <w:rPr>
          <w:rFonts w:ascii="Arial" w:hAnsi="Arial" w:cs="Arial"/>
          <w:b/>
          <w:sz w:val="24"/>
          <w:szCs w:val="24"/>
          <w:lang w:val="en-US"/>
        </w:rPr>
      </w:pPr>
      <w:r w:rsidRPr="0040125E">
        <w:rPr>
          <w:rFonts w:ascii="Arial" w:hAnsi="Arial" w:cs="Arial"/>
          <w:b/>
          <w:sz w:val="24"/>
          <w:szCs w:val="24"/>
          <w:lang w:val="en-US"/>
        </w:rPr>
        <w:t>Additional</w:t>
      </w:r>
      <w:r w:rsidR="005414F3" w:rsidRPr="0040125E">
        <w:rPr>
          <w:rFonts w:ascii="Arial" w:hAnsi="Arial" w:cs="Arial"/>
          <w:b/>
          <w:sz w:val="24"/>
          <w:szCs w:val="24"/>
          <w:lang w:val="en-US"/>
        </w:rPr>
        <w:t xml:space="preserve"> References</w:t>
      </w:r>
    </w:p>
    <w:p w:rsidR="005414F3" w:rsidRPr="0040125E" w:rsidRDefault="005414F3" w:rsidP="00397196">
      <w:pPr>
        <w:keepNext/>
        <w:numPr>
          <w:ilvl w:val="0"/>
          <w:numId w:val="1"/>
        </w:numPr>
        <w:pBdr>
          <w:top w:val="nil"/>
          <w:left w:val="nil"/>
          <w:bottom w:val="nil"/>
          <w:right w:val="nil"/>
          <w:between w:val="nil"/>
        </w:pBdr>
        <w:spacing w:after="0" w:line="480" w:lineRule="auto"/>
        <w:jc w:val="both"/>
        <w:rPr>
          <w:rFonts w:ascii="Arial" w:hAnsi="Arial" w:cs="Arial"/>
          <w:color w:val="000000"/>
          <w:sz w:val="24"/>
          <w:szCs w:val="24"/>
          <w:lang w:val="en-US"/>
        </w:rPr>
      </w:pPr>
      <w:r w:rsidRPr="0040125E">
        <w:rPr>
          <w:rFonts w:ascii="Arial" w:hAnsi="Arial" w:cs="Arial"/>
          <w:color w:val="000000"/>
          <w:sz w:val="24"/>
          <w:szCs w:val="24"/>
        </w:rPr>
        <w:t xml:space="preserve">Costantino E, </w:t>
      </w:r>
      <w:r w:rsidR="0099019A" w:rsidRPr="0040125E">
        <w:rPr>
          <w:rFonts w:ascii="Arial" w:hAnsi="Arial" w:cs="Arial"/>
          <w:sz w:val="24"/>
          <w:szCs w:val="24"/>
        </w:rPr>
        <w:t xml:space="preserve">Maddalena F, </w:t>
      </w:r>
      <w:proofErr w:type="spellStart"/>
      <w:r w:rsidR="0099019A" w:rsidRPr="0040125E">
        <w:rPr>
          <w:rFonts w:ascii="Arial" w:hAnsi="Arial" w:cs="Arial"/>
          <w:sz w:val="24"/>
          <w:szCs w:val="24"/>
        </w:rPr>
        <w:t>Calise</w:t>
      </w:r>
      <w:proofErr w:type="spellEnd"/>
      <w:r w:rsidR="0099019A" w:rsidRPr="0040125E">
        <w:rPr>
          <w:rFonts w:ascii="Arial" w:hAnsi="Arial" w:cs="Arial"/>
          <w:sz w:val="24"/>
          <w:szCs w:val="24"/>
        </w:rPr>
        <w:t xml:space="preserve"> S, </w:t>
      </w:r>
      <w:proofErr w:type="spellStart"/>
      <w:r w:rsidR="0099019A" w:rsidRPr="0040125E">
        <w:rPr>
          <w:rFonts w:ascii="Arial" w:hAnsi="Arial" w:cs="Arial"/>
          <w:sz w:val="24"/>
          <w:szCs w:val="24"/>
        </w:rPr>
        <w:t>Piscazzi</w:t>
      </w:r>
      <w:proofErr w:type="spellEnd"/>
      <w:r w:rsidR="0099019A" w:rsidRPr="0040125E">
        <w:rPr>
          <w:rFonts w:ascii="Arial" w:hAnsi="Arial" w:cs="Arial"/>
          <w:sz w:val="24"/>
          <w:szCs w:val="24"/>
        </w:rPr>
        <w:t xml:space="preserve"> A, Tirino V, </w:t>
      </w:r>
      <w:proofErr w:type="spellStart"/>
      <w:r w:rsidR="0099019A" w:rsidRPr="0040125E">
        <w:rPr>
          <w:rFonts w:ascii="Arial" w:hAnsi="Arial" w:cs="Arial"/>
          <w:sz w:val="24"/>
          <w:szCs w:val="24"/>
        </w:rPr>
        <w:t>Fersini</w:t>
      </w:r>
      <w:proofErr w:type="spellEnd"/>
      <w:r w:rsidR="0099019A" w:rsidRPr="0040125E">
        <w:rPr>
          <w:rFonts w:ascii="Arial" w:hAnsi="Arial" w:cs="Arial"/>
          <w:sz w:val="24"/>
          <w:szCs w:val="24"/>
        </w:rPr>
        <w:t xml:space="preserve"> A,</w:t>
      </w:r>
      <w:r w:rsidR="0099019A" w:rsidRPr="0040125E">
        <w:rPr>
          <w:rFonts w:ascii="Arial" w:hAnsi="Arial" w:cs="Arial"/>
          <w:color w:val="000000"/>
          <w:sz w:val="24"/>
          <w:szCs w:val="24"/>
        </w:rPr>
        <w:t xml:space="preserve"> </w:t>
      </w:r>
      <w:r w:rsidRPr="00BC4D42">
        <w:rPr>
          <w:rFonts w:ascii="Arial" w:hAnsi="Arial" w:cs="Arial"/>
          <w:color w:val="000000"/>
          <w:sz w:val="24"/>
          <w:szCs w:val="24"/>
        </w:rPr>
        <w:t>et al</w:t>
      </w:r>
      <w:r w:rsidRPr="0040125E">
        <w:rPr>
          <w:rFonts w:ascii="Arial" w:hAnsi="Arial" w:cs="Arial"/>
          <w:color w:val="000000"/>
          <w:sz w:val="24"/>
          <w:szCs w:val="24"/>
        </w:rPr>
        <w:t xml:space="preserve">. </w:t>
      </w:r>
      <w:r w:rsidRPr="0040125E">
        <w:rPr>
          <w:rFonts w:ascii="Arial" w:hAnsi="Arial" w:cs="Arial"/>
          <w:color w:val="000000"/>
          <w:sz w:val="24"/>
          <w:szCs w:val="24"/>
          <w:lang w:val="en-US"/>
        </w:rPr>
        <w:t xml:space="preserve">TRAP1, a novel mitochondrial chaperone responsible for multi-drug resistance and protection from </w:t>
      </w:r>
      <w:proofErr w:type="spellStart"/>
      <w:r w:rsidRPr="0040125E">
        <w:rPr>
          <w:rFonts w:ascii="Arial" w:hAnsi="Arial" w:cs="Arial"/>
          <w:color w:val="000000"/>
          <w:sz w:val="24"/>
          <w:szCs w:val="24"/>
          <w:lang w:val="en-US"/>
        </w:rPr>
        <w:t>apoptotis</w:t>
      </w:r>
      <w:proofErr w:type="spellEnd"/>
      <w:r w:rsidRPr="0040125E">
        <w:rPr>
          <w:rFonts w:ascii="Arial" w:hAnsi="Arial" w:cs="Arial"/>
          <w:color w:val="000000"/>
          <w:sz w:val="24"/>
          <w:szCs w:val="24"/>
          <w:lang w:val="en-US"/>
        </w:rPr>
        <w:t xml:space="preserve"> in human colorectal carcinoma cells. Cancer Lett 2009;279(1):39-46.</w:t>
      </w:r>
    </w:p>
    <w:p w:rsidR="005414F3" w:rsidRPr="0040125E" w:rsidRDefault="005414F3" w:rsidP="00397196">
      <w:pPr>
        <w:keepNext/>
        <w:numPr>
          <w:ilvl w:val="0"/>
          <w:numId w:val="1"/>
        </w:numPr>
        <w:pBdr>
          <w:top w:val="nil"/>
          <w:left w:val="nil"/>
          <w:bottom w:val="nil"/>
          <w:right w:val="nil"/>
          <w:between w:val="nil"/>
        </w:pBdr>
        <w:spacing w:after="0" w:line="480" w:lineRule="auto"/>
        <w:jc w:val="both"/>
        <w:rPr>
          <w:rFonts w:ascii="Arial" w:hAnsi="Arial" w:cs="Arial"/>
          <w:color w:val="000000"/>
          <w:sz w:val="24"/>
          <w:szCs w:val="24"/>
          <w:lang w:val="en-US"/>
        </w:rPr>
      </w:pPr>
      <w:r w:rsidRPr="0040125E">
        <w:rPr>
          <w:rFonts w:ascii="Arial" w:hAnsi="Arial" w:cs="Arial"/>
          <w:color w:val="000000"/>
          <w:sz w:val="24"/>
          <w:szCs w:val="24"/>
          <w:lang w:val="en-US"/>
        </w:rPr>
        <w:t xml:space="preserve"> </w:t>
      </w:r>
      <w:proofErr w:type="spellStart"/>
      <w:r w:rsidRPr="0040125E">
        <w:rPr>
          <w:rFonts w:ascii="Arial" w:hAnsi="Arial" w:cs="Arial"/>
          <w:color w:val="000000"/>
          <w:sz w:val="24"/>
          <w:szCs w:val="24"/>
          <w:lang w:val="en-US"/>
        </w:rPr>
        <w:t>Aryee</w:t>
      </w:r>
      <w:proofErr w:type="spellEnd"/>
      <w:r w:rsidRPr="0040125E">
        <w:rPr>
          <w:rFonts w:ascii="Arial" w:hAnsi="Arial" w:cs="Arial"/>
          <w:color w:val="000000"/>
          <w:sz w:val="24"/>
          <w:szCs w:val="24"/>
          <w:lang w:val="en-US"/>
        </w:rPr>
        <w:t xml:space="preserve"> MJ, </w:t>
      </w:r>
      <w:r w:rsidR="0099019A" w:rsidRPr="0040125E">
        <w:rPr>
          <w:rFonts w:ascii="Arial" w:hAnsi="Arial" w:cs="Arial"/>
          <w:sz w:val="24"/>
          <w:szCs w:val="24"/>
          <w:lang w:val="en-US"/>
        </w:rPr>
        <w:t xml:space="preserve">Jaffe AE, </w:t>
      </w:r>
      <w:proofErr w:type="spellStart"/>
      <w:r w:rsidR="0099019A" w:rsidRPr="0040125E">
        <w:rPr>
          <w:rFonts w:ascii="Arial" w:hAnsi="Arial" w:cs="Arial"/>
          <w:sz w:val="24"/>
          <w:szCs w:val="24"/>
          <w:lang w:val="en-US"/>
        </w:rPr>
        <w:t>Corrada</w:t>
      </w:r>
      <w:proofErr w:type="spellEnd"/>
      <w:r w:rsidR="0099019A" w:rsidRPr="0040125E">
        <w:rPr>
          <w:rFonts w:ascii="Arial" w:hAnsi="Arial" w:cs="Arial"/>
          <w:sz w:val="24"/>
          <w:szCs w:val="24"/>
          <w:lang w:val="en-US"/>
        </w:rPr>
        <w:t>-Bravo H, Ladd-Acosta C, Feinberg AP, Hansen KD,</w:t>
      </w:r>
      <w:r w:rsidR="0099019A" w:rsidRPr="0040125E">
        <w:rPr>
          <w:rFonts w:ascii="Arial" w:hAnsi="Arial" w:cs="Arial"/>
          <w:color w:val="000000"/>
          <w:sz w:val="24"/>
          <w:szCs w:val="24"/>
          <w:lang w:val="en-US"/>
        </w:rPr>
        <w:t xml:space="preserve"> </w:t>
      </w:r>
      <w:r w:rsidRPr="00BC4D42">
        <w:rPr>
          <w:rFonts w:ascii="Arial" w:hAnsi="Arial" w:cs="Arial"/>
          <w:color w:val="000000"/>
          <w:sz w:val="24"/>
          <w:szCs w:val="24"/>
          <w:lang w:val="en-US"/>
        </w:rPr>
        <w:t>et al.</w:t>
      </w:r>
      <w:r w:rsidRPr="0040125E">
        <w:rPr>
          <w:rFonts w:ascii="Arial" w:hAnsi="Arial" w:cs="Arial"/>
          <w:color w:val="000000"/>
          <w:sz w:val="24"/>
          <w:szCs w:val="24"/>
          <w:lang w:val="en-US"/>
        </w:rPr>
        <w:t xml:space="preserve"> </w:t>
      </w:r>
      <w:proofErr w:type="spellStart"/>
      <w:r w:rsidRPr="0040125E">
        <w:rPr>
          <w:rFonts w:ascii="Arial" w:hAnsi="Arial" w:cs="Arial"/>
          <w:color w:val="000000"/>
          <w:sz w:val="24"/>
          <w:szCs w:val="24"/>
          <w:lang w:val="en-US"/>
        </w:rPr>
        <w:t>Minfi</w:t>
      </w:r>
      <w:proofErr w:type="spellEnd"/>
      <w:r w:rsidRPr="0040125E">
        <w:rPr>
          <w:rFonts w:ascii="Arial" w:hAnsi="Arial" w:cs="Arial"/>
          <w:color w:val="000000"/>
          <w:sz w:val="24"/>
          <w:szCs w:val="24"/>
          <w:lang w:val="en-US"/>
        </w:rPr>
        <w:t xml:space="preserve">: a flexible and comprehensive Bioconductor package for the analysis of </w:t>
      </w:r>
      <w:proofErr w:type="spellStart"/>
      <w:r w:rsidRPr="0040125E">
        <w:rPr>
          <w:rFonts w:ascii="Arial" w:hAnsi="Arial" w:cs="Arial"/>
          <w:color w:val="000000"/>
          <w:sz w:val="24"/>
          <w:szCs w:val="24"/>
          <w:lang w:val="en-US"/>
        </w:rPr>
        <w:t>Infinium</w:t>
      </w:r>
      <w:proofErr w:type="spellEnd"/>
      <w:r w:rsidRPr="0040125E">
        <w:rPr>
          <w:rFonts w:ascii="Arial" w:hAnsi="Arial" w:cs="Arial"/>
          <w:color w:val="000000"/>
          <w:sz w:val="24"/>
          <w:szCs w:val="24"/>
          <w:lang w:val="en-US"/>
        </w:rPr>
        <w:t xml:space="preserve"> DNA methylation microarrays. Bioinformatics 2014;30(10):1363-9.</w:t>
      </w:r>
    </w:p>
    <w:p w:rsidR="005414F3" w:rsidRPr="0040125E" w:rsidRDefault="005414F3" w:rsidP="00397196">
      <w:pPr>
        <w:keepNext/>
        <w:numPr>
          <w:ilvl w:val="0"/>
          <w:numId w:val="1"/>
        </w:numPr>
        <w:pBdr>
          <w:top w:val="nil"/>
          <w:left w:val="nil"/>
          <w:bottom w:val="nil"/>
          <w:right w:val="nil"/>
          <w:between w:val="nil"/>
        </w:pBdr>
        <w:spacing w:after="0" w:line="480" w:lineRule="auto"/>
        <w:jc w:val="both"/>
        <w:rPr>
          <w:rFonts w:ascii="Arial" w:hAnsi="Arial" w:cs="Arial"/>
          <w:color w:val="000000"/>
          <w:sz w:val="24"/>
          <w:szCs w:val="24"/>
          <w:lang w:val="en-US"/>
        </w:rPr>
      </w:pPr>
      <w:r w:rsidRPr="0040125E">
        <w:rPr>
          <w:rFonts w:ascii="Arial" w:hAnsi="Arial" w:cs="Arial"/>
          <w:color w:val="000000"/>
          <w:sz w:val="24"/>
          <w:szCs w:val="24"/>
        </w:rPr>
        <w:t xml:space="preserve"> </w:t>
      </w:r>
      <w:proofErr w:type="spellStart"/>
      <w:r w:rsidRPr="0040125E">
        <w:rPr>
          <w:rFonts w:ascii="Arial" w:hAnsi="Arial" w:cs="Arial"/>
          <w:color w:val="000000"/>
          <w:sz w:val="24"/>
          <w:szCs w:val="24"/>
        </w:rPr>
        <w:t>Todoerti</w:t>
      </w:r>
      <w:proofErr w:type="spellEnd"/>
      <w:r w:rsidRPr="0040125E">
        <w:rPr>
          <w:rFonts w:ascii="Arial" w:hAnsi="Arial" w:cs="Arial"/>
          <w:color w:val="000000"/>
          <w:sz w:val="24"/>
          <w:szCs w:val="24"/>
        </w:rPr>
        <w:t xml:space="preserve"> K, </w:t>
      </w:r>
      <w:r w:rsidR="0099019A" w:rsidRPr="0040125E">
        <w:rPr>
          <w:rFonts w:ascii="Arial" w:hAnsi="Arial" w:cs="Arial"/>
          <w:sz w:val="24"/>
          <w:szCs w:val="24"/>
        </w:rPr>
        <w:t xml:space="preserve">Calice G, Trino S, </w:t>
      </w:r>
      <w:proofErr w:type="spellStart"/>
      <w:r w:rsidR="0099019A" w:rsidRPr="0040125E">
        <w:rPr>
          <w:rFonts w:ascii="Arial" w:hAnsi="Arial" w:cs="Arial"/>
          <w:sz w:val="24"/>
          <w:szCs w:val="24"/>
        </w:rPr>
        <w:t>Simeon</w:t>
      </w:r>
      <w:proofErr w:type="spellEnd"/>
      <w:r w:rsidR="0099019A" w:rsidRPr="0040125E">
        <w:rPr>
          <w:rFonts w:ascii="Arial" w:hAnsi="Arial" w:cs="Arial"/>
          <w:sz w:val="24"/>
          <w:szCs w:val="24"/>
        </w:rPr>
        <w:t xml:space="preserve"> V, </w:t>
      </w:r>
      <w:proofErr w:type="spellStart"/>
      <w:r w:rsidR="0099019A" w:rsidRPr="0040125E">
        <w:rPr>
          <w:rFonts w:ascii="Arial" w:hAnsi="Arial" w:cs="Arial"/>
          <w:sz w:val="24"/>
          <w:szCs w:val="24"/>
        </w:rPr>
        <w:t>Lionetti</w:t>
      </w:r>
      <w:proofErr w:type="spellEnd"/>
      <w:r w:rsidR="0099019A" w:rsidRPr="0040125E">
        <w:rPr>
          <w:rFonts w:ascii="Arial" w:hAnsi="Arial" w:cs="Arial"/>
          <w:sz w:val="24"/>
          <w:szCs w:val="24"/>
        </w:rPr>
        <w:t xml:space="preserve"> M, Manzoni M,</w:t>
      </w:r>
      <w:r w:rsidR="0099019A" w:rsidRPr="0040125E">
        <w:rPr>
          <w:rFonts w:ascii="Arial" w:hAnsi="Arial" w:cs="Arial"/>
          <w:color w:val="000000"/>
          <w:sz w:val="24"/>
          <w:szCs w:val="24"/>
        </w:rPr>
        <w:t xml:space="preserve"> </w:t>
      </w:r>
      <w:r w:rsidRPr="0040125E">
        <w:rPr>
          <w:rFonts w:ascii="Arial" w:hAnsi="Arial" w:cs="Arial"/>
          <w:color w:val="000000"/>
          <w:sz w:val="24"/>
          <w:szCs w:val="24"/>
        </w:rPr>
        <w:t xml:space="preserve">et al. </w:t>
      </w:r>
      <w:r w:rsidRPr="0040125E">
        <w:rPr>
          <w:rFonts w:ascii="Arial" w:hAnsi="Arial" w:cs="Arial"/>
          <w:color w:val="000000"/>
          <w:sz w:val="24"/>
          <w:szCs w:val="24"/>
          <w:lang w:val="en-US"/>
        </w:rPr>
        <w:t xml:space="preserve">Global methylation patterns in primary plasma cell leukemia. </w:t>
      </w:r>
      <w:proofErr w:type="spellStart"/>
      <w:r w:rsidRPr="0040125E">
        <w:rPr>
          <w:rFonts w:ascii="Arial" w:hAnsi="Arial" w:cs="Arial"/>
          <w:color w:val="000000"/>
          <w:sz w:val="24"/>
          <w:szCs w:val="24"/>
          <w:lang w:val="en-US"/>
        </w:rPr>
        <w:t>Leuk</w:t>
      </w:r>
      <w:proofErr w:type="spellEnd"/>
      <w:r w:rsidRPr="0040125E">
        <w:rPr>
          <w:rFonts w:ascii="Arial" w:hAnsi="Arial" w:cs="Arial"/>
          <w:color w:val="000000"/>
          <w:sz w:val="24"/>
          <w:szCs w:val="24"/>
          <w:lang w:val="en-US"/>
        </w:rPr>
        <w:t xml:space="preserve"> Res</w:t>
      </w:r>
      <w:r w:rsidR="0099019A" w:rsidRPr="0040125E">
        <w:rPr>
          <w:rFonts w:ascii="Arial" w:hAnsi="Arial" w:cs="Arial"/>
          <w:color w:val="000000"/>
          <w:sz w:val="24"/>
          <w:szCs w:val="24"/>
          <w:lang w:val="en-US"/>
        </w:rPr>
        <w:t xml:space="preserve"> </w:t>
      </w:r>
      <w:r w:rsidRPr="0040125E">
        <w:rPr>
          <w:rFonts w:ascii="Arial" w:hAnsi="Arial" w:cs="Arial"/>
          <w:color w:val="000000"/>
          <w:sz w:val="24"/>
          <w:szCs w:val="24"/>
          <w:lang w:val="en-US"/>
        </w:rPr>
        <w:t>2018;73:95-102.</w:t>
      </w:r>
    </w:p>
    <w:p w:rsidR="001F3A7C" w:rsidRDefault="001F3A7C" w:rsidP="00397196">
      <w:pPr>
        <w:spacing w:after="0" w:line="480" w:lineRule="auto"/>
        <w:rPr>
          <w:rFonts w:ascii="Arial" w:hAnsi="Arial" w:cs="Arial"/>
          <w:b/>
          <w:sz w:val="24"/>
          <w:szCs w:val="24"/>
          <w:lang w:val="en-US"/>
        </w:rPr>
      </w:pPr>
    </w:p>
    <w:p w:rsidR="00A55BDD" w:rsidRDefault="00A55BDD" w:rsidP="00397196">
      <w:pPr>
        <w:spacing w:after="0" w:line="480" w:lineRule="auto"/>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6233E4" w:rsidRDefault="006233E4" w:rsidP="00397196">
      <w:pPr>
        <w:spacing w:after="0" w:line="480" w:lineRule="auto"/>
        <w:jc w:val="both"/>
        <w:rPr>
          <w:rFonts w:ascii="Arial" w:hAnsi="Arial" w:cs="Arial"/>
          <w:b/>
          <w:sz w:val="24"/>
          <w:szCs w:val="24"/>
          <w:lang w:val="en-US"/>
        </w:rPr>
      </w:pPr>
    </w:p>
    <w:p w:rsidR="00C15051" w:rsidRDefault="00C15051" w:rsidP="00397196">
      <w:pPr>
        <w:spacing w:after="0" w:line="480" w:lineRule="auto"/>
        <w:jc w:val="both"/>
        <w:rPr>
          <w:rFonts w:ascii="Arial" w:hAnsi="Arial" w:cs="Arial"/>
          <w:b/>
          <w:sz w:val="24"/>
          <w:szCs w:val="24"/>
          <w:lang w:val="en-US"/>
        </w:rPr>
      </w:pPr>
      <w:bookmarkStart w:id="0" w:name="_GoBack"/>
      <w:bookmarkEnd w:id="0"/>
    </w:p>
    <w:sectPr w:rsidR="00C150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83D99"/>
    <w:multiLevelType w:val="multilevel"/>
    <w:tmpl w:val="13B83D99"/>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F6D765E"/>
    <w:multiLevelType w:val="multilevel"/>
    <w:tmpl w:val="13B83D9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4C5"/>
    <w:rsid w:val="000D6E79"/>
    <w:rsid w:val="001F3A7C"/>
    <w:rsid w:val="00297FB3"/>
    <w:rsid w:val="00397196"/>
    <w:rsid w:val="0040125E"/>
    <w:rsid w:val="005414F3"/>
    <w:rsid w:val="00544CB5"/>
    <w:rsid w:val="00590891"/>
    <w:rsid w:val="006233E4"/>
    <w:rsid w:val="00686393"/>
    <w:rsid w:val="00806547"/>
    <w:rsid w:val="0087236C"/>
    <w:rsid w:val="008D34C5"/>
    <w:rsid w:val="00915F55"/>
    <w:rsid w:val="0099019A"/>
    <w:rsid w:val="009C691A"/>
    <w:rsid w:val="00A55BDD"/>
    <w:rsid w:val="00B93800"/>
    <w:rsid w:val="00BC2B1B"/>
    <w:rsid w:val="00BC4D42"/>
    <w:rsid w:val="00C15051"/>
    <w:rsid w:val="00CA179C"/>
    <w:rsid w:val="00D258B8"/>
    <w:rsid w:val="00D57A37"/>
    <w:rsid w:val="00D936E4"/>
    <w:rsid w:val="00F55E2E"/>
    <w:rsid w:val="00F7773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97FB3"/>
    <w:pPr>
      <w:ind w:left="720"/>
      <w:contextualSpacing/>
    </w:pPr>
    <w:rPr>
      <w:rFonts w:ascii="Cambria" w:eastAsia="Cambria" w:hAnsi="Cambri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97FB3"/>
    <w:pPr>
      <w:ind w:left="720"/>
      <w:contextualSpacing/>
    </w:pPr>
    <w:rPr>
      <w:rFonts w:ascii="Cambria" w:eastAsia="Cambria"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Pages>
  <Words>702</Words>
  <Characters>4002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Condelli</dc:creator>
  <cp:keywords/>
  <dc:description/>
  <cp:lastModifiedBy>Valentina Condelli</cp:lastModifiedBy>
  <cp:revision>21</cp:revision>
  <dcterms:created xsi:type="dcterms:W3CDTF">2020-05-27T08:29:00Z</dcterms:created>
  <dcterms:modified xsi:type="dcterms:W3CDTF">2020-07-14T09:46:00Z</dcterms:modified>
</cp:coreProperties>
</file>