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C08A88"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Supplementary Figure 1: Efficiency of generating FLPs from stage 1 to 3.</w:t>
      </w:r>
    </w:p>
    <w:p w14:paraId="718F6110"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a.</w:t>
      </w:r>
      <w:r w:rsidRPr="66C932A4">
        <w:rPr>
          <w:rFonts w:ascii="Times New Roman" w:eastAsia="Times New Roman" w:hAnsi="Times New Roman" w:cs="Times New Roman"/>
          <w:sz w:val="24"/>
          <w:szCs w:val="24"/>
        </w:rPr>
        <w:t xml:space="preserve"> Representative immunofluorescent images of Stage 1 Definitive endoderm (DE) showing DAPI (Nuclei, cyan), FOXA2 (green), and SOX17 (red). Scalebar, 150um.  </w:t>
      </w:r>
    </w:p>
    <w:p w14:paraId="248BA4F7"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 xml:space="preserve">b. </w:t>
      </w:r>
      <w:r w:rsidRPr="66C932A4">
        <w:rPr>
          <w:rFonts w:ascii="Times New Roman" w:eastAsia="Times New Roman" w:hAnsi="Times New Roman" w:cs="Times New Roman"/>
          <w:sz w:val="24"/>
          <w:szCs w:val="24"/>
        </w:rPr>
        <w:t xml:space="preserve">Quantification of percentage of FOXA2+ and SOX17+ cells. (N=3). Each dot is considered as a data point. </w:t>
      </w:r>
    </w:p>
    <w:p w14:paraId="1C445ED7"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c.</w:t>
      </w:r>
      <w:r w:rsidRPr="66C932A4">
        <w:rPr>
          <w:rFonts w:ascii="Times New Roman" w:eastAsia="Times New Roman" w:hAnsi="Times New Roman" w:cs="Times New Roman"/>
          <w:sz w:val="24"/>
          <w:szCs w:val="24"/>
        </w:rPr>
        <w:t xml:space="preserve"> Representative immunofluorescent images of Stage 2b Anterior ventral foregut endoderm (AVFE) showing DAPI (Nuclei, cyan), NKX2.1 (green), and SOX2 (red). Scalebar, 300um.</w:t>
      </w:r>
    </w:p>
    <w:p w14:paraId="05F7200C"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d.</w:t>
      </w:r>
      <w:r w:rsidRPr="66C932A4">
        <w:rPr>
          <w:rFonts w:ascii="Times New Roman" w:eastAsia="Times New Roman" w:hAnsi="Times New Roman" w:cs="Times New Roman"/>
          <w:sz w:val="24"/>
          <w:szCs w:val="24"/>
        </w:rPr>
        <w:t xml:space="preserve"> Quantification of percentage of NKX2.1+ and SOX2+ cells.</w:t>
      </w:r>
      <w:r w:rsidRPr="66C932A4">
        <w:rPr>
          <w:rFonts w:ascii="Times New Roman" w:eastAsia="Times New Roman" w:hAnsi="Times New Roman" w:cs="Times New Roman"/>
          <w:b/>
          <w:bCs/>
          <w:sz w:val="24"/>
          <w:szCs w:val="24"/>
        </w:rPr>
        <w:t xml:space="preserve"> </w:t>
      </w:r>
      <w:r w:rsidRPr="66C932A4">
        <w:rPr>
          <w:rFonts w:ascii="Times New Roman" w:eastAsia="Times New Roman" w:hAnsi="Times New Roman" w:cs="Times New Roman"/>
          <w:sz w:val="24"/>
          <w:szCs w:val="24"/>
        </w:rPr>
        <w:t xml:space="preserve">(N=3). Each dot is considered as a data point. </w:t>
      </w:r>
    </w:p>
    <w:p w14:paraId="749519D7" w14:textId="77777777" w:rsidR="00C33DF9" w:rsidRDefault="00C33DF9" w:rsidP="00C33DF9">
      <w:pPr>
        <w:spacing w:after="0" w:line="240" w:lineRule="auto"/>
        <w:rPr>
          <w:rFonts w:ascii="Times New Roman" w:eastAsia="Times New Roman" w:hAnsi="Times New Roman" w:cs="Times New Roman"/>
          <w:sz w:val="24"/>
          <w:szCs w:val="24"/>
        </w:rPr>
      </w:pPr>
      <w:r w:rsidRPr="0A5C5FEE">
        <w:rPr>
          <w:rFonts w:ascii="Times New Roman" w:eastAsia="Times New Roman" w:hAnsi="Times New Roman" w:cs="Times New Roman"/>
          <w:b/>
          <w:bCs/>
          <w:sz w:val="24"/>
          <w:szCs w:val="24"/>
        </w:rPr>
        <w:t>e.</w:t>
      </w:r>
      <w:r w:rsidRPr="0A5C5FEE">
        <w:rPr>
          <w:rFonts w:ascii="Times New Roman" w:eastAsia="Times New Roman" w:hAnsi="Times New Roman" w:cs="Times New Roman"/>
          <w:sz w:val="24"/>
          <w:szCs w:val="24"/>
        </w:rPr>
        <w:t xml:space="preserve"> Gating strategy of Flow cytometry for quantifying percentage of CPM+ or NKX2.1+ FLPs at stage 3 without the high concentration of SHH and FGF2 supplements at stage 2 compared to negative control. (****p &lt; 0.0001, unpaired t-test, N=3). Each dot is considered as a data point. CPM-AF488 and NKX2.1-AF488.</w:t>
      </w:r>
    </w:p>
    <w:p w14:paraId="170D30C3"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sz w:val="24"/>
          <w:szCs w:val="24"/>
        </w:rPr>
        <w:t xml:space="preserve">f&amp;g. Gating strategy of FC for quantifying the percentage of CD47+/NKX2.1+/CPM+ FLPs at stage 3 compared to negative control.  CD47-AF750, NKX2.1-AF647, and CPM-AF488. </w:t>
      </w:r>
    </w:p>
    <w:p w14:paraId="701472CB" w14:textId="77777777" w:rsidR="00C33DF9" w:rsidRDefault="00C33DF9" w:rsidP="00C33DF9">
      <w:pPr>
        <w:spacing w:after="0" w:line="240" w:lineRule="auto"/>
        <w:rPr>
          <w:rFonts w:ascii="Times New Roman" w:eastAsia="Times New Roman" w:hAnsi="Times New Roman" w:cs="Times New Roman"/>
          <w:sz w:val="24"/>
          <w:szCs w:val="24"/>
        </w:rPr>
      </w:pPr>
    </w:p>
    <w:p w14:paraId="5B84BA4C"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 xml:space="preserve">Supplementary Figure 2: Protocol efficiency test in generating Stage 3 fetal lung progenitor cells. </w:t>
      </w:r>
    </w:p>
    <w:p w14:paraId="0DEBECD3"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a.</w:t>
      </w:r>
      <w:r w:rsidRPr="66C932A4">
        <w:rPr>
          <w:rFonts w:ascii="Times New Roman" w:eastAsia="Times New Roman" w:hAnsi="Times New Roman" w:cs="Times New Roman"/>
          <w:sz w:val="24"/>
          <w:szCs w:val="24"/>
        </w:rPr>
        <w:t xml:space="preserve"> Representative immunofluorescent staining and brightfield images of CA1 cell lines showing DAPI (nuclei, cyan), NKX2.1 (yellow), SOX9 (white), and SOX2 (magenta), cultured under four differentiation protocols (P1-P4) at FLP stage. No primary control images of all markers are shown. Scalebar, 200uM. P1 = This work, P2 = Jacob et al., 2017, P3 = Bluhmki et al., 2021, P4 =  Kanagaki et al., 2022. </w:t>
      </w:r>
    </w:p>
    <w:p w14:paraId="2EE90DC1"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b.</w:t>
      </w:r>
      <w:r w:rsidRPr="66C932A4">
        <w:rPr>
          <w:rFonts w:ascii="Times New Roman" w:eastAsia="Times New Roman" w:hAnsi="Times New Roman" w:cs="Times New Roman"/>
          <w:sz w:val="24"/>
          <w:szCs w:val="24"/>
        </w:rPr>
        <w:t xml:space="preserve"> Representative immunofluorescent images and brightfield images of CA1 cell lines with marker DAPI, CD47, and PDX1 cultured by four protocols at FLP stage. No primary control images of all markers are shown. Scalebar, 200uM.  </w:t>
      </w:r>
    </w:p>
    <w:p w14:paraId="3DC17A4F"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c.</w:t>
      </w:r>
      <w:r w:rsidRPr="66C932A4">
        <w:rPr>
          <w:rFonts w:ascii="Times New Roman" w:eastAsia="Times New Roman" w:hAnsi="Times New Roman" w:cs="Times New Roman"/>
          <w:sz w:val="24"/>
          <w:szCs w:val="24"/>
        </w:rPr>
        <w:t xml:space="preserve"> Percentages of cells expressed by the specific markers (NKX2.1, SOX9, PDX1, SOX2, CD47) were compared across four protocols (% = NKX2.1+ cells/Total cell number). Data are presented as mean ± SD (*p &lt; 0.05, **p &lt; 0.01, ***p &lt; 0.001, unpaired t-test, N=3). </w:t>
      </w:r>
    </w:p>
    <w:p w14:paraId="427DF055"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d.</w:t>
      </w:r>
      <w:r w:rsidRPr="66C932A4">
        <w:rPr>
          <w:rFonts w:ascii="Times New Roman" w:eastAsia="Times New Roman" w:hAnsi="Times New Roman" w:cs="Times New Roman"/>
          <w:sz w:val="24"/>
          <w:szCs w:val="24"/>
        </w:rPr>
        <w:t xml:space="preserve"> Quantitative RT-PCR data of SOX2, SOX9, NKX2.1, ECAD, CPM expression in CA1 cells at AVFE (S2B) and FLP (S3) stages differentiated using four protocols relative to human fetal lung tissues. Data are presented as mean ± SD (*p &lt; 0.05, **p &lt; 0.01, ***p &lt; 0.001, unpaired t-test, n=3).</w:t>
      </w:r>
    </w:p>
    <w:p w14:paraId="7479B93A" w14:textId="77777777" w:rsidR="00C33DF9" w:rsidRDefault="00C33DF9" w:rsidP="00C33DF9">
      <w:pPr>
        <w:spacing w:after="0" w:line="240" w:lineRule="auto"/>
        <w:rPr>
          <w:rFonts w:ascii="Times New Roman" w:eastAsia="Times New Roman" w:hAnsi="Times New Roman" w:cs="Times New Roman"/>
          <w:sz w:val="24"/>
          <w:szCs w:val="24"/>
        </w:rPr>
      </w:pPr>
    </w:p>
    <w:p w14:paraId="7CC3E9CA"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 xml:space="preserve">Supplementary Figure 3: Differentiation efficiency of stage 4 DBT organoids. </w:t>
      </w:r>
    </w:p>
    <w:p w14:paraId="02ECF72D"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a.</w:t>
      </w:r>
      <w:r w:rsidRPr="66C932A4">
        <w:rPr>
          <w:rFonts w:ascii="Times New Roman" w:eastAsia="Times New Roman" w:hAnsi="Times New Roman" w:cs="Times New Roman"/>
          <w:sz w:val="24"/>
          <w:szCs w:val="24"/>
        </w:rPr>
        <w:t xml:space="preserve"> Gating strategy of Flow cytometry for quantifying the percentage of CD47+/EPCAM+ fetal epithelial cells in stage 4 DBT organoids compared to negative control. CD47-PE and EPCAM-AF488.</w:t>
      </w:r>
    </w:p>
    <w:p w14:paraId="57D33883"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b.</w:t>
      </w:r>
      <w:r w:rsidRPr="66C932A4">
        <w:rPr>
          <w:rFonts w:ascii="Times New Roman" w:eastAsia="Times New Roman" w:hAnsi="Times New Roman" w:cs="Times New Roman"/>
          <w:sz w:val="24"/>
          <w:szCs w:val="24"/>
        </w:rPr>
        <w:t xml:space="preserve"> Representative immunofluorescent staining of Stage 4 DBT organoids on day 20 post seeding showing DAPI (Nuclei, cyan), ID2 (magenta), SOX9 (white and yellow), NKX2.1 (magenta), ECAD (yellow), and Pro-SFTPC (magenta); barely showing ABCA3 (yellow); without showing SOX2 (yellow) and HT1-56 (white). Scalebar, 20-62um. </w:t>
      </w:r>
    </w:p>
    <w:p w14:paraId="5D2BD826" w14:textId="77777777" w:rsidR="00C33DF9" w:rsidRDefault="00C33DF9" w:rsidP="00C33DF9">
      <w:pPr>
        <w:spacing w:after="0" w:line="240" w:lineRule="auto"/>
        <w:rPr>
          <w:rFonts w:ascii="Times New Roman" w:eastAsia="Times New Roman" w:hAnsi="Times New Roman" w:cs="Times New Roman"/>
          <w:b/>
          <w:bCs/>
          <w:sz w:val="24"/>
          <w:szCs w:val="24"/>
        </w:rPr>
      </w:pPr>
    </w:p>
    <w:p w14:paraId="7610237C"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 xml:space="preserve">Supplementary Figure 4: Cellular composition of stage 4 DBT organoids and existence of BPCs. </w:t>
      </w:r>
    </w:p>
    <w:p w14:paraId="642E4BA6"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a.</w:t>
      </w:r>
      <w:r w:rsidRPr="66C932A4">
        <w:rPr>
          <w:rFonts w:ascii="Times New Roman" w:eastAsia="Times New Roman" w:hAnsi="Times New Roman" w:cs="Times New Roman"/>
          <w:sz w:val="24"/>
          <w:szCs w:val="24"/>
        </w:rPr>
        <w:t xml:space="preserve"> Flow cytometry gating strategy of Pro-SFTPC+ DBT cells in stage 4 DBT organoids compared to negative control. Pro-SFTPC-AF633. </w:t>
      </w:r>
    </w:p>
    <w:p w14:paraId="5F190608"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 xml:space="preserve">b. </w:t>
      </w:r>
      <w:r w:rsidRPr="66C932A4">
        <w:rPr>
          <w:rFonts w:ascii="Times New Roman" w:eastAsia="Times New Roman" w:hAnsi="Times New Roman" w:cs="Times New Roman"/>
          <w:sz w:val="24"/>
          <w:szCs w:val="24"/>
        </w:rPr>
        <w:t>Flow cytometry gating strategy of AQP5+/HT2-280+ BPCs in stage 4 DBT organoids compared to negative control. AQP5-AF647 and HT2-280-AF750</w:t>
      </w:r>
    </w:p>
    <w:p w14:paraId="5E093BDE"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 xml:space="preserve">c. </w:t>
      </w:r>
      <w:r w:rsidRPr="66C932A4">
        <w:rPr>
          <w:rFonts w:ascii="Times New Roman" w:eastAsia="Times New Roman" w:hAnsi="Times New Roman" w:cs="Times New Roman"/>
          <w:sz w:val="24"/>
          <w:szCs w:val="24"/>
        </w:rPr>
        <w:t xml:space="preserve">Flow cytometry gating strategy of PDPN+/HT2-280+ fetal AT2 cells in stage 4 DBT </w:t>
      </w:r>
      <w:r w:rsidRPr="66C932A4">
        <w:rPr>
          <w:rFonts w:ascii="Times New Roman" w:eastAsia="Times New Roman" w:hAnsi="Times New Roman" w:cs="Times New Roman"/>
          <w:sz w:val="24"/>
          <w:szCs w:val="24"/>
        </w:rPr>
        <w:lastRenderedPageBreak/>
        <w:t>organoids compared to negative control. PDPN-AF488 and HT2-280-AF750.</w:t>
      </w:r>
    </w:p>
    <w:p w14:paraId="234AA11F"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 xml:space="preserve">d. </w:t>
      </w:r>
      <w:r w:rsidRPr="66C932A4">
        <w:rPr>
          <w:rFonts w:ascii="Times New Roman" w:eastAsia="Times New Roman" w:hAnsi="Times New Roman" w:cs="Times New Roman"/>
          <w:sz w:val="24"/>
          <w:szCs w:val="24"/>
        </w:rPr>
        <w:t xml:space="preserve">Flow cytometry gating strategy of PDPN+/AQP5+ fetal AT1 cells in stage 4 DBT organoids compared to negative control. PDPN-AF488 and HT2-280-AF750. </w:t>
      </w:r>
    </w:p>
    <w:p w14:paraId="0113E434" w14:textId="77777777" w:rsidR="00C33DF9" w:rsidRDefault="00C33DF9" w:rsidP="00C33DF9">
      <w:pPr>
        <w:spacing w:after="0" w:line="240" w:lineRule="auto"/>
        <w:rPr>
          <w:rFonts w:ascii="Times New Roman" w:eastAsia="Times New Roman" w:hAnsi="Times New Roman" w:cs="Times New Roman"/>
          <w:sz w:val="24"/>
          <w:szCs w:val="24"/>
        </w:rPr>
      </w:pPr>
    </w:p>
    <w:p w14:paraId="73264C5F"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 xml:space="preserve">Supplementary Figure 5: Efficiency of AT2 cells induction in Stage 5 co-culture. </w:t>
      </w:r>
    </w:p>
    <w:p w14:paraId="1F4CBC2B"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 xml:space="preserve">a. </w:t>
      </w:r>
      <w:r w:rsidRPr="66C932A4">
        <w:rPr>
          <w:rFonts w:ascii="Times New Roman" w:eastAsia="Times New Roman" w:hAnsi="Times New Roman" w:cs="Times New Roman"/>
          <w:sz w:val="24"/>
          <w:szCs w:val="24"/>
        </w:rPr>
        <w:t xml:space="preserve">Flow cytometry gating strategy of ABCA3+ AT2 cells in stage 5 organoids compared to negative control in three defined AT2 induction mediums CK, CSBK, and CKD. ABCA3-AF488. </w:t>
      </w:r>
    </w:p>
    <w:p w14:paraId="5DDB92F7"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 xml:space="preserve">b. </w:t>
      </w:r>
      <w:r w:rsidRPr="66C932A4">
        <w:rPr>
          <w:rFonts w:ascii="Times New Roman" w:eastAsia="Times New Roman" w:hAnsi="Times New Roman" w:cs="Times New Roman"/>
          <w:sz w:val="24"/>
          <w:szCs w:val="24"/>
        </w:rPr>
        <w:t xml:space="preserve">Representative immunofluorescent images of CSBK, and CKD stage 5 organoids showing DAPI (Nuclei, cyan), PDPN (yellow), ECAD (magenta), and Pro-SFTPC (white). Scalebar, 50um. </w:t>
      </w:r>
    </w:p>
    <w:p w14:paraId="4BA1E34C" w14:textId="77777777" w:rsidR="00C33DF9" w:rsidRDefault="00C33DF9" w:rsidP="00C33DF9">
      <w:pPr>
        <w:spacing w:after="0" w:line="240" w:lineRule="auto"/>
        <w:rPr>
          <w:rFonts w:ascii="Times New Roman" w:eastAsia="Times New Roman" w:hAnsi="Times New Roman" w:cs="Times New Roman"/>
          <w:sz w:val="24"/>
          <w:szCs w:val="24"/>
        </w:rPr>
      </w:pPr>
      <w:r w:rsidRPr="0A5C5FEE">
        <w:rPr>
          <w:rFonts w:ascii="Times New Roman" w:eastAsia="Times New Roman" w:hAnsi="Times New Roman" w:cs="Times New Roman"/>
          <w:b/>
          <w:bCs/>
          <w:sz w:val="24"/>
          <w:szCs w:val="24"/>
        </w:rPr>
        <w:t xml:space="preserve">c. </w:t>
      </w:r>
      <w:r w:rsidRPr="0A5C5FEE">
        <w:rPr>
          <w:rFonts w:ascii="Times New Roman" w:eastAsia="Times New Roman" w:hAnsi="Times New Roman" w:cs="Times New Roman"/>
          <w:sz w:val="24"/>
          <w:szCs w:val="24"/>
        </w:rPr>
        <w:t xml:space="preserve">Quantification of percentage of Pro-SFTPC+ cells (IF staining) compared among Stage 4 DBT organoids, CSBK and CKD (AT2) Stage5 organoids, and TNK and AVOD (AT1) Stage 5 organoids (**p &lt; 0.01, unpaired t-test, statistical tests are conducted among biological replicates N=3, n=6). </w:t>
      </w:r>
    </w:p>
    <w:p w14:paraId="1C99C516" w14:textId="77777777" w:rsidR="00C33DF9" w:rsidRDefault="00C33DF9" w:rsidP="00C33DF9">
      <w:pPr>
        <w:spacing w:after="0" w:line="240" w:lineRule="auto"/>
        <w:rPr>
          <w:rFonts w:ascii="Times New Roman" w:eastAsia="Times New Roman" w:hAnsi="Times New Roman" w:cs="Times New Roman"/>
          <w:b/>
          <w:bCs/>
          <w:sz w:val="24"/>
          <w:szCs w:val="24"/>
        </w:rPr>
      </w:pPr>
    </w:p>
    <w:p w14:paraId="522A94BD" w14:textId="77777777" w:rsidR="00C33DF9" w:rsidRDefault="00C33DF9" w:rsidP="00C33DF9">
      <w:pPr>
        <w:spacing w:after="0" w:line="240" w:lineRule="auto"/>
        <w:rPr>
          <w:rFonts w:ascii="Times New Roman" w:eastAsia="Times New Roman" w:hAnsi="Times New Roman" w:cs="Times New Roman"/>
          <w:sz w:val="24"/>
          <w:szCs w:val="24"/>
        </w:rPr>
      </w:pPr>
      <w:r w:rsidRPr="5BEFE07A">
        <w:rPr>
          <w:rFonts w:ascii="Times New Roman" w:eastAsia="Times New Roman" w:hAnsi="Times New Roman" w:cs="Times New Roman"/>
          <w:b/>
          <w:bCs/>
          <w:sz w:val="24"/>
          <w:szCs w:val="24"/>
        </w:rPr>
        <w:t xml:space="preserve">Supplementary Figure 6: Efficiency of AT1 cells induction in Stage 5 co-culture. </w:t>
      </w:r>
    </w:p>
    <w:p w14:paraId="4698F5E5"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 xml:space="preserve">a. </w:t>
      </w:r>
      <w:r w:rsidRPr="66C932A4">
        <w:rPr>
          <w:rFonts w:ascii="Times New Roman" w:eastAsia="Times New Roman" w:hAnsi="Times New Roman" w:cs="Times New Roman"/>
          <w:sz w:val="24"/>
          <w:szCs w:val="24"/>
        </w:rPr>
        <w:t>Flow cytometry gating strategy of HT1-56+/AGER+ AT1 cells in stage 5 organoids compared to negative control in three defined AT1 induction mediums XK, TNK, and AVOD.  HT1-56-AF750 and AGER-AF546</w:t>
      </w:r>
    </w:p>
    <w:p w14:paraId="751E26DC"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 xml:space="preserve">b. </w:t>
      </w:r>
      <w:r w:rsidRPr="66C932A4">
        <w:rPr>
          <w:rFonts w:ascii="Times New Roman" w:eastAsia="Times New Roman" w:hAnsi="Times New Roman" w:cs="Times New Roman"/>
          <w:sz w:val="24"/>
          <w:szCs w:val="24"/>
        </w:rPr>
        <w:t xml:space="preserve">Representative immunofluorescent images of TNK, and AVOD stage 5 organoids showing DAPI (Nuclei, cyan), PDPN (yellow), HT2-280 (magenta), and AQP5 (white); without showing ABCA3 (white). Scalebar, 50um. </w:t>
      </w:r>
    </w:p>
    <w:p w14:paraId="20C5A981" w14:textId="77777777" w:rsidR="00C33DF9" w:rsidRDefault="00C33DF9" w:rsidP="00C33DF9">
      <w:pPr>
        <w:spacing w:after="0" w:line="240" w:lineRule="auto"/>
        <w:rPr>
          <w:rFonts w:ascii="Times New Roman" w:eastAsia="Times New Roman" w:hAnsi="Times New Roman" w:cs="Times New Roman"/>
          <w:sz w:val="24"/>
          <w:szCs w:val="24"/>
        </w:rPr>
      </w:pPr>
    </w:p>
    <w:p w14:paraId="5A047CC6"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 xml:space="preserve">Supplementary Figure 7: LATS1 inhibitor activates Hippo-YAP1 signaling pathway and differentiates alveolar epithelium. </w:t>
      </w:r>
    </w:p>
    <w:p w14:paraId="793399A2" w14:textId="77777777" w:rsidR="00C33DF9" w:rsidRDefault="00C33DF9" w:rsidP="00C33DF9">
      <w:pPr>
        <w:spacing w:after="0" w:line="240" w:lineRule="auto"/>
        <w:rPr>
          <w:rFonts w:ascii="Times New Roman" w:eastAsia="Times New Roman" w:hAnsi="Times New Roman" w:cs="Times New Roman"/>
          <w:sz w:val="24"/>
          <w:szCs w:val="24"/>
        </w:rPr>
      </w:pPr>
      <w:r w:rsidRPr="0A5C5FEE">
        <w:rPr>
          <w:rFonts w:ascii="Times New Roman" w:eastAsia="Times New Roman" w:hAnsi="Times New Roman" w:cs="Times New Roman"/>
          <w:b/>
          <w:bCs/>
          <w:sz w:val="24"/>
          <w:szCs w:val="24"/>
        </w:rPr>
        <w:t xml:space="preserve">a. </w:t>
      </w:r>
      <w:r w:rsidRPr="0A5C5FEE">
        <w:rPr>
          <w:rFonts w:ascii="Times New Roman" w:eastAsia="Times New Roman" w:hAnsi="Times New Roman" w:cs="Times New Roman"/>
          <w:sz w:val="24"/>
          <w:szCs w:val="24"/>
        </w:rPr>
        <w:t xml:space="preserve">Quantitative RT-PCR quantifies the expression level of CAV1, SPOCK2 (AT1), YAP1, TEAD1, and LATS1 (*p &lt; 0.05, **p &lt; 0.01, paired t-test among biological replicates, N=3, n=6). </w:t>
      </w:r>
    </w:p>
    <w:p w14:paraId="4B99D6A9"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 xml:space="preserve">b. </w:t>
      </w:r>
      <w:r w:rsidRPr="66C932A4">
        <w:rPr>
          <w:rFonts w:ascii="Times New Roman" w:eastAsia="Times New Roman" w:hAnsi="Times New Roman" w:cs="Times New Roman"/>
          <w:sz w:val="24"/>
          <w:szCs w:val="24"/>
        </w:rPr>
        <w:t>Representative immunofluorescent images of LATS1i+ and LATS1i- stage 5 organoids showing DAPI (Nuclei, cyan), P-YAP1 (yellow), YAP1 (white), and ECAD (magenta). Scalebar, 41um.</w:t>
      </w:r>
    </w:p>
    <w:p w14:paraId="67CCE024" w14:textId="77777777" w:rsidR="00C33DF9" w:rsidRDefault="00C33DF9" w:rsidP="00C33DF9">
      <w:pPr>
        <w:spacing w:after="0" w:line="240" w:lineRule="auto"/>
        <w:rPr>
          <w:rFonts w:ascii="Times New Roman" w:eastAsia="Times New Roman" w:hAnsi="Times New Roman" w:cs="Times New Roman"/>
          <w:sz w:val="24"/>
          <w:szCs w:val="24"/>
        </w:rPr>
      </w:pPr>
    </w:p>
    <w:p w14:paraId="39BFC19C"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 xml:space="preserve">Supplementary Figure 8: Mechanical stretch system and stretch-induced differentiation of alveolar epithelium. </w:t>
      </w:r>
    </w:p>
    <w:p w14:paraId="0C73532B"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 xml:space="preserve">a. </w:t>
      </w:r>
      <w:r w:rsidRPr="66C932A4">
        <w:rPr>
          <w:rFonts w:ascii="Times New Roman" w:eastAsia="Times New Roman" w:hAnsi="Times New Roman" w:cs="Times New Roman"/>
          <w:sz w:val="24"/>
          <w:szCs w:val="24"/>
        </w:rPr>
        <w:t>Scheme of mechanical stretching system; gas-sealed device lid; stretching box.</w:t>
      </w:r>
    </w:p>
    <w:p w14:paraId="3F4A55C3"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 xml:space="preserve">b. </w:t>
      </w:r>
      <w:r w:rsidRPr="66C932A4">
        <w:rPr>
          <w:rFonts w:ascii="Times New Roman" w:eastAsia="Times New Roman" w:hAnsi="Times New Roman" w:cs="Times New Roman"/>
          <w:sz w:val="24"/>
          <w:szCs w:val="24"/>
        </w:rPr>
        <w:t xml:space="preserve">Ultrathin Extracellular-Matrix membrane (UMM) means cyclic strain (%) measurement; actual membrane deformation under 1kPa. </w:t>
      </w:r>
    </w:p>
    <w:p w14:paraId="21C8FC13"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c.</w:t>
      </w:r>
      <w:r w:rsidRPr="66C932A4">
        <w:rPr>
          <w:rFonts w:ascii="Times New Roman" w:eastAsia="Times New Roman" w:hAnsi="Times New Roman" w:cs="Times New Roman"/>
          <w:sz w:val="24"/>
          <w:szCs w:val="24"/>
        </w:rPr>
        <w:t xml:space="preserve"> Mean cyclic strain (%) under different BS3 (crosslinker) concentrations 25uM, 50uM, and 70uM (N=3). </w:t>
      </w:r>
    </w:p>
    <w:p w14:paraId="367B1D66"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 xml:space="preserve">d. </w:t>
      </w:r>
      <w:r w:rsidRPr="66C932A4">
        <w:rPr>
          <w:rFonts w:ascii="Times New Roman" w:eastAsia="Times New Roman" w:hAnsi="Times New Roman" w:cs="Times New Roman"/>
          <w:sz w:val="24"/>
          <w:szCs w:val="24"/>
        </w:rPr>
        <w:t>Representative immunofluorescent images of iPSC-derived DBT alveolar cells and fibroblast cells confluency on UMM device showing DAPI (Nuclei, cyan), ECAD (yellow), Vimentin (magenta), and HT2-280 (white). Scalebar, 46.4um.</w:t>
      </w:r>
    </w:p>
    <w:p w14:paraId="2C23AA3F" w14:textId="77777777" w:rsidR="00C33DF9" w:rsidRDefault="00C33DF9" w:rsidP="00C33DF9">
      <w:pPr>
        <w:spacing w:after="0" w:line="240" w:lineRule="auto"/>
        <w:rPr>
          <w:rFonts w:ascii="Times New Roman" w:eastAsia="Times New Roman" w:hAnsi="Times New Roman" w:cs="Times New Roman"/>
          <w:sz w:val="24"/>
          <w:szCs w:val="24"/>
        </w:rPr>
      </w:pPr>
    </w:p>
    <w:p w14:paraId="6F4704B5"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 xml:space="preserve">Supplementary Figure 9: Immunofluorescence for primary human fetal lung gestational week 18 (FL GW18), 21 (FL GW21), and adult lung (AL) tissue. </w:t>
      </w:r>
    </w:p>
    <w:p w14:paraId="128C7B15"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 xml:space="preserve">a. </w:t>
      </w:r>
      <w:r w:rsidRPr="66C932A4">
        <w:rPr>
          <w:rFonts w:ascii="Times New Roman" w:eastAsia="Times New Roman" w:hAnsi="Times New Roman" w:cs="Times New Roman"/>
          <w:sz w:val="24"/>
          <w:szCs w:val="24"/>
        </w:rPr>
        <w:t>Representative immunofluorescent images of FL GW18 showing the DAPI (Nuclei, cyan), P-YAP1 (magenta), YAP1 (yellow), ABCA3 (magenta), and HT1-56 (yellow). Scalebar, 50um.</w:t>
      </w:r>
    </w:p>
    <w:p w14:paraId="325A9AB0" w14:textId="77777777" w:rsidR="00C33DF9" w:rsidRDefault="00C33DF9" w:rsidP="00C33DF9">
      <w:pPr>
        <w:spacing w:after="0" w:line="240" w:lineRule="auto"/>
        <w:rPr>
          <w:rFonts w:ascii="Times New Roman" w:eastAsia="Times New Roman" w:hAnsi="Times New Roman" w:cs="Times New Roman"/>
          <w:sz w:val="24"/>
          <w:szCs w:val="24"/>
        </w:rPr>
      </w:pPr>
      <w:r w:rsidRPr="66C932A4">
        <w:rPr>
          <w:rFonts w:ascii="Times New Roman" w:eastAsia="Times New Roman" w:hAnsi="Times New Roman" w:cs="Times New Roman"/>
          <w:b/>
          <w:bCs/>
          <w:sz w:val="24"/>
          <w:szCs w:val="24"/>
        </w:rPr>
        <w:t xml:space="preserve">b. </w:t>
      </w:r>
      <w:r w:rsidRPr="66C932A4">
        <w:rPr>
          <w:rFonts w:ascii="Times New Roman" w:eastAsia="Times New Roman" w:hAnsi="Times New Roman" w:cs="Times New Roman"/>
          <w:sz w:val="24"/>
          <w:szCs w:val="24"/>
        </w:rPr>
        <w:t>Representative immunofluorescent crossection images of S6a, S6b, and Static control showing the DAPI (Nuclei, cyan), ECAD (yellow), YAP1 (magenta). Scalebar, 25um.</w:t>
      </w:r>
    </w:p>
    <w:p w14:paraId="2D3BED28" w14:textId="77777777" w:rsidR="00EB4A2D" w:rsidRDefault="00EB4A2D"/>
    <w:sectPr w:rsidR="00EB4A2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3DF9"/>
    <w:rsid w:val="005C0D39"/>
    <w:rsid w:val="005E2EF4"/>
    <w:rsid w:val="0070406C"/>
    <w:rsid w:val="00724754"/>
    <w:rsid w:val="00C321FA"/>
    <w:rsid w:val="00C33DF9"/>
    <w:rsid w:val="00EB4A2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E59818"/>
  <w15:chartTrackingRefBased/>
  <w15:docId w15:val="{2AF3F016-F7AB-4776-BB69-7A70EC6CC4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3DF9"/>
    <w:pPr>
      <w:widowControl w:val="0"/>
      <w:spacing w:line="279" w:lineRule="auto"/>
      <w:jc w:val="both"/>
    </w:pPr>
    <w:rPr>
      <w:rFonts w:eastAsiaTheme="minorEastAsia"/>
      <w:sz w:val="22"/>
      <w:szCs w:val="22"/>
      <w:lang w:val="en-US" w:eastAsia="zh-CN"/>
      <w14:ligatures w14:val="none"/>
    </w:rPr>
  </w:style>
  <w:style w:type="paragraph" w:styleId="Heading1">
    <w:name w:val="heading 1"/>
    <w:basedOn w:val="Normal"/>
    <w:next w:val="Normal"/>
    <w:link w:val="Heading1Char"/>
    <w:uiPriority w:val="9"/>
    <w:qFormat/>
    <w:rsid w:val="00C33DF9"/>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val="en-IN" w:eastAsia="en-US"/>
      <w14:ligatures w14:val="standardContextual"/>
    </w:rPr>
  </w:style>
  <w:style w:type="paragraph" w:styleId="Heading2">
    <w:name w:val="heading 2"/>
    <w:basedOn w:val="Normal"/>
    <w:next w:val="Normal"/>
    <w:link w:val="Heading2Char"/>
    <w:uiPriority w:val="9"/>
    <w:semiHidden/>
    <w:unhideWhenUsed/>
    <w:qFormat/>
    <w:rsid w:val="00C33DF9"/>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val="en-IN" w:eastAsia="en-US"/>
      <w14:ligatures w14:val="standardContextual"/>
    </w:rPr>
  </w:style>
  <w:style w:type="paragraph" w:styleId="Heading3">
    <w:name w:val="heading 3"/>
    <w:basedOn w:val="Normal"/>
    <w:next w:val="Normal"/>
    <w:link w:val="Heading3Char"/>
    <w:uiPriority w:val="9"/>
    <w:semiHidden/>
    <w:unhideWhenUsed/>
    <w:qFormat/>
    <w:rsid w:val="00C33DF9"/>
    <w:pPr>
      <w:keepNext/>
      <w:keepLines/>
      <w:widowControl/>
      <w:spacing w:before="160" w:after="80" w:line="278" w:lineRule="auto"/>
      <w:jc w:val="left"/>
      <w:outlineLvl w:val="2"/>
    </w:pPr>
    <w:rPr>
      <w:rFonts w:eastAsiaTheme="majorEastAsia" w:cstheme="majorBidi"/>
      <w:color w:val="0F4761" w:themeColor="accent1" w:themeShade="BF"/>
      <w:sz w:val="28"/>
      <w:szCs w:val="28"/>
      <w:lang w:val="en-IN" w:eastAsia="en-US"/>
      <w14:ligatures w14:val="standardContextual"/>
    </w:rPr>
  </w:style>
  <w:style w:type="paragraph" w:styleId="Heading4">
    <w:name w:val="heading 4"/>
    <w:basedOn w:val="Normal"/>
    <w:next w:val="Normal"/>
    <w:link w:val="Heading4Char"/>
    <w:uiPriority w:val="9"/>
    <w:semiHidden/>
    <w:unhideWhenUsed/>
    <w:qFormat/>
    <w:rsid w:val="00C33DF9"/>
    <w:pPr>
      <w:keepNext/>
      <w:keepLines/>
      <w:widowControl/>
      <w:spacing w:before="80" w:after="40" w:line="278" w:lineRule="auto"/>
      <w:jc w:val="left"/>
      <w:outlineLvl w:val="3"/>
    </w:pPr>
    <w:rPr>
      <w:rFonts w:eastAsiaTheme="majorEastAsia" w:cstheme="majorBidi"/>
      <w:i/>
      <w:iCs/>
      <w:color w:val="0F4761" w:themeColor="accent1" w:themeShade="BF"/>
      <w:sz w:val="24"/>
      <w:szCs w:val="24"/>
      <w:lang w:val="en-IN" w:eastAsia="en-US"/>
      <w14:ligatures w14:val="standardContextual"/>
    </w:rPr>
  </w:style>
  <w:style w:type="paragraph" w:styleId="Heading5">
    <w:name w:val="heading 5"/>
    <w:basedOn w:val="Normal"/>
    <w:next w:val="Normal"/>
    <w:link w:val="Heading5Char"/>
    <w:uiPriority w:val="9"/>
    <w:semiHidden/>
    <w:unhideWhenUsed/>
    <w:qFormat/>
    <w:rsid w:val="00C33DF9"/>
    <w:pPr>
      <w:keepNext/>
      <w:keepLines/>
      <w:widowControl/>
      <w:spacing w:before="80" w:after="40" w:line="278" w:lineRule="auto"/>
      <w:jc w:val="left"/>
      <w:outlineLvl w:val="4"/>
    </w:pPr>
    <w:rPr>
      <w:rFonts w:eastAsiaTheme="majorEastAsia" w:cstheme="majorBidi"/>
      <w:color w:val="0F4761" w:themeColor="accent1" w:themeShade="BF"/>
      <w:sz w:val="24"/>
      <w:szCs w:val="24"/>
      <w:lang w:val="en-IN" w:eastAsia="en-US"/>
      <w14:ligatures w14:val="standardContextual"/>
    </w:rPr>
  </w:style>
  <w:style w:type="paragraph" w:styleId="Heading6">
    <w:name w:val="heading 6"/>
    <w:basedOn w:val="Normal"/>
    <w:next w:val="Normal"/>
    <w:link w:val="Heading6Char"/>
    <w:uiPriority w:val="9"/>
    <w:semiHidden/>
    <w:unhideWhenUsed/>
    <w:qFormat/>
    <w:rsid w:val="00C33DF9"/>
    <w:pPr>
      <w:keepNext/>
      <w:keepLines/>
      <w:widowControl/>
      <w:spacing w:before="40" w:after="0" w:line="278" w:lineRule="auto"/>
      <w:jc w:val="left"/>
      <w:outlineLvl w:val="5"/>
    </w:pPr>
    <w:rPr>
      <w:rFonts w:eastAsiaTheme="majorEastAsia" w:cstheme="majorBidi"/>
      <w:i/>
      <w:iCs/>
      <w:color w:val="595959" w:themeColor="text1" w:themeTint="A6"/>
      <w:sz w:val="24"/>
      <w:szCs w:val="24"/>
      <w:lang w:val="en-IN" w:eastAsia="en-US"/>
      <w14:ligatures w14:val="standardContextual"/>
    </w:rPr>
  </w:style>
  <w:style w:type="paragraph" w:styleId="Heading7">
    <w:name w:val="heading 7"/>
    <w:basedOn w:val="Normal"/>
    <w:next w:val="Normal"/>
    <w:link w:val="Heading7Char"/>
    <w:uiPriority w:val="9"/>
    <w:semiHidden/>
    <w:unhideWhenUsed/>
    <w:qFormat/>
    <w:rsid w:val="00C33DF9"/>
    <w:pPr>
      <w:keepNext/>
      <w:keepLines/>
      <w:widowControl/>
      <w:spacing w:before="40" w:after="0" w:line="278" w:lineRule="auto"/>
      <w:jc w:val="left"/>
      <w:outlineLvl w:val="6"/>
    </w:pPr>
    <w:rPr>
      <w:rFonts w:eastAsiaTheme="majorEastAsia" w:cstheme="majorBidi"/>
      <w:color w:val="595959" w:themeColor="text1" w:themeTint="A6"/>
      <w:sz w:val="24"/>
      <w:szCs w:val="24"/>
      <w:lang w:val="en-IN" w:eastAsia="en-US"/>
      <w14:ligatures w14:val="standardContextual"/>
    </w:rPr>
  </w:style>
  <w:style w:type="paragraph" w:styleId="Heading8">
    <w:name w:val="heading 8"/>
    <w:basedOn w:val="Normal"/>
    <w:next w:val="Normal"/>
    <w:link w:val="Heading8Char"/>
    <w:uiPriority w:val="9"/>
    <w:semiHidden/>
    <w:unhideWhenUsed/>
    <w:qFormat/>
    <w:rsid w:val="00C33DF9"/>
    <w:pPr>
      <w:keepNext/>
      <w:keepLines/>
      <w:widowControl/>
      <w:spacing w:after="0" w:line="278" w:lineRule="auto"/>
      <w:jc w:val="left"/>
      <w:outlineLvl w:val="7"/>
    </w:pPr>
    <w:rPr>
      <w:rFonts w:eastAsiaTheme="majorEastAsia" w:cstheme="majorBidi"/>
      <w:i/>
      <w:iCs/>
      <w:color w:val="272727" w:themeColor="text1" w:themeTint="D8"/>
      <w:sz w:val="24"/>
      <w:szCs w:val="24"/>
      <w:lang w:val="en-IN" w:eastAsia="en-US"/>
      <w14:ligatures w14:val="standardContextual"/>
    </w:rPr>
  </w:style>
  <w:style w:type="paragraph" w:styleId="Heading9">
    <w:name w:val="heading 9"/>
    <w:basedOn w:val="Normal"/>
    <w:next w:val="Normal"/>
    <w:link w:val="Heading9Char"/>
    <w:uiPriority w:val="9"/>
    <w:semiHidden/>
    <w:unhideWhenUsed/>
    <w:qFormat/>
    <w:rsid w:val="00C33DF9"/>
    <w:pPr>
      <w:keepNext/>
      <w:keepLines/>
      <w:widowControl/>
      <w:spacing w:after="0" w:line="278" w:lineRule="auto"/>
      <w:jc w:val="left"/>
      <w:outlineLvl w:val="8"/>
    </w:pPr>
    <w:rPr>
      <w:rFonts w:eastAsiaTheme="majorEastAsia" w:cstheme="majorBidi"/>
      <w:color w:val="272727" w:themeColor="text1" w:themeTint="D8"/>
      <w:sz w:val="24"/>
      <w:szCs w:val="24"/>
      <w:lang w:val="en-IN"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33DF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33DF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33DF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33DF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33DF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33DF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33DF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33DF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33DF9"/>
    <w:rPr>
      <w:rFonts w:eastAsiaTheme="majorEastAsia" w:cstheme="majorBidi"/>
      <w:color w:val="272727" w:themeColor="text1" w:themeTint="D8"/>
    </w:rPr>
  </w:style>
  <w:style w:type="paragraph" w:styleId="Title">
    <w:name w:val="Title"/>
    <w:basedOn w:val="Normal"/>
    <w:next w:val="Normal"/>
    <w:link w:val="TitleChar"/>
    <w:uiPriority w:val="10"/>
    <w:qFormat/>
    <w:rsid w:val="00C33DF9"/>
    <w:pPr>
      <w:widowControl/>
      <w:spacing w:after="80" w:line="240" w:lineRule="auto"/>
      <w:contextualSpacing/>
      <w:jc w:val="left"/>
    </w:pPr>
    <w:rPr>
      <w:rFonts w:asciiTheme="majorHAnsi" w:eastAsiaTheme="majorEastAsia" w:hAnsiTheme="majorHAnsi" w:cstheme="majorBidi"/>
      <w:spacing w:val="-10"/>
      <w:kern w:val="28"/>
      <w:sz w:val="56"/>
      <w:szCs w:val="56"/>
      <w:lang w:val="en-IN" w:eastAsia="en-US"/>
      <w14:ligatures w14:val="standardContextual"/>
    </w:rPr>
  </w:style>
  <w:style w:type="character" w:customStyle="1" w:styleId="TitleChar">
    <w:name w:val="Title Char"/>
    <w:basedOn w:val="DefaultParagraphFont"/>
    <w:link w:val="Title"/>
    <w:uiPriority w:val="10"/>
    <w:rsid w:val="00C33DF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33DF9"/>
    <w:pPr>
      <w:widowControl/>
      <w:numPr>
        <w:ilvl w:val="1"/>
      </w:numPr>
      <w:spacing w:line="278" w:lineRule="auto"/>
      <w:jc w:val="left"/>
    </w:pPr>
    <w:rPr>
      <w:rFonts w:eastAsiaTheme="majorEastAsia" w:cstheme="majorBidi"/>
      <w:color w:val="595959" w:themeColor="text1" w:themeTint="A6"/>
      <w:spacing w:val="15"/>
      <w:sz w:val="28"/>
      <w:szCs w:val="28"/>
      <w:lang w:val="en-IN" w:eastAsia="en-US"/>
      <w14:ligatures w14:val="standardContextual"/>
    </w:rPr>
  </w:style>
  <w:style w:type="character" w:customStyle="1" w:styleId="SubtitleChar">
    <w:name w:val="Subtitle Char"/>
    <w:basedOn w:val="DefaultParagraphFont"/>
    <w:link w:val="Subtitle"/>
    <w:uiPriority w:val="11"/>
    <w:rsid w:val="00C33DF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33DF9"/>
    <w:pPr>
      <w:widowControl/>
      <w:spacing w:before="160" w:line="278" w:lineRule="auto"/>
      <w:jc w:val="center"/>
    </w:pPr>
    <w:rPr>
      <w:rFonts w:eastAsiaTheme="minorHAnsi"/>
      <w:i/>
      <w:iCs/>
      <w:color w:val="404040" w:themeColor="text1" w:themeTint="BF"/>
      <w:sz w:val="24"/>
      <w:szCs w:val="24"/>
      <w:lang w:val="en-IN" w:eastAsia="en-US"/>
      <w14:ligatures w14:val="standardContextual"/>
    </w:rPr>
  </w:style>
  <w:style w:type="character" w:customStyle="1" w:styleId="QuoteChar">
    <w:name w:val="Quote Char"/>
    <w:basedOn w:val="DefaultParagraphFont"/>
    <w:link w:val="Quote"/>
    <w:uiPriority w:val="29"/>
    <w:rsid w:val="00C33DF9"/>
    <w:rPr>
      <w:i/>
      <w:iCs/>
      <w:color w:val="404040" w:themeColor="text1" w:themeTint="BF"/>
    </w:rPr>
  </w:style>
  <w:style w:type="paragraph" w:styleId="ListParagraph">
    <w:name w:val="List Paragraph"/>
    <w:basedOn w:val="Normal"/>
    <w:uiPriority w:val="34"/>
    <w:qFormat/>
    <w:rsid w:val="00C33DF9"/>
    <w:pPr>
      <w:widowControl/>
      <w:spacing w:line="278" w:lineRule="auto"/>
      <w:ind w:left="720"/>
      <w:contextualSpacing/>
      <w:jc w:val="left"/>
    </w:pPr>
    <w:rPr>
      <w:rFonts w:eastAsiaTheme="minorHAnsi"/>
      <w:sz w:val="24"/>
      <w:szCs w:val="24"/>
      <w:lang w:val="en-IN" w:eastAsia="en-US"/>
      <w14:ligatures w14:val="standardContextual"/>
    </w:rPr>
  </w:style>
  <w:style w:type="character" w:styleId="IntenseEmphasis">
    <w:name w:val="Intense Emphasis"/>
    <w:basedOn w:val="DefaultParagraphFont"/>
    <w:uiPriority w:val="21"/>
    <w:qFormat/>
    <w:rsid w:val="00C33DF9"/>
    <w:rPr>
      <w:i/>
      <w:iCs/>
      <w:color w:val="0F4761" w:themeColor="accent1" w:themeShade="BF"/>
    </w:rPr>
  </w:style>
  <w:style w:type="paragraph" w:styleId="IntenseQuote">
    <w:name w:val="Intense Quote"/>
    <w:basedOn w:val="Normal"/>
    <w:next w:val="Normal"/>
    <w:link w:val="IntenseQuoteChar"/>
    <w:uiPriority w:val="30"/>
    <w:qFormat/>
    <w:rsid w:val="00C33DF9"/>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szCs w:val="24"/>
      <w:lang w:val="en-IN" w:eastAsia="en-US"/>
      <w14:ligatures w14:val="standardContextual"/>
    </w:rPr>
  </w:style>
  <w:style w:type="character" w:customStyle="1" w:styleId="IntenseQuoteChar">
    <w:name w:val="Intense Quote Char"/>
    <w:basedOn w:val="DefaultParagraphFont"/>
    <w:link w:val="IntenseQuote"/>
    <w:uiPriority w:val="30"/>
    <w:rsid w:val="00C33DF9"/>
    <w:rPr>
      <w:i/>
      <w:iCs/>
      <w:color w:val="0F4761" w:themeColor="accent1" w:themeShade="BF"/>
    </w:rPr>
  </w:style>
  <w:style w:type="character" w:styleId="IntenseReference">
    <w:name w:val="Intense Reference"/>
    <w:basedOn w:val="DefaultParagraphFont"/>
    <w:uiPriority w:val="32"/>
    <w:qFormat/>
    <w:rsid w:val="00C33DF9"/>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932</Words>
  <Characters>5533</Characters>
  <Application>Microsoft Office Word</Application>
  <DocSecurity>0</DocSecurity>
  <Lines>149</Lines>
  <Paragraphs>80</Paragraphs>
  <ScaleCrop>false</ScaleCrop>
  <Company/>
  <LinksUpToDate>false</LinksUpToDate>
  <CharactersWithSpaces>6385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Pradeep Gaikwad</dc:creator>
  <cp:keywords/>
  <dc:description/>
  <cp:lastModifiedBy>Pradeep Gaikwad</cp:lastModifiedBy>
  <cp:revision>1</cp:revision>
  <dcterms:created xsi:type="dcterms:W3CDTF">2025-11-12T09:11:00Z</dcterms:created>
  <dcterms:modified xsi:type="dcterms:W3CDTF">2025-11-12T09:11:00Z</dcterms:modified>
</cp:coreProperties>
</file>