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FFFE08" w14:textId="77777777" w:rsidR="00526E7F" w:rsidRPr="00677D90" w:rsidRDefault="00526E7F" w:rsidP="00526E7F">
      <w:pPr>
        <w:spacing w:line="360" w:lineRule="auto"/>
        <w:jc w:val="both"/>
        <w:rPr>
          <w:rFonts w:cs="Times New Roman"/>
          <w:b/>
          <w:bCs/>
          <w:sz w:val="24"/>
          <w:szCs w:val="24"/>
        </w:rPr>
      </w:pPr>
      <w:r w:rsidRPr="00677D90">
        <w:rPr>
          <w:rFonts w:cs="Times New Roman"/>
          <w:b/>
          <w:bCs/>
          <w:sz w:val="24"/>
          <w:szCs w:val="24"/>
        </w:rPr>
        <w:t>Extended Data Figure legend</w:t>
      </w:r>
    </w:p>
    <w:p w14:paraId="46C13F44" w14:textId="77777777" w:rsidR="00526E7F" w:rsidRPr="00677D90" w:rsidRDefault="00526E7F" w:rsidP="00526E7F">
      <w:pPr>
        <w:spacing w:after="0" w:line="360" w:lineRule="auto"/>
        <w:jc w:val="both"/>
        <w:rPr>
          <w:rFonts w:cs="Times New Roman"/>
          <w:b/>
          <w:bCs/>
          <w:sz w:val="24"/>
          <w:szCs w:val="24"/>
          <w:lang w:val="en-US" w:eastAsia="ja-JP"/>
        </w:rPr>
      </w:pPr>
      <w:r w:rsidRPr="00677D90">
        <w:rPr>
          <w:rFonts w:cs="Times New Roman"/>
          <w:b/>
          <w:bCs/>
          <w:sz w:val="24"/>
          <w:szCs w:val="24"/>
          <w:lang w:val="en-US" w:eastAsia="ja-JP"/>
        </w:rPr>
        <w:t>Extended Data Fig 1. Conditional Knockout of PfARK1 and effect on expression of other PfARKs.</w:t>
      </w:r>
    </w:p>
    <w:p w14:paraId="7EA4DCAE" w14:textId="77777777" w:rsidR="00526E7F" w:rsidRPr="00677D90" w:rsidRDefault="00526E7F" w:rsidP="00526E7F">
      <w:pPr>
        <w:spacing w:after="0" w:line="360" w:lineRule="auto"/>
        <w:jc w:val="both"/>
        <w:rPr>
          <w:rFonts w:cs="Times New Roman"/>
          <w:sz w:val="24"/>
          <w:szCs w:val="24"/>
          <w:lang w:val="en-US" w:eastAsia="ja-JP"/>
        </w:rPr>
      </w:pPr>
      <w:r w:rsidRPr="00677D90">
        <w:rPr>
          <w:rFonts w:cs="Times New Roman"/>
          <w:b/>
          <w:bCs/>
          <w:sz w:val="24"/>
          <w:szCs w:val="24"/>
          <w:lang w:val="en-US" w:eastAsia="ja-JP"/>
        </w:rPr>
        <w:t>a</w:t>
      </w:r>
      <w:r w:rsidRPr="00677D90">
        <w:rPr>
          <w:rFonts w:cs="Times New Roman"/>
          <w:sz w:val="24"/>
          <w:szCs w:val="24"/>
          <w:lang w:val="en-US" w:eastAsia="ja-JP"/>
        </w:rPr>
        <w:t>. Schematic representation of the strategy used to modify the PfARK1</w:t>
      </w:r>
      <w:r w:rsidRPr="00677D90">
        <w:rPr>
          <w:rFonts w:cs="Times New Roman"/>
          <w:i/>
          <w:iCs/>
          <w:sz w:val="24"/>
          <w:szCs w:val="24"/>
          <w:lang w:val="en-US" w:eastAsia="ja-JP"/>
        </w:rPr>
        <w:t xml:space="preserve"> </w:t>
      </w:r>
      <w:r w:rsidRPr="00677D90">
        <w:rPr>
          <w:rFonts w:cs="Times New Roman"/>
          <w:sz w:val="24"/>
          <w:szCs w:val="24"/>
          <w:lang w:val="en-US" w:eastAsia="ja-JP"/>
        </w:rPr>
        <w:t>locus using selection-linked integration (SLI).  A homology region corresponding to the 5'-end of PfARK1</w:t>
      </w:r>
      <w:r w:rsidRPr="00677D90">
        <w:rPr>
          <w:rFonts w:cs="Times New Roman"/>
          <w:i/>
          <w:sz w:val="24"/>
          <w:szCs w:val="24"/>
          <w:lang w:val="en-US" w:eastAsia="ja-JP"/>
        </w:rPr>
        <w:t xml:space="preserve"> </w:t>
      </w:r>
      <w:r w:rsidRPr="00677D90">
        <w:rPr>
          <w:rFonts w:cs="Times New Roman"/>
          <w:sz w:val="24"/>
          <w:szCs w:val="24"/>
          <w:lang w:val="en-US" w:eastAsia="ja-JP"/>
        </w:rPr>
        <w:t xml:space="preserve">was cloned in pSLI-N-sandwich-loxP vector. In addition, recodonized PfARK1 was cloned downstream of yDHODH. *-stop codon, arrows- location of PCR primers that were used for genotyping and assessing excision. The above-mentioned construct was transfected in 1G5DC parasites followed by pSkipFlox plasmid, which contains a spilt Cre recombinase insert. </w:t>
      </w:r>
      <w:r w:rsidRPr="00677D90">
        <w:rPr>
          <w:rFonts w:cs="Times New Roman"/>
          <w:b/>
          <w:bCs/>
          <w:sz w:val="24"/>
          <w:szCs w:val="24"/>
          <w:lang w:val="en-US" w:eastAsia="ja-JP"/>
        </w:rPr>
        <w:t>b</w:t>
      </w:r>
      <w:r w:rsidRPr="00677D90">
        <w:rPr>
          <w:rFonts w:cs="Times New Roman"/>
          <w:sz w:val="24"/>
          <w:szCs w:val="24"/>
          <w:lang w:val="en-US" w:eastAsia="ja-JP"/>
        </w:rPr>
        <w:t xml:space="preserve">. </w:t>
      </w:r>
      <w:r w:rsidRPr="00677D90">
        <w:rPr>
          <w:rFonts w:cs="Times New Roman"/>
          <w:sz w:val="24"/>
          <w:szCs w:val="24"/>
          <w:lang w:val="en-IN" w:eastAsia="ja-JP"/>
        </w:rPr>
        <w:t>Genotyping of HA-PfArk1-loxP parasites that appeared after drug selection. PCR amplification was carried out using primers targeting the indicated sites in panel a. PCR products of expected size, which is indicated in the table, were amplified and suggested the desired 5’- and 3’-integration whereas the wild-type (WT) locus was absent in the transgenic HA-PfARK1-loxP parasites. The amplicons were sequenced to further confirm the integration at the desired locus.</w:t>
      </w:r>
      <w:r w:rsidRPr="00677D90">
        <w:rPr>
          <w:rFonts w:cs="Times New Roman"/>
          <w:sz w:val="24"/>
          <w:szCs w:val="24"/>
          <w:lang w:val="en-US" w:eastAsia="ja-JP"/>
        </w:rPr>
        <w:t xml:space="preserve"> </w:t>
      </w:r>
      <w:r w:rsidRPr="00677D90">
        <w:rPr>
          <w:rFonts w:cs="Times New Roman"/>
          <w:b/>
          <w:bCs/>
          <w:sz w:val="24"/>
          <w:szCs w:val="24"/>
          <w:lang w:val="en-US" w:eastAsia="ja-JP"/>
        </w:rPr>
        <w:t>c</w:t>
      </w:r>
      <w:r w:rsidRPr="00677D90">
        <w:rPr>
          <w:rFonts w:cs="Times New Roman"/>
          <w:sz w:val="24"/>
          <w:szCs w:val="24"/>
          <w:lang w:val="en-US" w:eastAsia="ja-JP"/>
        </w:rPr>
        <w:t>.</w:t>
      </w:r>
      <w:r w:rsidRPr="00677D90">
        <w:rPr>
          <w:rFonts w:cs="Times New Roman"/>
          <w:sz w:val="24"/>
          <w:szCs w:val="24"/>
          <w:lang w:val="en-IN" w:eastAsia="ja-JP"/>
        </w:rPr>
        <w:t xml:space="preserve"> HA-PfARK1-loxP parasites were treated with DMSO or 250 nM RAP for 24h. Subsequently, genomic DNA was isolated at ~44 h.p.i and PCR was performed using primer sets P7 and P8. A ~1.13kb product was obtained upon RAP treatment indicating successful excision.</w:t>
      </w:r>
      <w:r w:rsidRPr="00677D90">
        <w:rPr>
          <w:rFonts w:cs="Times New Roman"/>
          <w:sz w:val="24"/>
          <w:szCs w:val="24"/>
          <w:lang w:val="en-US" w:eastAsia="ja-JP"/>
        </w:rPr>
        <w:t xml:space="preserve"> </w:t>
      </w:r>
      <w:r w:rsidRPr="00677D90">
        <w:rPr>
          <w:rFonts w:cs="Times New Roman"/>
          <w:b/>
          <w:bCs/>
          <w:sz w:val="24"/>
          <w:szCs w:val="24"/>
          <w:lang w:val="en-US" w:eastAsia="ja-JP"/>
        </w:rPr>
        <w:t>d</w:t>
      </w:r>
      <w:r w:rsidRPr="00677D90">
        <w:rPr>
          <w:rFonts w:cs="Times New Roman"/>
          <w:sz w:val="24"/>
          <w:szCs w:val="24"/>
          <w:lang w:val="en-US" w:eastAsia="ja-JP"/>
        </w:rPr>
        <w:t xml:space="preserve">. </w:t>
      </w:r>
      <w:r w:rsidRPr="00677D90">
        <w:rPr>
          <w:rFonts w:cs="Times New Roman"/>
          <w:sz w:val="24"/>
          <w:szCs w:val="24"/>
          <w:lang w:val="en-IN" w:eastAsia="ja-JP"/>
        </w:rPr>
        <w:t xml:space="preserve">Western blot examination of HA-PfARK1-loxP parasite lysates (~44 h.p.i, cycle 0) treated with DMSO or RAP and using anti-HA antibody revealed that the RAP treatment resulted in effective depletion of HA-PfARK1. </w:t>
      </w:r>
      <w:r w:rsidRPr="00677D90">
        <w:rPr>
          <w:rFonts w:cs="Times New Roman"/>
          <w:sz w:val="24"/>
          <w:szCs w:val="24"/>
          <w:lang w:val="el-GR" w:eastAsia="ja-JP"/>
        </w:rPr>
        <w:t>β</w:t>
      </w:r>
      <w:r w:rsidRPr="00677D90">
        <w:rPr>
          <w:rFonts w:cs="Times New Roman"/>
          <w:sz w:val="24"/>
          <w:szCs w:val="24"/>
          <w:lang w:val="en-US" w:eastAsia="ja-JP"/>
        </w:rPr>
        <w:t>-</w:t>
      </w:r>
      <w:r w:rsidRPr="00677D90">
        <w:rPr>
          <w:rFonts w:cs="Times New Roman"/>
          <w:sz w:val="24"/>
          <w:szCs w:val="24"/>
          <w:lang w:val="en-IN" w:eastAsia="ja-JP"/>
        </w:rPr>
        <w:t>actin antibody was used as a loading control.</w:t>
      </w:r>
      <w:r w:rsidRPr="00677D90">
        <w:rPr>
          <w:rFonts w:cs="Times New Roman"/>
          <w:sz w:val="24"/>
          <w:szCs w:val="24"/>
          <w:lang w:val="en-US" w:eastAsia="ja-JP"/>
        </w:rPr>
        <w:t xml:space="preserve"> </w:t>
      </w:r>
      <w:r w:rsidRPr="00677D90">
        <w:rPr>
          <w:rFonts w:cs="Times New Roman"/>
          <w:b/>
          <w:bCs/>
          <w:sz w:val="24"/>
          <w:szCs w:val="24"/>
          <w:lang w:val="en-IN" w:eastAsia="ja-JP"/>
        </w:rPr>
        <w:t>e</w:t>
      </w:r>
      <w:r w:rsidRPr="00677D90">
        <w:rPr>
          <w:rFonts w:cs="Times New Roman"/>
          <w:sz w:val="24"/>
          <w:szCs w:val="24"/>
          <w:lang w:val="en-IN" w:eastAsia="ja-JP"/>
        </w:rPr>
        <w:t xml:space="preserve">. HA-PfARK1-loxP parasites were synchronized and were harvested at Ring (R), Trophozoite (T) and Early Schizont (ES) or Late Schizont (LS) stages and Western blotting was performed using anti-HA or BiP antibodies. </w:t>
      </w:r>
      <w:r w:rsidRPr="00677D90">
        <w:rPr>
          <w:rFonts w:cs="Times New Roman"/>
          <w:b/>
          <w:bCs/>
          <w:sz w:val="24"/>
          <w:szCs w:val="24"/>
          <w:lang w:val="en-IN" w:eastAsia="ja-JP"/>
        </w:rPr>
        <w:t>f</w:t>
      </w:r>
      <w:r w:rsidRPr="00677D90">
        <w:rPr>
          <w:rFonts w:cs="Times New Roman"/>
          <w:sz w:val="24"/>
          <w:szCs w:val="24"/>
          <w:lang w:val="en-IN" w:eastAsia="ja-JP"/>
        </w:rPr>
        <w:t xml:space="preserve">. HA-PfARK1-loxP parasites were treated with DMSO or 250 nM RAP. Subsequently, RNA was isolated (~44 h.p.i, cycle1) and used for RT-qPCR analysis to assess the expression of ARK1/2/3 </w:t>
      </w:r>
      <w:r w:rsidRPr="00677D90">
        <w:rPr>
          <w:rFonts w:cs="Times New Roman"/>
          <w:sz w:val="24"/>
          <w:szCs w:val="24"/>
          <w:lang w:val="en-US" w:eastAsia="ja-JP"/>
        </w:rPr>
        <w:t xml:space="preserve">(SEM ± SE, </w:t>
      </w:r>
      <w:r w:rsidRPr="00677D90">
        <w:rPr>
          <w:rFonts w:cs="Times New Roman"/>
          <w:sz w:val="24"/>
          <w:szCs w:val="24"/>
          <w:lang w:val="en-IN" w:eastAsia="ja-JP"/>
        </w:rPr>
        <w:t>two-way ANOVA,</w:t>
      </w:r>
      <w:r w:rsidRPr="00677D90">
        <w:rPr>
          <w:rFonts w:cs="Times New Roman"/>
          <w:sz w:val="24"/>
          <w:szCs w:val="24"/>
          <w:lang w:val="en-US" w:eastAsia="ja-JP"/>
        </w:rPr>
        <w:t xml:space="preserve"> * </w:t>
      </w:r>
      <w:r w:rsidRPr="00677D90">
        <w:rPr>
          <w:rFonts w:cs="Times New Roman"/>
          <w:sz w:val="24"/>
          <w:szCs w:val="24"/>
          <w:lang w:val="en-IN" w:eastAsia="ja-JP"/>
        </w:rPr>
        <w:t xml:space="preserve">P &lt;0.05, </w:t>
      </w:r>
      <w:r w:rsidRPr="00677D90">
        <w:rPr>
          <w:rFonts w:cs="Times New Roman"/>
          <w:sz w:val="24"/>
          <w:szCs w:val="24"/>
          <w:lang w:val="en-US" w:eastAsia="ja-JP"/>
        </w:rPr>
        <w:t xml:space="preserve">** </w:t>
      </w:r>
      <w:r w:rsidRPr="00677D90">
        <w:rPr>
          <w:rFonts w:cs="Times New Roman"/>
          <w:sz w:val="24"/>
          <w:szCs w:val="24"/>
          <w:lang w:val="en-IN" w:eastAsia="ja-JP"/>
        </w:rPr>
        <w:t xml:space="preserve">P &lt;0.01, n=3) </w:t>
      </w:r>
    </w:p>
    <w:p w14:paraId="15B2FC45" w14:textId="77777777" w:rsidR="00526E7F" w:rsidRPr="00677D90" w:rsidRDefault="00526E7F" w:rsidP="00526E7F">
      <w:pPr>
        <w:spacing w:after="0" w:line="360" w:lineRule="auto"/>
        <w:jc w:val="both"/>
        <w:rPr>
          <w:rFonts w:cs="Times New Roman"/>
          <w:b/>
          <w:bCs/>
          <w:sz w:val="24"/>
          <w:szCs w:val="24"/>
          <w:lang w:val="en-US" w:eastAsia="ja-JP"/>
        </w:rPr>
      </w:pPr>
    </w:p>
    <w:p w14:paraId="0E849CB1" w14:textId="77777777" w:rsidR="00526E7F" w:rsidRPr="00677D90" w:rsidRDefault="00526E7F" w:rsidP="00526E7F">
      <w:pPr>
        <w:spacing w:after="0" w:line="360" w:lineRule="auto"/>
        <w:jc w:val="both"/>
        <w:rPr>
          <w:rFonts w:cs="Times New Roman"/>
          <w:b/>
          <w:bCs/>
          <w:sz w:val="24"/>
          <w:szCs w:val="24"/>
          <w:lang w:val="en-US" w:eastAsia="ja-JP"/>
        </w:rPr>
      </w:pPr>
      <w:r w:rsidRPr="00677D90">
        <w:rPr>
          <w:rFonts w:cs="Times New Roman"/>
          <w:b/>
          <w:bCs/>
          <w:sz w:val="24"/>
          <w:szCs w:val="24"/>
          <w:lang w:val="en-US" w:eastAsia="ja-JP"/>
        </w:rPr>
        <w:t xml:space="preserve">Extended Data Fig. 2. </w:t>
      </w:r>
      <w:r w:rsidRPr="00677D90">
        <w:rPr>
          <w:rFonts w:cs="Times New Roman"/>
          <w:b/>
          <w:bCs/>
          <w:sz w:val="24"/>
          <w:szCs w:val="24"/>
        </w:rPr>
        <w:t>Generation of PbARK1-GFP parasites and analysis of subcellular location.</w:t>
      </w:r>
    </w:p>
    <w:p w14:paraId="107BD991" w14:textId="77777777" w:rsidR="00526E7F" w:rsidRPr="00677D90" w:rsidRDefault="00526E7F" w:rsidP="00526E7F">
      <w:pPr>
        <w:spacing w:line="360" w:lineRule="auto"/>
        <w:jc w:val="both"/>
        <w:rPr>
          <w:rFonts w:cs="Times New Roman"/>
          <w:sz w:val="24"/>
          <w:szCs w:val="24"/>
        </w:rPr>
      </w:pPr>
      <w:r w:rsidRPr="00677D90">
        <w:rPr>
          <w:rFonts w:cs="Times New Roman"/>
          <w:b/>
          <w:bCs/>
          <w:sz w:val="24"/>
          <w:szCs w:val="24"/>
        </w:rPr>
        <w:t>a.</w:t>
      </w:r>
      <w:r w:rsidRPr="00677D90">
        <w:rPr>
          <w:rFonts w:cs="Times New Roman"/>
          <w:sz w:val="24"/>
          <w:szCs w:val="24"/>
        </w:rPr>
        <w:t xml:space="preserve"> Schematic representation of the endogenous </w:t>
      </w:r>
      <w:r w:rsidRPr="00677D90">
        <w:rPr>
          <w:rFonts w:cs="Times New Roman"/>
          <w:i/>
          <w:iCs/>
          <w:sz w:val="24"/>
          <w:szCs w:val="24"/>
        </w:rPr>
        <w:t>Pbark1</w:t>
      </w:r>
      <w:r w:rsidRPr="00677D90">
        <w:rPr>
          <w:rFonts w:cs="Times New Roman"/>
          <w:sz w:val="24"/>
          <w:szCs w:val="24"/>
        </w:rPr>
        <w:t xml:space="preserve"> locus, the GFP-tagging construct, and the recombined </w:t>
      </w:r>
      <w:r w:rsidRPr="00677D90">
        <w:rPr>
          <w:rFonts w:cs="Times New Roman"/>
          <w:i/>
          <w:iCs/>
          <w:sz w:val="24"/>
          <w:szCs w:val="24"/>
        </w:rPr>
        <w:t>ark1</w:t>
      </w:r>
      <w:r w:rsidRPr="00677D90">
        <w:rPr>
          <w:rFonts w:cs="Times New Roman"/>
          <w:sz w:val="24"/>
          <w:szCs w:val="24"/>
        </w:rPr>
        <w:t xml:space="preserve"> locus generated by single homologous recombination. Arrows 1 and 2 indicate the positions of PCR primers used to confirm successful integration of the construct. </w:t>
      </w:r>
      <w:r w:rsidRPr="00677D90">
        <w:rPr>
          <w:rFonts w:cs="Times New Roman"/>
          <w:b/>
          <w:bCs/>
          <w:sz w:val="24"/>
          <w:szCs w:val="24"/>
        </w:rPr>
        <w:t>b.</w:t>
      </w:r>
      <w:r w:rsidRPr="00677D90">
        <w:rPr>
          <w:rFonts w:cs="Times New Roman"/>
          <w:sz w:val="24"/>
          <w:szCs w:val="24"/>
        </w:rPr>
        <w:t xml:space="preserve"> Diagnostic </w:t>
      </w:r>
      <w:r w:rsidRPr="00677D90">
        <w:rPr>
          <w:rFonts w:cs="Times New Roman"/>
          <w:sz w:val="24"/>
          <w:szCs w:val="24"/>
        </w:rPr>
        <w:lastRenderedPageBreak/>
        <w:t xml:space="preserve">PCR of ark1 and WT parasites using primers IntArk1tg (Arrow 1) and ol492 (Arrow 3) to show the correct integration. Integration of the ark1 tagging construct gives a band of 1.1 kb. </w:t>
      </w:r>
      <w:r w:rsidRPr="00677D90">
        <w:rPr>
          <w:rFonts w:cs="Times New Roman"/>
          <w:b/>
          <w:bCs/>
          <w:sz w:val="24"/>
          <w:szCs w:val="24"/>
        </w:rPr>
        <w:t>c</w:t>
      </w:r>
      <w:r w:rsidRPr="00677D90">
        <w:rPr>
          <w:rFonts w:cs="Times New Roman"/>
          <w:sz w:val="24"/>
          <w:szCs w:val="24"/>
        </w:rPr>
        <w:t xml:space="preserve">. Western blot showing the expression of endogenous ARK1-GFP1 detected by anti-GFP antibody. PK2 was used as control. </w:t>
      </w:r>
      <w:r w:rsidRPr="00677D90">
        <w:rPr>
          <w:rFonts w:cs="Times New Roman"/>
          <w:b/>
          <w:bCs/>
          <w:sz w:val="24"/>
          <w:szCs w:val="24"/>
        </w:rPr>
        <w:t>d.</w:t>
      </w:r>
      <w:r w:rsidRPr="00677D90">
        <w:rPr>
          <w:rFonts w:cs="Times New Roman"/>
          <w:sz w:val="24"/>
          <w:szCs w:val="24"/>
        </w:rPr>
        <w:t xml:space="preserve"> Live cell images showing the location of ARK1-GFP during asexual blood stages of </w:t>
      </w:r>
      <w:r w:rsidRPr="00677D90">
        <w:rPr>
          <w:rFonts w:cs="Times New Roman"/>
          <w:i/>
          <w:iCs/>
          <w:sz w:val="24"/>
          <w:szCs w:val="24"/>
        </w:rPr>
        <w:t>P. berghei</w:t>
      </w:r>
      <w:r w:rsidRPr="00677D90">
        <w:rPr>
          <w:rFonts w:cs="Times New Roman"/>
          <w:sz w:val="24"/>
          <w:szCs w:val="24"/>
        </w:rPr>
        <w:t xml:space="preserve">. Representative of more than 50 images analysed in 3 different experiments. Scale bar = 5 </w:t>
      </w:r>
      <w:r w:rsidRPr="00677D90">
        <w:rPr>
          <w:rFonts w:cs="Times New Roman"/>
          <w:sz w:val="24"/>
          <w:szCs w:val="24"/>
        </w:rPr>
        <w:sym w:font="Symbol" w:char="F06D"/>
      </w:r>
      <w:r w:rsidRPr="00677D90">
        <w:rPr>
          <w:rFonts w:cs="Times New Roman"/>
          <w:sz w:val="24"/>
          <w:szCs w:val="24"/>
        </w:rPr>
        <w:t xml:space="preserve">m. </w:t>
      </w:r>
      <w:r w:rsidRPr="00677D90">
        <w:rPr>
          <w:rFonts w:cs="Times New Roman"/>
          <w:b/>
          <w:bCs/>
          <w:sz w:val="24"/>
          <w:szCs w:val="24"/>
        </w:rPr>
        <w:t xml:space="preserve">e. </w:t>
      </w:r>
      <w:r w:rsidRPr="00677D90">
        <w:rPr>
          <w:rFonts w:cs="Times New Roman"/>
          <w:sz w:val="24"/>
          <w:szCs w:val="24"/>
        </w:rPr>
        <w:t xml:space="preserve">Live cell imaging showing the location of PbARK1-GFP (green) in relation to kinetochore marker NDC80-mCherry (magenta) during asexual blood stages of </w:t>
      </w:r>
      <w:r w:rsidRPr="00677D90">
        <w:rPr>
          <w:rFonts w:cs="Times New Roman"/>
          <w:i/>
          <w:iCs/>
          <w:sz w:val="24"/>
          <w:szCs w:val="24"/>
        </w:rPr>
        <w:t>P. berghei</w:t>
      </w:r>
      <w:r w:rsidRPr="00677D90">
        <w:rPr>
          <w:rFonts w:cs="Times New Roman"/>
          <w:sz w:val="24"/>
          <w:szCs w:val="24"/>
        </w:rPr>
        <w:t xml:space="preserve">. DNA is stained with Hoechst dye (blue). Merge: green, magenta, and blue images merged. Representative images of more than 20 cells with three biological replicates. Scale bar = 2 </w:t>
      </w:r>
      <w:r w:rsidRPr="00677D90">
        <w:rPr>
          <w:rFonts w:cs="Times New Roman"/>
          <w:sz w:val="24"/>
          <w:szCs w:val="24"/>
        </w:rPr>
        <w:sym w:font="Symbol" w:char="F06D"/>
      </w:r>
      <w:r w:rsidRPr="00677D90">
        <w:rPr>
          <w:rFonts w:cs="Times New Roman"/>
          <w:sz w:val="24"/>
          <w:szCs w:val="24"/>
        </w:rPr>
        <w:t xml:space="preserve">m. </w:t>
      </w:r>
      <w:r w:rsidRPr="00677D90">
        <w:rPr>
          <w:rFonts w:cs="Times New Roman"/>
          <w:b/>
          <w:bCs/>
          <w:sz w:val="24"/>
          <w:szCs w:val="24"/>
        </w:rPr>
        <w:t>f</w:t>
      </w:r>
      <w:r w:rsidRPr="00677D90">
        <w:rPr>
          <w:rFonts w:cs="Times New Roman"/>
          <w:sz w:val="24"/>
          <w:szCs w:val="24"/>
        </w:rPr>
        <w:t xml:space="preserve">. Indirect immunofluorescence assays with tubulin and GFP-specific antibodies showing location of ARK1–GFP (green) in relation to tubulin (magenta) and DNA (Hoechst, blue). Merge: green, magenta, and blue images merged. Representative of more 20 images analysed in more than 3 different experiments; the scale bar is 5 </w:t>
      </w:r>
      <w:r w:rsidRPr="00677D90">
        <w:rPr>
          <w:rFonts w:cs="Times New Roman"/>
          <w:sz w:val="24"/>
          <w:szCs w:val="24"/>
        </w:rPr>
        <w:sym w:font="Symbol" w:char="F06D"/>
      </w:r>
      <w:r w:rsidRPr="00677D90">
        <w:rPr>
          <w:rFonts w:cs="Times New Roman"/>
          <w:sz w:val="24"/>
          <w:szCs w:val="24"/>
        </w:rPr>
        <w:t>m.</w:t>
      </w:r>
      <w:r w:rsidRPr="00677D90">
        <w:rPr>
          <w:rFonts w:cs="Times New Roman"/>
          <w:b/>
          <w:bCs/>
          <w:sz w:val="24"/>
          <w:szCs w:val="24"/>
        </w:rPr>
        <w:t xml:space="preserve"> g. </w:t>
      </w:r>
      <w:r w:rsidRPr="00677D90">
        <w:rPr>
          <w:rFonts w:cs="Times New Roman"/>
          <w:sz w:val="24"/>
          <w:szCs w:val="24"/>
        </w:rPr>
        <w:t xml:space="preserve">Live cell imaging showing the location of PbARK1-GFP (green) in relation to kinetochore marker NDC80-mCherry (magenta) at different time points during gametogony. DNA is stained with Hoechst dye (blue). Merge: green, magenta, and blue images merged. Representative images of more than 20 cells with three biological replicates. Scale bar= 5 </w:t>
      </w:r>
      <w:r w:rsidRPr="00677D90">
        <w:rPr>
          <w:rFonts w:cs="Times New Roman"/>
          <w:sz w:val="24"/>
          <w:szCs w:val="24"/>
        </w:rPr>
        <w:sym w:font="Symbol" w:char="F06D"/>
      </w:r>
      <w:r w:rsidRPr="00677D90">
        <w:rPr>
          <w:rFonts w:cs="Times New Roman"/>
          <w:sz w:val="24"/>
          <w:szCs w:val="24"/>
        </w:rPr>
        <w:t xml:space="preserve">m. </w:t>
      </w:r>
      <w:r w:rsidRPr="00677D90">
        <w:rPr>
          <w:rFonts w:cs="Times New Roman"/>
          <w:b/>
          <w:bCs/>
          <w:sz w:val="24"/>
          <w:szCs w:val="24"/>
        </w:rPr>
        <w:t>h.</w:t>
      </w:r>
      <w:r w:rsidRPr="00677D90">
        <w:rPr>
          <w:rFonts w:cs="Times New Roman"/>
          <w:sz w:val="24"/>
          <w:szCs w:val="24"/>
        </w:rPr>
        <w:t xml:space="preserve"> Live cell imaging showing the dynamics of PbARK1-GFP (green) in relation to spindle protein kinase ARK2-mCherry (magenta) at different time points during gametogony. DNA is stained with Hoechst dye (blue). Merge: green, magenta, and blue images merged. Representative images of more than 20 cells with three biological replicates. Scale bar= 5 </w:t>
      </w:r>
      <w:r w:rsidRPr="00677D90">
        <w:rPr>
          <w:rFonts w:cs="Times New Roman"/>
          <w:sz w:val="24"/>
          <w:szCs w:val="24"/>
        </w:rPr>
        <w:sym w:font="Symbol" w:char="F06D"/>
      </w:r>
      <w:r w:rsidRPr="00677D90">
        <w:rPr>
          <w:rFonts w:cs="Times New Roman"/>
          <w:sz w:val="24"/>
          <w:szCs w:val="24"/>
        </w:rPr>
        <w:t xml:space="preserve">m </w:t>
      </w:r>
      <w:r w:rsidRPr="00677D90">
        <w:rPr>
          <w:rFonts w:cs="Times New Roman"/>
          <w:b/>
          <w:bCs/>
          <w:sz w:val="24"/>
          <w:szCs w:val="24"/>
        </w:rPr>
        <w:t>i.</w:t>
      </w:r>
      <w:r w:rsidRPr="00677D90">
        <w:rPr>
          <w:rFonts w:cs="Times New Roman"/>
          <w:sz w:val="24"/>
          <w:szCs w:val="24"/>
        </w:rPr>
        <w:t xml:space="preserve"> Live cell imaging showing the dynamics of PbARK1-GFP (green) in relation to basal body/axoneme marker kinesin-8B-mCherry (magenta) at different time points during gametogony. DNA is stained with Hoechst dye (blue). Merge: green, magenta, and blue images merged. Representative images of more than 20 cells with three biological replicates. Scale bar= 5 </w:t>
      </w:r>
      <w:r w:rsidRPr="00677D90">
        <w:rPr>
          <w:rFonts w:cs="Times New Roman"/>
          <w:sz w:val="24"/>
          <w:szCs w:val="24"/>
        </w:rPr>
        <w:sym w:font="Symbol" w:char="F06D"/>
      </w:r>
      <w:r w:rsidRPr="00677D90">
        <w:rPr>
          <w:rFonts w:cs="Times New Roman"/>
          <w:sz w:val="24"/>
          <w:szCs w:val="24"/>
        </w:rPr>
        <w:t>m.</w:t>
      </w:r>
    </w:p>
    <w:p w14:paraId="7A564A0B" w14:textId="77777777" w:rsidR="00526E7F" w:rsidRPr="00677D90" w:rsidRDefault="00526E7F" w:rsidP="00526E7F">
      <w:pPr>
        <w:spacing w:line="360" w:lineRule="auto"/>
        <w:jc w:val="both"/>
        <w:rPr>
          <w:rFonts w:cs="Times New Roman"/>
          <w:sz w:val="24"/>
          <w:szCs w:val="24"/>
        </w:rPr>
      </w:pPr>
    </w:p>
    <w:p w14:paraId="5B6374F1" w14:textId="77777777" w:rsidR="00526E7F" w:rsidRPr="00677D90" w:rsidRDefault="00526E7F" w:rsidP="00526E7F">
      <w:pPr>
        <w:spacing w:line="360" w:lineRule="auto"/>
        <w:jc w:val="both"/>
        <w:rPr>
          <w:rFonts w:cs="Times New Roman"/>
          <w:b/>
          <w:bCs/>
          <w:sz w:val="24"/>
          <w:szCs w:val="24"/>
        </w:rPr>
      </w:pPr>
      <w:r w:rsidRPr="00677D90">
        <w:rPr>
          <w:rFonts w:cs="Times New Roman"/>
          <w:b/>
          <w:bCs/>
          <w:sz w:val="24"/>
          <w:szCs w:val="24"/>
        </w:rPr>
        <w:t>Extended Data Fig. 3. Realtime dynamics of PbARK1-GFP during meiosis and other asexual developmental stages.</w:t>
      </w:r>
    </w:p>
    <w:p w14:paraId="118A1F97" w14:textId="77777777" w:rsidR="00526E7F" w:rsidRPr="00677D90" w:rsidRDefault="00526E7F" w:rsidP="00526E7F">
      <w:pPr>
        <w:spacing w:line="360" w:lineRule="auto"/>
        <w:jc w:val="both"/>
        <w:rPr>
          <w:rFonts w:cs="Times New Roman"/>
          <w:sz w:val="24"/>
          <w:szCs w:val="24"/>
        </w:rPr>
      </w:pPr>
      <w:r w:rsidRPr="00677D90">
        <w:rPr>
          <w:rFonts w:cs="Times New Roman"/>
          <w:b/>
          <w:bCs/>
          <w:sz w:val="24"/>
          <w:szCs w:val="24"/>
        </w:rPr>
        <w:t xml:space="preserve">a. </w:t>
      </w:r>
      <w:r w:rsidRPr="00677D90">
        <w:rPr>
          <w:rFonts w:cs="Times New Roman"/>
          <w:sz w:val="24"/>
          <w:szCs w:val="24"/>
        </w:rPr>
        <w:t xml:space="preserve">Live-cell imaging showing PbARK1-GFP (green) location in zygote and during ookinete development, relative to the nuclear DNA (blue, Hoechst dye), and cy3-conjugated 13.1 antibody (magenta), which recognises P28 protein on the surface of zygotes and ookinetes. Representative </w:t>
      </w:r>
      <w:r w:rsidRPr="00677D90">
        <w:rPr>
          <w:rFonts w:cs="Times New Roman"/>
          <w:sz w:val="24"/>
          <w:szCs w:val="24"/>
        </w:rPr>
        <w:lastRenderedPageBreak/>
        <w:t>of more than 50 images analysed in more than three different experiments. Scale bar = 5 </w:t>
      </w:r>
      <w:r w:rsidRPr="00677D90">
        <w:rPr>
          <w:rFonts w:cs="Times New Roman"/>
          <w:sz w:val="24"/>
          <w:szCs w:val="24"/>
        </w:rPr>
        <w:sym w:font="Symbol" w:char="F06D"/>
      </w:r>
      <w:r w:rsidRPr="00677D90">
        <w:rPr>
          <w:rFonts w:cs="Times New Roman"/>
          <w:sz w:val="24"/>
          <w:szCs w:val="24"/>
        </w:rPr>
        <w:t>m.</w:t>
      </w:r>
      <w:r w:rsidRPr="00677D90">
        <w:rPr>
          <w:rFonts w:cs="Times New Roman"/>
          <w:b/>
          <w:bCs/>
          <w:sz w:val="24"/>
          <w:szCs w:val="24"/>
        </w:rPr>
        <w:t xml:space="preserve"> b.</w:t>
      </w:r>
      <w:r w:rsidRPr="00677D90">
        <w:rPr>
          <w:rFonts w:cs="Times New Roman"/>
          <w:sz w:val="24"/>
          <w:szCs w:val="24"/>
        </w:rPr>
        <w:t xml:space="preserve"> Live cell images showing the location of PbARK1-GFP during oocysts and sporozoite stages in mosquito. Representative of more than 50 images analysed in 3 different experiments. Scale bar = 5 </w:t>
      </w:r>
      <w:r w:rsidRPr="00677D90">
        <w:rPr>
          <w:rFonts w:cs="Times New Roman"/>
          <w:sz w:val="24"/>
          <w:szCs w:val="24"/>
        </w:rPr>
        <w:sym w:font="Symbol" w:char="F06D"/>
      </w:r>
      <w:r w:rsidRPr="00677D90">
        <w:rPr>
          <w:rFonts w:cs="Times New Roman"/>
          <w:sz w:val="24"/>
          <w:szCs w:val="24"/>
        </w:rPr>
        <w:t>m. </w:t>
      </w:r>
      <w:r w:rsidRPr="00677D90">
        <w:rPr>
          <w:rFonts w:cs="Times New Roman"/>
          <w:b/>
          <w:bCs/>
          <w:sz w:val="24"/>
          <w:szCs w:val="24"/>
        </w:rPr>
        <w:t>c</w:t>
      </w:r>
      <w:r w:rsidRPr="00677D90">
        <w:rPr>
          <w:rFonts w:cs="Times New Roman"/>
          <w:sz w:val="24"/>
          <w:szCs w:val="24"/>
        </w:rPr>
        <w:t xml:space="preserve">. Live cell images showing the location of PbARK1-GFP in liver stages. Representative of more 20 images analysed in 3 different experiments. Scale bar = 5 </w:t>
      </w:r>
      <w:r w:rsidRPr="00677D90">
        <w:rPr>
          <w:rFonts w:cs="Times New Roman"/>
          <w:sz w:val="24"/>
          <w:szCs w:val="24"/>
        </w:rPr>
        <w:sym w:font="Symbol" w:char="F06D"/>
      </w:r>
      <w:r w:rsidRPr="00677D90">
        <w:rPr>
          <w:rFonts w:cs="Times New Roman"/>
          <w:sz w:val="24"/>
          <w:szCs w:val="24"/>
        </w:rPr>
        <w:t xml:space="preserve">m.  </w:t>
      </w:r>
    </w:p>
    <w:p w14:paraId="7AEA95C1" w14:textId="77777777" w:rsidR="00526E7F" w:rsidRPr="00677D90" w:rsidRDefault="00526E7F" w:rsidP="00526E7F">
      <w:pPr>
        <w:spacing w:line="360" w:lineRule="auto"/>
        <w:jc w:val="both"/>
        <w:rPr>
          <w:rFonts w:cs="Times New Roman"/>
          <w:sz w:val="24"/>
          <w:szCs w:val="24"/>
        </w:rPr>
      </w:pPr>
    </w:p>
    <w:p w14:paraId="14800C45" w14:textId="77777777" w:rsidR="00526E7F" w:rsidRPr="00677D90" w:rsidRDefault="00526E7F" w:rsidP="00526E7F">
      <w:pPr>
        <w:spacing w:line="360" w:lineRule="auto"/>
        <w:jc w:val="both"/>
        <w:rPr>
          <w:rFonts w:cs="Times New Roman"/>
          <w:b/>
          <w:bCs/>
          <w:sz w:val="24"/>
          <w:szCs w:val="24"/>
        </w:rPr>
      </w:pPr>
      <w:r w:rsidRPr="00677D90">
        <w:rPr>
          <w:rFonts w:cs="Times New Roman"/>
          <w:b/>
          <w:bCs/>
          <w:sz w:val="24"/>
          <w:szCs w:val="24"/>
        </w:rPr>
        <w:t>Extended Data Fig. 4. Effect of PfARK1 cKO on parasite development and division.</w:t>
      </w:r>
    </w:p>
    <w:p w14:paraId="0F636FFD" w14:textId="77777777" w:rsidR="00526E7F" w:rsidRPr="00677D90" w:rsidRDefault="00526E7F" w:rsidP="00526E7F">
      <w:pPr>
        <w:spacing w:line="360" w:lineRule="auto"/>
        <w:jc w:val="both"/>
        <w:rPr>
          <w:rFonts w:cs="Times New Roman"/>
          <w:sz w:val="24"/>
          <w:szCs w:val="24"/>
        </w:rPr>
      </w:pPr>
      <w:r w:rsidRPr="00677D90">
        <w:rPr>
          <w:rFonts w:cs="Times New Roman"/>
          <w:b/>
          <w:bCs/>
          <w:sz w:val="24"/>
          <w:szCs w:val="24"/>
          <w:lang w:val="en-IN"/>
        </w:rPr>
        <w:t>a</w:t>
      </w:r>
      <w:r w:rsidRPr="00677D90">
        <w:rPr>
          <w:rFonts w:cs="Times New Roman"/>
          <w:sz w:val="24"/>
          <w:szCs w:val="24"/>
          <w:lang w:val="en-IN"/>
        </w:rPr>
        <w:t xml:space="preserve"> and </w:t>
      </w:r>
      <w:r w:rsidRPr="00677D90">
        <w:rPr>
          <w:rFonts w:cs="Times New Roman"/>
          <w:b/>
          <w:bCs/>
          <w:sz w:val="24"/>
          <w:szCs w:val="24"/>
          <w:lang w:val="en-IN"/>
        </w:rPr>
        <w:t>b</w:t>
      </w:r>
      <w:r w:rsidRPr="00677D90">
        <w:rPr>
          <w:rFonts w:cs="Times New Roman"/>
          <w:sz w:val="24"/>
          <w:szCs w:val="24"/>
          <w:lang w:val="en-IN"/>
        </w:rPr>
        <w:t xml:space="preserve">. The unmodified 1G5DC SkipFlox (a) or HA-PfARK1-loxP (b) </w:t>
      </w:r>
      <w:r w:rsidRPr="00677D90">
        <w:rPr>
          <w:rFonts w:cs="Times New Roman"/>
          <w:sz w:val="24"/>
          <w:szCs w:val="24"/>
          <w:lang w:val="en-US"/>
        </w:rPr>
        <w:t xml:space="preserve">parasites were synchronized and ring stage parasites and were either left untreated or treated with RAP as described for Figure </w:t>
      </w:r>
      <w:r w:rsidRPr="00677D90">
        <w:rPr>
          <w:rFonts w:cs="Times New Roman"/>
          <w:sz w:val="24"/>
          <w:szCs w:val="24"/>
          <w:lang w:val="en-IN"/>
        </w:rPr>
        <w:t>3a</w:t>
      </w:r>
      <w:r w:rsidRPr="00677D90">
        <w:rPr>
          <w:rFonts w:cs="Times New Roman"/>
          <w:sz w:val="24"/>
          <w:szCs w:val="24"/>
          <w:lang w:val="en-US"/>
        </w:rPr>
        <w:t xml:space="preserve">. Parasites were either analyzed at indicated time points by counting parasites from Giemsa-stained thin blood smears (b) and flow cytometry (a) and % </w:t>
      </w:r>
      <w:r w:rsidRPr="00677D90">
        <w:rPr>
          <w:rFonts w:cs="Times New Roman"/>
          <w:sz w:val="24"/>
          <w:szCs w:val="24"/>
        </w:rPr>
        <w:t>parasitaemia</w:t>
      </w:r>
      <w:r w:rsidRPr="00677D90">
        <w:rPr>
          <w:rFonts w:cs="Times New Roman"/>
          <w:sz w:val="24"/>
          <w:szCs w:val="24"/>
          <w:lang w:val="en-US"/>
        </w:rPr>
        <w:t xml:space="preserve"> was determined (SEM ± SE, </w:t>
      </w:r>
      <w:r w:rsidRPr="00677D90">
        <w:rPr>
          <w:rFonts w:cs="Times New Roman"/>
          <w:sz w:val="24"/>
          <w:szCs w:val="24"/>
          <w:lang w:val="en-IN"/>
        </w:rPr>
        <w:t>two-way ANOVA,</w:t>
      </w:r>
      <w:r w:rsidRPr="00677D90">
        <w:rPr>
          <w:rFonts w:cs="Times New Roman"/>
          <w:sz w:val="24"/>
          <w:szCs w:val="24"/>
          <w:lang w:val="en-US"/>
        </w:rPr>
        <w:t xml:space="preserve"> ** </w:t>
      </w:r>
      <w:r w:rsidRPr="00677D90">
        <w:rPr>
          <w:rFonts w:cs="Times New Roman"/>
          <w:sz w:val="24"/>
          <w:szCs w:val="24"/>
          <w:lang w:val="en-IN"/>
        </w:rPr>
        <w:t>P &lt;0.01, ****p&lt;0.0001, ns = non-significant, n=3)</w:t>
      </w:r>
      <w:r w:rsidRPr="00677D90">
        <w:rPr>
          <w:rFonts w:cs="Times New Roman"/>
          <w:sz w:val="24"/>
          <w:szCs w:val="24"/>
          <w:lang w:val="en-US"/>
        </w:rPr>
        <w:t>.</w:t>
      </w:r>
      <w:r w:rsidRPr="00677D90">
        <w:rPr>
          <w:rFonts w:cs="Times New Roman"/>
          <w:sz w:val="24"/>
          <w:szCs w:val="24"/>
          <w:lang w:val="en-IN"/>
        </w:rPr>
        <w:t xml:space="preserve"> </w:t>
      </w:r>
      <w:r w:rsidRPr="00677D90">
        <w:rPr>
          <w:rFonts w:cs="Times New Roman"/>
          <w:b/>
          <w:bCs/>
          <w:sz w:val="24"/>
          <w:szCs w:val="24"/>
          <w:lang w:val="en-IN"/>
        </w:rPr>
        <w:t>c</w:t>
      </w:r>
      <w:r w:rsidRPr="00677D90">
        <w:rPr>
          <w:rFonts w:cs="Times New Roman"/>
          <w:sz w:val="24"/>
          <w:szCs w:val="24"/>
          <w:lang w:val="en-IN"/>
        </w:rPr>
        <w:t xml:space="preserve">. HA-PfARK1-loxP </w:t>
      </w:r>
      <w:r w:rsidRPr="00677D90">
        <w:rPr>
          <w:rFonts w:cs="Times New Roman"/>
          <w:sz w:val="24"/>
          <w:szCs w:val="24"/>
          <w:lang w:val="en-US"/>
        </w:rPr>
        <w:t>parasites were synchronized and ring stage parasites were treated with RAP as described for Figure 3a</w:t>
      </w:r>
      <w:r w:rsidRPr="00677D90">
        <w:rPr>
          <w:rFonts w:cs="Times New Roman"/>
          <w:sz w:val="24"/>
          <w:szCs w:val="24"/>
          <w:lang w:val="en-IN"/>
        </w:rPr>
        <w:t xml:space="preserve">. </w:t>
      </w:r>
      <w:r w:rsidRPr="00677D90">
        <w:rPr>
          <w:rFonts w:cs="Times New Roman"/>
          <w:sz w:val="24"/>
          <w:szCs w:val="24"/>
          <w:lang w:val="en-US"/>
        </w:rPr>
        <w:t>The individual ring, trophozoites, and schizont stages were counted at the indicated time points from Giemsa-stained thin blood smears of parasite cultures and are represented as % of total number of parasites. In the case of RAP treated parasites, pyknotic morphology (Fig. 3b) was observed, and there were also quantified separately (</w:t>
      </w:r>
      <w:r w:rsidRPr="00677D90">
        <w:rPr>
          <w:rFonts w:cs="Times New Roman"/>
          <w:sz w:val="24"/>
          <w:szCs w:val="24"/>
          <w:lang w:val="en-IN"/>
        </w:rPr>
        <w:t>SEM ± SE</w:t>
      </w:r>
      <w:r w:rsidRPr="00677D90">
        <w:rPr>
          <w:rFonts w:cs="Times New Roman"/>
          <w:sz w:val="24"/>
          <w:szCs w:val="24"/>
          <w:lang w:val="en-US"/>
        </w:rPr>
        <w:t xml:space="preserve">, </w:t>
      </w:r>
      <w:r w:rsidRPr="00677D90">
        <w:rPr>
          <w:rFonts w:cs="Times New Roman"/>
          <w:sz w:val="24"/>
          <w:szCs w:val="24"/>
          <w:lang w:val="en-IN"/>
        </w:rPr>
        <w:t>two-way ANOVA,</w:t>
      </w:r>
      <w:r w:rsidRPr="00677D90">
        <w:rPr>
          <w:rFonts w:cs="Times New Roman"/>
          <w:sz w:val="24"/>
          <w:szCs w:val="24"/>
          <w:lang w:val="en-US"/>
        </w:rPr>
        <w:t xml:space="preserve"> ** </w:t>
      </w:r>
      <w:r w:rsidRPr="00677D90">
        <w:rPr>
          <w:rFonts w:cs="Times New Roman"/>
          <w:sz w:val="24"/>
          <w:szCs w:val="24"/>
          <w:lang w:val="en-IN"/>
        </w:rPr>
        <w:t>P &lt;0.01, n=3)</w:t>
      </w:r>
      <w:r w:rsidRPr="00677D90">
        <w:rPr>
          <w:rFonts w:cs="Times New Roman"/>
          <w:sz w:val="24"/>
          <w:szCs w:val="24"/>
          <w:lang w:val="en-US"/>
        </w:rPr>
        <w:t xml:space="preserve">. </w:t>
      </w:r>
      <w:r w:rsidRPr="00677D90">
        <w:rPr>
          <w:rFonts w:cs="Times New Roman"/>
          <w:b/>
          <w:bCs/>
          <w:sz w:val="24"/>
          <w:szCs w:val="24"/>
          <w:lang w:val="en-US"/>
        </w:rPr>
        <w:t>d</w:t>
      </w:r>
      <w:r w:rsidRPr="00677D90">
        <w:rPr>
          <w:rFonts w:cs="Times New Roman"/>
          <w:sz w:val="24"/>
          <w:szCs w:val="24"/>
          <w:lang w:val="en-US"/>
        </w:rPr>
        <w:t xml:space="preserve">. This figure is the quantitation for Figure 3c. </w:t>
      </w:r>
      <w:r w:rsidRPr="00677D90">
        <w:rPr>
          <w:rFonts w:cs="Times New Roman"/>
          <w:sz w:val="24"/>
          <w:szCs w:val="24"/>
          <w:lang w:val="en-IN"/>
        </w:rPr>
        <w:t>HA-PfARK1-loxP parasites were treated with DMSO or RAP and parasites were treated with E64 to prevent egress but allow complete maturation and division. Thin blood smears were made ~40-44 h.p.i in cycle 1 and nuclei were stained with DAPI. Percentage parasites with normal segregated nuclei were counted (SEM ± SE</w:t>
      </w:r>
      <w:r w:rsidRPr="00677D90">
        <w:rPr>
          <w:rFonts w:cs="Times New Roman"/>
          <w:sz w:val="24"/>
          <w:szCs w:val="24"/>
          <w:lang w:val="en-US"/>
        </w:rPr>
        <w:t xml:space="preserve">, </w:t>
      </w:r>
      <w:r w:rsidRPr="00677D90">
        <w:rPr>
          <w:rFonts w:cs="Times New Roman"/>
          <w:sz w:val="24"/>
          <w:szCs w:val="24"/>
          <w:lang w:val="en-IN"/>
        </w:rPr>
        <w:t xml:space="preserve">unpaired t test, </w:t>
      </w:r>
      <w:r w:rsidRPr="00677D90">
        <w:rPr>
          <w:rFonts w:cs="Times New Roman"/>
          <w:sz w:val="24"/>
          <w:szCs w:val="24"/>
          <w:lang w:val="en-US"/>
        </w:rPr>
        <w:t xml:space="preserve">** </w:t>
      </w:r>
      <w:r w:rsidRPr="00677D90">
        <w:rPr>
          <w:rFonts w:cs="Times New Roman"/>
          <w:sz w:val="24"/>
          <w:szCs w:val="24"/>
          <w:lang w:val="en-IN"/>
        </w:rPr>
        <w:t>P &lt;0.01, n=3, number of parasites counted = 75)</w:t>
      </w:r>
      <w:r w:rsidRPr="00677D90">
        <w:rPr>
          <w:rFonts w:cs="Times New Roman"/>
          <w:sz w:val="24"/>
          <w:szCs w:val="24"/>
          <w:lang w:val="en-US"/>
        </w:rPr>
        <w:t xml:space="preserve">. </w:t>
      </w:r>
      <w:r w:rsidRPr="00677D90">
        <w:rPr>
          <w:rFonts w:cs="Times New Roman"/>
          <w:b/>
          <w:bCs/>
          <w:sz w:val="24"/>
          <w:szCs w:val="24"/>
          <w:lang w:val="en-US"/>
        </w:rPr>
        <w:t>e</w:t>
      </w:r>
      <w:r w:rsidRPr="00677D90">
        <w:rPr>
          <w:rFonts w:cs="Times New Roman"/>
          <w:sz w:val="24"/>
          <w:szCs w:val="24"/>
          <w:lang w:val="en-US"/>
        </w:rPr>
        <w:t xml:space="preserve">. </w:t>
      </w:r>
      <w:r w:rsidRPr="00677D90">
        <w:rPr>
          <w:rFonts w:cs="Times New Roman"/>
          <w:sz w:val="24"/>
          <w:szCs w:val="24"/>
          <w:lang w:val="en-IN"/>
        </w:rPr>
        <w:t xml:space="preserve">HA-PfARK1-loxP parasites were treated with DMSO or RAP and U-ExM was performed on schizonts (cycle 1) as described for figure 3d (hemispindle - yellow arrow, mitotic spindles – cyan arrow, interpolar spindles – white arrow). RAP treatment resulted in a loss of spindles (grey arrow) in most parasites and unsegregated nuclei were observed and several CP clusters were observed which were often detached (square). </w:t>
      </w:r>
    </w:p>
    <w:p w14:paraId="74CBE3DF" w14:textId="77777777" w:rsidR="00526E7F" w:rsidRPr="00677D90" w:rsidRDefault="00526E7F" w:rsidP="00526E7F">
      <w:pPr>
        <w:spacing w:line="360" w:lineRule="auto"/>
        <w:jc w:val="both"/>
        <w:rPr>
          <w:rFonts w:cs="Times New Roman"/>
          <w:sz w:val="24"/>
          <w:szCs w:val="24"/>
        </w:rPr>
      </w:pPr>
    </w:p>
    <w:p w14:paraId="4CF1CD3C" w14:textId="77777777" w:rsidR="00526E7F" w:rsidRPr="00677D90" w:rsidRDefault="00526E7F" w:rsidP="00526E7F">
      <w:pPr>
        <w:spacing w:line="360" w:lineRule="auto"/>
        <w:jc w:val="both"/>
        <w:rPr>
          <w:rFonts w:cs="Times New Roman"/>
          <w:sz w:val="24"/>
          <w:szCs w:val="24"/>
        </w:rPr>
      </w:pPr>
      <w:r w:rsidRPr="00677D90">
        <w:rPr>
          <w:rFonts w:cs="Times New Roman"/>
          <w:b/>
          <w:bCs/>
          <w:sz w:val="24"/>
          <w:szCs w:val="24"/>
        </w:rPr>
        <w:t xml:space="preserve">Extended Data Fig. 5. Generation of </w:t>
      </w:r>
      <w:r w:rsidRPr="00677D90">
        <w:rPr>
          <w:rFonts w:cs="Times New Roman"/>
          <w:b/>
          <w:bCs/>
          <w:i/>
          <w:iCs/>
          <w:sz w:val="24"/>
          <w:szCs w:val="24"/>
        </w:rPr>
        <w:t>Pbark1PTD</w:t>
      </w:r>
      <w:r w:rsidRPr="00677D90">
        <w:rPr>
          <w:rFonts w:cs="Times New Roman"/>
          <w:b/>
          <w:bCs/>
          <w:sz w:val="24"/>
          <w:szCs w:val="24"/>
        </w:rPr>
        <w:t xml:space="preserve"> parasites and phenotypic analysis</w:t>
      </w:r>
      <w:r w:rsidRPr="00677D90">
        <w:rPr>
          <w:rFonts w:cs="Times New Roman"/>
          <w:sz w:val="24"/>
          <w:szCs w:val="24"/>
        </w:rPr>
        <w:t xml:space="preserve">. </w:t>
      </w:r>
    </w:p>
    <w:p w14:paraId="735B4DF0" w14:textId="77777777" w:rsidR="00526E7F" w:rsidRPr="00677D90" w:rsidRDefault="00526E7F" w:rsidP="00526E7F">
      <w:pPr>
        <w:spacing w:after="0" w:line="360" w:lineRule="auto"/>
        <w:jc w:val="both"/>
        <w:rPr>
          <w:rFonts w:cs="Times New Roman"/>
          <w:sz w:val="24"/>
          <w:szCs w:val="24"/>
        </w:rPr>
      </w:pPr>
      <w:r w:rsidRPr="00677D90">
        <w:rPr>
          <w:rFonts w:cs="Times New Roman"/>
          <w:b/>
          <w:bCs/>
          <w:sz w:val="24"/>
          <w:szCs w:val="24"/>
        </w:rPr>
        <w:lastRenderedPageBreak/>
        <w:t>a.</w:t>
      </w:r>
      <w:r w:rsidRPr="00677D90">
        <w:rPr>
          <w:rFonts w:cs="Times New Roman"/>
          <w:sz w:val="24"/>
          <w:szCs w:val="24"/>
        </w:rPr>
        <w:t xml:space="preserve"> Schematic representation of the promoter swap strategy to construct </w:t>
      </w:r>
      <w:r w:rsidRPr="00677D90">
        <w:rPr>
          <w:rFonts w:cs="Times New Roman"/>
          <w:i/>
          <w:iCs/>
          <w:sz w:val="24"/>
          <w:szCs w:val="24"/>
        </w:rPr>
        <w:t>Pbark1PTD</w:t>
      </w:r>
      <w:r w:rsidRPr="00677D90">
        <w:rPr>
          <w:rFonts w:cs="Times New Roman"/>
          <w:sz w:val="24"/>
          <w:szCs w:val="24"/>
        </w:rPr>
        <w:t xml:space="preserve"> parasites (placing </w:t>
      </w:r>
      <w:r w:rsidRPr="00677D90">
        <w:rPr>
          <w:rFonts w:cs="Times New Roman"/>
          <w:i/>
          <w:iCs/>
          <w:sz w:val="24"/>
          <w:szCs w:val="24"/>
        </w:rPr>
        <w:t>ark1</w:t>
      </w:r>
      <w:r w:rsidRPr="00677D90">
        <w:rPr>
          <w:rFonts w:cs="Times New Roman"/>
          <w:sz w:val="24"/>
          <w:szCs w:val="24"/>
        </w:rPr>
        <w:t xml:space="preserve"> under the control of the ama1 promoter) by double homologous recombination. Arrows 1 and 2 indicate the primer positions used to confirm 5’ integration and arrows 3 and 4 indicate the primers used to confirm 3’ integration. </w:t>
      </w:r>
      <w:r w:rsidRPr="00677D90">
        <w:rPr>
          <w:rFonts w:cs="Times New Roman"/>
          <w:b/>
          <w:bCs/>
          <w:sz w:val="24"/>
          <w:szCs w:val="24"/>
        </w:rPr>
        <w:t>b.</w:t>
      </w:r>
      <w:r w:rsidRPr="00677D90">
        <w:rPr>
          <w:rFonts w:cs="Times New Roman"/>
          <w:sz w:val="24"/>
          <w:szCs w:val="24"/>
        </w:rPr>
        <w:t xml:space="preserve"> Integration PCR of the promotor swap construct into the </w:t>
      </w:r>
      <w:r w:rsidRPr="00677D90">
        <w:rPr>
          <w:rFonts w:cs="Times New Roman"/>
          <w:i/>
          <w:iCs/>
          <w:sz w:val="24"/>
          <w:szCs w:val="24"/>
        </w:rPr>
        <w:t>ark1</w:t>
      </w:r>
      <w:r w:rsidRPr="00677D90">
        <w:rPr>
          <w:rFonts w:cs="Times New Roman"/>
          <w:sz w:val="24"/>
          <w:szCs w:val="24"/>
        </w:rPr>
        <w:t xml:space="preserve"> locus. Primer 1 (IntPTD31_5) and primer 2 (5’-IntPTD) were used to confirm successful integration of the selectable marker, resulting in a band of 1.8 kb. Primer 3 (3’intPTama1) and primer 4 (IntPTD31_3) were used to determine the successful integration of the clag promoter, resulting in a band of 1kb. Primer 1 (IntPTD31_5) and primer 4 (IntPTD31_3) were used to confirm a complete knock-in of the construct with a band at 4.9 kb and the absence of a band at 1.8 kb. Representative image of more than 3 experiments. </w:t>
      </w:r>
      <w:r w:rsidRPr="00677D90">
        <w:rPr>
          <w:rFonts w:cs="Times New Roman"/>
          <w:b/>
          <w:bCs/>
          <w:sz w:val="24"/>
          <w:szCs w:val="24"/>
        </w:rPr>
        <w:t xml:space="preserve">c. </w:t>
      </w:r>
      <w:r w:rsidRPr="00677D90">
        <w:rPr>
          <w:rFonts w:cs="Times New Roman"/>
          <w:sz w:val="24"/>
          <w:szCs w:val="24"/>
        </w:rPr>
        <w:t xml:space="preserve">Total number of sporozoites per gut at day 14-, and 21 post-infections; and in salivary gland at day-21 post-infection in </w:t>
      </w:r>
      <w:r w:rsidRPr="00677D90">
        <w:rPr>
          <w:rFonts w:cs="Times New Roman"/>
          <w:i/>
          <w:iCs/>
          <w:sz w:val="24"/>
          <w:szCs w:val="24"/>
        </w:rPr>
        <w:t>ark1PTD</w:t>
      </w:r>
      <w:r w:rsidRPr="00677D90">
        <w:rPr>
          <w:rFonts w:cs="Times New Roman"/>
          <w:sz w:val="24"/>
          <w:szCs w:val="24"/>
        </w:rPr>
        <w:t> compared to WT-GFP parasites. Mean ± SEM. n = 3 independent experiments</w:t>
      </w:r>
      <w:r w:rsidRPr="00677D90">
        <w:rPr>
          <w:rFonts w:cs="Times New Roman"/>
          <w:b/>
          <w:bCs/>
          <w:sz w:val="24"/>
          <w:szCs w:val="24"/>
        </w:rPr>
        <w:t xml:space="preserve">. </w:t>
      </w:r>
      <w:r w:rsidRPr="00677D90">
        <w:rPr>
          <w:rFonts w:cs="Times New Roman"/>
          <w:sz w:val="24"/>
          <w:szCs w:val="24"/>
        </w:rPr>
        <w:t xml:space="preserve">Two-way ANOVA test was employed to assess differences between control and experimental groups. Statistical significance is indicated as **P &lt; 0.01. </w:t>
      </w:r>
      <w:r w:rsidRPr="00677D90">
        <w:rPr>
          <w:rFonts w:cs="Times New Roman"/>
          <w:b/>
          <w:bCs/>
          <w:sz w:val="24"/>
          <w:szCs w:val="24"/>
        </w:rPr>
        <w:t xml:space="preserve">d. </w:t>
      </w:r>
      <w:r w:rsidRPr="00677D90">
        <w:rPr>
          <w:rFonts w:cs="Times New Roman"/>
          <w:sz w:val="24"/>
          <w:szCs w:val="24"/>
        </w:rPr>
        <w:t>Bite back experiment showing successful transmission of </w:t>
      </w:r>
      <w:r w:rsidRPr="00677D90">
        <w:rPr>
          <w:rFonts w:cs="Times New Roman"/>
          <w:i/>
          <w:iCs/>
          <w:sz w:val="24"/>
          <w:szCs w:val="24"/>
        </w:rPr>
        <w:t>ark1PTD</w:t>
      </w:r>
      <w:r w:rsidRPr="00677D90">
        <w:rPr>
          <w:rFonts w:cs="Times New Roman"/>
          <w:sz w:val="24"/>
          <w:szCs w:val="24"/>
        </w:rPr>
        <w:t xml:space="preserve"> and WT-GFP parasites from mosquito to mouse with two different clones in three different experiments. </w:t>
      </w:r>
      <w:r w:rsidRPr="00677D90">
        <w:rPr>
          <w:rFonts w:cs="Times New Roman"/>
          <w:b/>
          <w:bCs/>
          <w:sz w:val="24"/>
          <w:szCs w:val="24"/>
        </w:rPr>
        <w:t>e.</w:t>
      </w:r>
      <w:r w:rsidRPr="00677D90">
        <w:rPr>
          <w:rFonts w:cs="Times New Roman"/>
          <w:sz w:val="24"/>
          <w:szCs w:val="24"/>
        </w:rPr>
        <w:t> Gene expression profile analysis using a volcano plot to highlight up- and downregulated genes in </w:t>
      </w:r>
      <w:r w:rsidRPr="00677D90">
        <w:rPr>
          <w:rFonts w:cs="Times New Roman"/>
          <w:i/>
          <w:iCs/>
          <w:sz w:val="24"/>
          <w:szCs w:val="24"/>
        </w:rPr>
        <w:t>ark1-PTD</w:t>
      </w:r>
      <w:r w:rsidRPr="00677D90">
        <w:rPr>
          <w:rFonts w:cs="Times New Roman"/>
          <w:sz w:val="24"/>
          <w:szCs w:val="24"/>
        </w:rPr>
        <w:t xml:space="preserve"> compared to WT-GFP gametocytes (non-activated) with an adjusted P-value cutoff of 0.05. </w:t>
      </w:r>
      <w:r w:rsidRPr="00677D90">
        <w:rPr>
          <w:rFonts w:cs="Times New Roman"/>
          <w:b/>
          <w:bCs/>
          <w:sz w:val="24"/>
          <w:szCs w:val="24"/>
        </w:rPr>
        <w:t>f.</w:t>
      </w:r>
      <w:r w:rsidRPr="00677D90">
        <w:rPr>
          <w:rFonts w:cs="Times New Roman"/>
          <w:sz w:val="24"/>
          <w:szCs w:val="24"/>
        </w:rPr>
        <w:t xml:space="preserve"> Gene expression profile analysis using a volcano plot to highlight up- and downregulated genes in </w:t>
      </w:r>
      <w:r w:rsidRPr="00677D90">
        <w:rPr>
          <w:rFonts w:cs="Times New Roman"/>
          <w:i/>
          <w:iCs/>
          <w:sz w:val="24"/>
          <w:szCs w:val="24"/>
        </w:rPr>
        <w:t>ark1-PTD</w:t>
      </w:r>
      <w:r w:rsidRPr="00677D90">
        <w:rPr>
          <w:rFonts w:cs="Times New Roman"/>
          <w:sz w:val="24"/>
          <w:szCs w:val="24"/>
        </w:rPr>
        <w:t xml:space="preserve"> compared to WT-GFP gametocytes (activated for 30 min) with an adjusted P-value cutoff of 0.05. </w:t>
      </w:r>
      <w:r w:rsidRPr="00677D90">
        <w:rPr>
          <w:rFonts w:cs="Times New Roman"/>
          <w:b/>
          <w:bCs/>
          <w:sz w:val="24"/>
          <w:szCs w:val="24"/>
        </w:rPr>
        <w:t>g.</w:t>
      </w:r>
      <w:r w:rsidRPr="00677D90">
        <w:rPr>
          <w:rFonts w:cs="Times New Roman"/>
          <w:sz w:val="24"/>
          <w:szCs w:val="24"/>
        </w:rPr>
        <w:t>  Gene ontology enrichment analysis for downregulated genes in </w:t>
      </w:r>
      <w:r w:rsidRPr="00677D90">
        <w:rPr>
          <w:rFonts w:cs="Times New Roman"/>
          <w:i/>
          <w:iCs/>
          <w:sz w:val="24"/>
          <w:szCs w:val="24"/>
        </w:rPr>
        <w:t>ark1-PTD</w:t>
      </w:r>
      <w:r w:rsidRPr="00677D90">
        <w:rPr>
          <w:rFonts w:cs="Times New Roman"/>
          <w:sz w:val="24"/>
          <w:szCs w:val="24"/>
        </w:rPr>
        <w:t> compared to WT-GFP gametocytes, activated for 30 min.  </w:t>
      </w:r>
    </w:p>
    <w:p w14:paraId="10C9D38C" w14:textId="77777777" w:rsidR="00526E7F" w:rsidRPr="00677D90" w:rsidRDefault="00526E7F" w:rsidP="00526E7F">
      <w:pPr>
        <w:spacing w:after="0" w:line="360" w:lineRule="auto"/>
        <w:jc w:val="both"/>
        <w:rPr>
          <w:rFonts w:cs="Times New Roman"/>
          <w:sz w:val="24"/>
          <w:szCs w:val="24"/>
        </w:rPr>
      </w:pPr>
    </w:p>
    <w:p w14:paraId="29C54FF1" w14:textId="77777777" w:rsidR="00526E7F" w:rsidRPr="00677D90" w:rsidRDefault="00526E7F" w:rsidP="00526E7F">
      <w:pPr>
        <w:spacing w:after="0" w:line="360" w:lineRule="auto"/>
        <w:jc w:val="both"/>
        <w:rPr>
          <w:rFonts w:cs="Times New Roman"/>
          <w:b/>
          <w:bCs/>
          <w:sz w:val="24"/>
          <w:szCs w:val="24"/>
          <w:lang w:val="en-US" w:eastAsia="ja-JP"/>
        </w:rPr>
      </w:pPr>
      <w:r w:rsidRPr="00677D90">
        <w:rPr>
          <w:rFonts w:cs="Times New Roman"/>
          <w:b/>
          <w:bCs/>
          <w:sz w:val="24"/>
          <w:szCs w:val="24"/>
          <w:lang w:val="en-US" w:eastAsia="ja-JP"/>
        </w:rPr>
        <w:t xml:space="preserve">Extended Data Fig. 6. Additional expansion microscopy and transmission electron microscopy images of </w:t>
      </w:r>
      <w:r w:rsidRPr="00677D90">
        <w:rPr>
          <w:rFonts w:cs="Times New Roman"/>
          <w:b/>
          <w:bCs/>
          <w:i/>
          <w:iCs/>
          <w:sz w:val="24"/>
          <w:szCs w:val="24"/>
          <w:lang w:val="en-US" w:eastAsia="ja-JP"/>
        </w:rPr>
        <w:t>ark1</w:t>
      </w:r>
      <w:r w:rsidRPr="00677D90">
        <w:rPr>
          <w:rFonts w:cs="Times New Roman"/>
          <w:b/>
          <w:bCs/>
          <w:sz w:val="24"/>
          <w:szCs w:val="24"/>
          <w:lang w:val="en-US" w:eastAsia="ja-JP"/>
        </w:rPr>
        <w:t xml:space="preserve"> gene-knockdown male gametocytes.</w:t>
      </w:r>
    </w:p>
    <w:p w14:paraId="11989F3B" w14:textId="77777777" w:rsidR="00526E7F" w:rsidRPr="00677D90" w:rsidRDefault="00526E7F" w:rsidP="00526E7F">
      <w:pPr>
        <w:spacing w:after="0" w:line="360" w:lineRule="auto"/>
        <w:jc w:val="both"/>
        <w:rPr>
          <w:rFonts w:cs="Times New Roman"/>
          <w:sz w:val="24"/>
          <w:szCs w:val="24"/>
          <w:lang w:eastAsia="ja-JP"/>
        </w:rPr>
      </w:pPr>
      <w:r w:rsidRPr="00677D90">
        <w:rPr>
          <w:rFonts w:cs="Times New Roman"/>
          <w:b/>
          <w:bCs/>
          <w:sz w:val="24"/>
          <w:szCs w:val="24"/>
        </w:rPr>
        <w:t>a.</w:t>
      </w:r>
      <w:r w:rsidRPr="00677D90">
        <w:rPr>
          <w:rFonts w:cs="Times New Roman"/>
          <w:sz w:val="24"/>
          <w:szCs w:val="24"/>
        </w:rPr>
        <w:t xml:space="preserve"> </w:t>
      </w:r>
      <w:r w:rsidRPr="00677D90">
        <w:rPr>
          <w:rFonts w:cs="Times New Roman"/>
          <w:i/>
          <w:iCs/>
          <w:sz w:val="24"/>
          <w:szCs w:val="24"/>
        </w:rPr>
        <w:t>ark1</w:t>
      </w:r>
      <w:r w:rsidRPr="00677D90">
        <w:rPr>
          <w:rFonts w:cs="Times New Roman"/>
          <w:sz w:val="24"/>
          <w:szCs w:val="24"/>
        </w:rPr>
        <w:t xml:space="preserve"> gene-knockdown (</w:t>
      </w:r>
      <w:r w:rsidRPr="00677D90">
        <w:rPr>
          <w:rFonts w:cs="Times New Roman"/>
          <w:i/>
          <w:iCs/>
          <w:sz w:val="24"/>
          <w:szCs w:val="24"/>
        </w:rPr>
        <w:t>ark1PTD</w:t>
      </w:r>
      <w:r w:rsidRPr="00677D90">
        <w:rPr>
          <w:rFonts w:cs="Times New Roman"/>
          <w:sz w:val="24"/>
          <w:szCs w:val="24"/>
        </w:rPr>
        <w:t xml:space="preserve">) male gametocytes at 8 min or 15 min post-activation (mpa). </w:t>
      </w:r>
      <w:r w:rsidRPr="00677D90">
        <w:rPr>
          <w:rFonts w:cs="Times New Roman"/>
          <w:sz w:val="24"/>
          <w:szCs w:val="24"/>
          <w:lang w:eastAsia="ja-JP"/>
        </w:rPr>
        <w:t>The three images on the left show m</w:t>
      </w:r>
      <w:r w:rsidRPr="00677D90">
        <w:rPr>
          <w:rFonts w:cs="Times New Roman"/>
          <w:sz w:val="24"/>
          <w:szCs w:val="24"/>
        </w:rPr>
        <w:t xml:space="preserve">aximum intensity projections of whole-cell z-stack images labelled with NHS-ester (grey), </w:t>
      </w:r>
      <w:r w:rsidRPr="00677D90">
        <w:rPr>
          <w:rFonts w:eastAsia="Symbol" w:cs="Times New Roman"/>
          <w:sz w:val="24"/>
          <w:szCs w:val="24"/>
        </w:rPr>
        <w:t>a</w:t>
      </w:r>
      <w:r w:rsidRPr="00677D90">
        <w:rPr>
          <w:rFonts w:cs="Times New Roman"/>
          <w:sz w:val="24"/>
          <w:szCs w:val="24"/>
        </w:rPr>
        <w:t xml:space="preserve">-tubulin (green) and Hoechst (blue). The three images on the right show magnified views of the areas enclosed by the magenta squares. BBs: basal bodies (clumped), IM: inner MTOC, A: axoneme. The scale bars are scaled by an expansion factor of 4.954, calculated from a comparison of axoneme diameters obtained using expansion and transmission </w:t>
      </w:r>
      <w:r w:rsidRPr="00677D90">
        <w:rPr>
          <w:rFonts w:cs="Times New Roman"/>
          <w:sz w:val="24"/>
          <w:szCs w:val="24"/>
        </w:rPr>
        <w:lastRenderedPageBreak/>
        <w:t xml:space="preserve">electron microscopy. </w:t>
      </w:r>
      <w:r w:rsidRPr="00677D90">
        <w:rPr>
          <w:rFonts w:cs="Times New Roman"/>
          <w:b/>
          <w:bCs/>
          <w:sz w:val="24"/>
          <w:szCs w:val="24"/>
        </w:rPr>
        <w:t>b.</w:t>
      </w:r>
      <w:r w:rsidRPr="00677D90">
        <w:rPr>
          <w:rFonts w:cs="Times New Roman"/>
          <w:sz w:val="24"/>
          <w:szCs w:val="24"/>
        </w:rPr>
        <w:t xml:space="preserve"> Transmission electron microscopy images of </w:t>
      </w:r>
      <w:r w:rsidRPr="00677D90">
        <w:rPr>
          <w:rFonts w:cs="Times New Roman"/>
          <w:i/>
          <w:iCs/>
          <w:sz w:val="24"/>
          <w:szCs w:val="24"/>
        </w:rPr>
        <w:t>ark1</w:t>
      </w:r>
      <w:r w:rsidRPr="00677D90">
        <w:rPr>
          <w:rFonts w:cs="Times New Roman"/>
          <w:sz w:val="24"/>
          <w:szCs w:val="24"/>
        </w:rPr>
        <w:t xml:space="preserve"> gene-knockdown (</w:t>
      </w:r>
      <w:r w:rsidRPr="00677D90">
        <w:rPr>
          <w:rFonts w:cs="Times New Roman"/>
          <w:i/>
          <w:iCs/>
          <w:sz w:val="24"/>
          <w:szCs w:val="24"/>
        </w:rPr>
        <w:t>ark1PTD</w:t>
      </w:r>
      <w:r w:rsidRPr="00677D90">
        <w:rPr>
          <w:rFonts w:cs="Times New Roman"/>
          <w:sz w:val="24"/>
          <w:szCs w:val="24"/>
        </w:rPr>
        <w:t xml:space="preserve">) male gametocytes at 8 min or </w:t>
      </w:r>
      <w:r w:rsidRPr="00677D90">
        <w:rPr>
          <w:rFonts w:cs="Times New Roman"/>
          <w:sz w:val="24"/>
          <w:szCs w:val="24"/>
          <w:lang w:eastAsia="ja-JP"/>
        </w:rPr>
        <w:t xml:space="preserve">15 </w:t>
      </w:r>
      <w:r w:rsidRPr="00677D90">
        <w:rPr>
          <w:rFonts w:cs="Times New Roman"/>
          <w:sz w:val="24"/>
          <w:szCs w:val="24"/>
        </w:rPr>
        <w:t xml:space="preserve">min post-activation. </w:t>
      </w:r>
      <w:r w:rsidRPr="00677D90">
        <w:rPr>
          <w:rFonts w:cs="Times New Roman" w:hint="eastAsia"/>
          <w:sz w:val="24"/>
          <w:szCs w:val="24"/>
          <w:lang w:val="en-US" w:eastAsia="ja-JP"/>
        </w:rPr>
        <w:t>B</w:t>
      </w:r>
      <w:r w:rsidRPr="00677D90">
        <w:rPr>
          <w:rFonts w:cs="Times New Roman"/>
          <w:sz w:val="24"/>
          <w:szCs w:val="24"/>
          <w:lang w:val="en-US"/>
        </w:rPr>
        <w:t xml:space="preserve"> and </w:t>
      </w:r>
      <w:r w:rsidRPr="00677D90">
        <w:rPr>
          <w:rFonts w:cs="Times New Roman" w:hint="eastAsia"/>
          <w:sz w:val="24"/>
          <w:szCs w:val="24"/>
          <w:lang w:val="en-US" w:eastAsia="ja-JP"/>
        </w:rPr>
        <w:t>F</w:t>
      </w:r>
      <w:r w:rsidRPr="00677D90">
        <w:rPr>
          <w:rFonts w:cs="Times New Roman"/>
          <w:sz w:val="24"/>
          <w:szCs w:val="24"/>
          <w:lang w:val="en-US"/>
        </w:rPr>
        <w:t xml:space="preserve"> are magnified views of the areas enclosed by the magenta squares in a and e, respectively. </w:t>
      </w:r>
      <w:r w:rsidRPr="00677D90">
        <w:rPr>
          <w:rFonts w:cs="Times New Roman"/>
          <w:sz w:val="24"/>
          <w:szCs w:val="24"/>
        </w:rPr>
        <w:t>N: nucleus, BBs: basal bodies (clumped), A: axoneme, Mt: microtubule.</w:t>
      </w:r>
      <w:r w:rsidRPr="00677D90">
        <w:rPr>
          <w:rFonts w:cs="Times New Roman"/>
          <w:sz w:val="24"/>
          <w:szCs w:val="24"/>
          <w:lang w:eastAsia="ja-JP"/>
        </w:rPr>
        <w:t xml:space="preserve"> </w:t>
      </w:r>
      <w:r w:rsidRPr="00EB349B">
        <w:rPr>
          <w:rFonts w:cs="Times New Roman"/>
          <w:b/>
          <w:bCs/>
          <w:sz w:val="24"/>
          <w:szCs w:val="24"/>
          <w:lang w:eastAsia="ja-JP"/>
        </w:rPr>
        <w:t>c.</w:t>
      </w:r>
      <w:r w:rsidRPr="00677D90">
        <w:rPr>
          <w:rFonts w:cs="Times New Roman"/>
          <w:b/>
          <w:bCs/>
          <w:sz w:val="24"/>
          <w:szCs w:val="24"/>
          <w:lang w:eastAsia="ja-JP"/>
        </w:rPr>
        <w:t xml:space="preserve"> </w:t>
      </w:r>
      <w:r w:rsidRPr="00677D90">
        <w:rPr>
          <w:rFonts w:cs="Times New Roman"/>
          <w:sz w:val="24"/>
          <w:szCs w:val="24"/>
          <w:lang w:eastAsia="ja-JP"/>
        </w:rPr>
        <w:t>Additional transmission electron microscopy images revealing short spindle MTs spanning between two basal body MTOCs remained close together. IM: inner spindle MTOC, Sp: spindle microtubule, K: kinetochore.</w:t>
      </w:r>
    </w:p>
    <w:p w14:paraId="27214345" w14:textId="77777777" w:rsidR="00526E7F" w:rsidRPr="00677D90" w:rsidRDefault="00526E7F" w:rsidP="00526E7F">
      <w:pPr>
        <w:spacing w:after="0" w:line="360" w:lineRule="auto"/>
        <w:jc w:val="both"/>
        <w:rPr>
          <w:rFonts w:cs="Times New Roman"/>
          <w:sz w:val="24"/>
          <w:szCs w:val="24"/>
        </w:rPr>
      </w:pPr>
    </w:p>
    <w:p w14:paraId="421E87AE" w14:textId="77777777" w:rsidR="00526E7F" w:rsidRPr="00677D90" w:rsidRDefault="00526E7F" w:rsidP="00526E7F">
      <w:pPr>
        <w:spacing w:after="0" w:line="360" w:lineRule="auto"/>
        <w:jc w:val="both"/>
        <w:rPr>
          <w:rFonts w:cs="Times New Roman"/>
          <w:b/>
          <w:bCs/>
          <w:sz w:val="24"/>
          <w:szCs w:val="24"/>
          <w:lang w:val="en-US" w:eastAsia="ja-JP"/>
        </w:rPr>
      </w:pPr>
      <w:r w:rsidRPr="00677D90">
        <w:rPr>
          <w:rFonts w:cs="Times New Roman"/>
          <w:b/>
          <w:bCs/>
          <w:sz w:val="24"/>
          <w:szCs w:val="24"/>
          <w:lang w:val="en-US" w:eastAsia="ja-JP"/>
        </w:rPr>
        <w:t>Extended Data Fig. 7. ARK1 interactomics in schizonts and male gametocytes.</w:t>
      </w:r>
    </w:p>
    <w:p w14:paraId="28480158" w14:textId="77777777" w:rsidR="00526E7F" w:rsidRPr="00677D90" w:rsidRDefault="00526E7F" w:rsidP="00526E7F">
      <w:pPr>
        <w:spacing w:after="0" w:line="360" w:lineRule="auto"/>
        <w:jc w:val="both"/>
        <w:rPr>
          <w:rFonts w:cs="Times New Roman"/>
          <w:b/>
          <w:bCs/>
          <w:sz w:val="24"/>
          <w:szCs w:val="24"/>
          <w:lang w:val="en-US" w:eastAsia="ja-JP"/>
        </w:rPr>
      </w:pPr>
      <w:r w:rsidRPr="00677D90">
        <w:rPr>
          <w:rFonts w:cs="Times New Roman"/>
          <w:sz w:val="24"/>
          <w:szCs w:val="24"/>
          <w:lang w:val="en-US" w:eastAsia="ja-JP"/>
        </w:rPr>
        <w:t xml:space="preserve">Principal Component Analysis (PCA) of duplicate </w:t>
      </w:r>
      <w:r w:rsidRPr="00677D90">
        <w:rPr>
          <w:rFonts w:cs="Times New Roman"/>
          <w:b/>
          <w:bCs/>
          <w:sz w:val="24"/>
          <w:szCs w:val="24"/>
          <w:lang w:val="en-US" w:eastAsia="ja-JP"/>
        </w:rPr>
        <w:t>a.</w:t>
      </w:r>
      <w:r w:rsidRPr="00677D90">
        <w:rPr>
          <w:rFonts w:cs="Times New Roman"/>
          <w:sz w:val="24"/>
          <w:szCs w:val="24"/>
          <w:lang w:val="en-US" w:eastAsia="ja-JP"/>
        </w:rPr>
        <w:t xml:space="preserve"> schizont 8-9 h and </w:t>
      </w:r>
      <w:r w:rsidRPr="00677D90">
        <w:rPr>
          <w:rFonts w:cs="Times New Roman"/>
          <w:b/>
          <w:bCs/>
          <w:sz w:val="24"/>
          <w:szCs w:val="24"/>
          <w:lang w:val="en-US" w:eastAsia="ja-JP"/>
        </w:rPr>
        <w:t>b.</w:t>
      </w:r>
      <w:r w:rsidRPr="00677D90">
        <w:rPr>
          <w:rFonts w:cs="Times New Roman"/>
          <w:sz w:val="24"/>
          <w:szCs w:val="24"/>
          <w:lang w:val="en-US" w:eastAsia="ja-JP"/>
        </w:rPr>
        <w:t xml:space="preserve"> male gametocytes 1.5 min lysates for GFP-trap of ARK1-GFP vs. WT-GFP. </w:t>
      </w:r>
      <w:r w:rsidRPr="00677D90">
        <w:rPr>
          <w:rFonts w:cs="Times New Roman"/>
          <w:b/>
          <w:bCs/>
          <w:sz w:val="24"/>
          <w:szCs w:val="24"/>
          <w:lang w:val="en-US" w:eastAsia="ja-JP"/>
        </w:rPr>
        <w:t xml:space="preserve">c. </w:t>
      </w:r>
      <w:r w:rsidRPr="00677D90">
        <w:rPr>
          <w:rFonts w:cs="Times New Roman"/>
          <w:sz w:val="24"/>
          <w:szCs w:val="24"/>
          <w:lang w:val="en-US" w:eastAsia="ja-JP"/>
        </w:rPr>
        <w:t xml:space="preserve">Table with unique peptide values for ARK1, INCENP1/2 and other associated proteins in both male gametocytes and schizonts. Values can be found in </w:t>
      </w:r>
      <w:r w:rsidRPr="00EB349B">
        <w:rPr>
          <w:rFonts w:cs="Times New Roman"/>
          <w:sz w:val="24"/>
          <w:szCs w:val="24"/>
          <w:lang w:val="en-US" w:eastAsia="ja-JP"/>
        </w:rPr>
        <w:t>Supplementary Table 2</w:t>
      </w:r>
      <w:r w:rsidRPr="00677D90">
        <w:rPr>
          <w:rFonts w:cs="Times New Roman"/>
          <w:b/>
          <w:bCs/>
          <w:sz w:val="24"/>
          <w:szCs w:val="24"/>
          <w:lang w:val="en-US" w:eastAsia="ja-JP"/>
        </w:rPr>
        <w:t>.</w:t>
      </w:r>
    </w:p>
    <w:p w14:paraId="6D684C5B" w14:textId="77777777" w:rsidR="00526E7F" w:rsidRPr="00677D90" w:rsidRDefault="00526E7F" w:rsidP="00526E7F">
      <w:pPr>
        <w:spacing w:after="0" w:line="360" w:lineRule="auto"/>
        <w:jc w:val="both"/>
        <w:rPr>
          <w:rFonts w:cs="Times New Roman"/>
          <w:sz w:val="24"/>
          <w:szCs w:val="24"/>
          <w:lang w:val="en-US" w:eastAsia="ja-JP"/>
        </w:rPr>
      </w:pPr>
    </w:p>
    <w:p w14:paraId="55463286" w14:textId="77777777" w:rsidR="00526E7F" w:rsidRPr="00677D90" w:rsidRDefault="00526E7F" w:rsidP="00526E7F">
      <w:pPr>
        <w:spacing w:after="0" w:line="360" w:lineRule="auto"/>
        <w:jc w:val="both"/>
        <w:rPr>
          <w:rFonts w:cs="Times New Roman"/>
          <w:b/>
          <w:bCs/>
          <w:sz w:val="24"/>
          <w:szCs w:val="24"/>
          <w:lang w:val="en-US" w:eastAsia="ja-JP"/>
        </w:rPr>
      </w:pPr>
      <w:r w:rsidRPr="00677D90">
        <w:rPr>
          <w:rFonts w:cs="Times New Roman"/>
          <w:b/>
          <w:bCs/>
          <w:sz w:val="24"/>
          <w:szCs w:val="24"/>
          <w:lang w:val="en-US" w:eastAsia="ja-JP"/>
        </w:rPr>
        <w:t>Extended Data Fig. 8. Aligned Error (AE) plot for AF3 predictions for ARK1-INCENP1 and ARK1-INCENP1 predictions.</w:t>
      </w:r>
    </w:p>
    <w:p w14:paraId="010D1514" w14:textId="77777777" w:rsidR="00526E7F" w:rsidRPr="00677D90" w:rsidRDefault="00526E7F" w:rsidP="00526E7F">
      <w:pPr>
        <w:spacing w:after="0" w:line="360" w:lineRule="auto"/>
        <w:jc w:val="both"/>
        <w:rPr>
          <w:rFonts w:cs="Times New Roman"/>
          <w:sz w:val="24"/>
          <w:szCs w:val="24"/>
          <w:lang w:val="en-US" w:eastAsia="ja-JP"/>
        </w:rPr>
      </w:pPr>
      <w:r w:rsidRPr="00EB349B">
        <w:rPr>
          <w:rFonts w:cs="Times New Roman"/>
          <w:b/>
          <w:bCs/>
          <w:sz w:val="24"/>
          <w:szCs w:val="24"/>
          <w:lang w:val="en-US" w:eastAsia="ja-JP"/>
        </w:rPr>
        <w:t>a.</w:t>
      </w:r>
      <w:r w:rsidRPr="00677D90">
        <w:rPr>
          <w:rFonts w:cs="Times New Roman"/>
          <w:sz w:val="24"/>
          <w:szCs w:val="24"/>
          <w:lang w:val="en-US" w:eastAsia="ja-JP"/>
        </w:rPr>
        <w:t xml:space="preserve"> ARK1-INCENP1 prediction. </w:t>
      </w:r>
      <w:r w:rsidRPr="00EB349B">
        <w:rPr>
          <w:rFonts w:cs="Times New Roman"/>
          <w:b/>
          <w:bCs/>
          <w:sz w:val="24"/>
          <w:szCs w:val="24"/>
          <w:lang w:val="en-US" w:eastAsia="ja-JP"/>
        </w:rPr>
        <w:t>b.</w:t>
      </w:r>
      <w:r w:rsidRPr="00677D90">
        <w:rPr>
          <w:rFonts w:cs="Times New Roman"/>
          <w:sz w:val="24"/>
          <w:szCs w:val="24"/>
          <w:lang w:val="en-US" w:eastAsia="ja-JP"/>
        </w:rPr>
        <w:t xml:space="preserve"> ARK1-INCENP2 prediction. (i)pTM scores&gt; 0.7 suggest a robustly predicted interaction. 3D protein structures and protein cartoons are the same as Figure 6b.</w:t>
      </w:r>
    </w:p>
    <w:p w14:paraId="6DEE3DEF" w14:textId="77777777" w:rsidR="00526E7F" w:rsidRPr="00677D90" w:rsidRDefault="00526E7F" w:rsidP="00526E7F">
      <w:pPr>
        <w:spacing w:after="0" w:line="360" w:lineRule="auto"/>
        <w:jc w:val="both"/>
        <w:rPr>
          <w:rFonts w:cs="Times New Roman"/>
          <w:sz w:val="24"/>
          <w:szCs w:val="24"/>
          <w:lang w:val="en-US" w:eastAsia="ja-JP"/>
        </w:rPr>
      </w:pPr>
    </w:p>
    <w:p w14:paraId="67CAF754" w14:textId="77777777" w:rsidR="00526E7F" w:rsidRPr="00677D90" w:rsidRDefault="00526E7F" w:rsidP="00526E7F">
      <w:pPr>
        <w:spacing w:after="0" w:line="360" w:lineRule="auto"/>
        <w:jc w:val="both"/>
        <w:rPr>
          <w:rFonts w:cs="Times New Roman"/>
          <w:b/>
          <w:bCs/>
          <w:sz w:val="24"/>
          <w:szCs w:val="24"/>
          <w:lang w:val="en-US" w:eastAsia="ja-JP"/>
        </w:rPr>
      </w:pPr>
      <w:r w:rsidRPr="00677D90">
        <w:rPr>
          <w:rFonts w:cs="Times New Roman"/>
          <w:b/>
          <w:bCs/>
          <w:sz w:val="24"/>
          <w:szCs w:val="24"/>
          <w:lang w:val="en-US" w:eastAsia="ja-JP"/>
        </w:rPr>
        <w:t>Supplementary Table 1</w:t>
      </w:r>
    </w:p>
    <w:p w14:paraId="707F407B" w14:textId="77777777" w:rsidR="00526E7F" w:rsidRPr="00677D90" w:rsidRDefault="00526E7F" w:rsidP="00526E7F">
      <w:pPr>
        <w:spacing w:after="0" w:line="360" w:lineRule="auto"/>
        <w:jc w:val="both"/>
        <w:rPr>
          <w:rFonts w:cs="Times New Roman"/>
          <w:sz w:val="24"/>
          <w:szCs w:val="24"/>
          <w:lang w:val="en-US" w:eastAsia="ja-JP"/>
        </w:rPr>
      </w:pPr>
      <w:r w:rsidRPr="00677D90">
        <w:rPr>
          <w:rFonts w:cs="Times New Roman"/>
          <w:sz w:val="24"/>
          <w:szCs w:val="24"/>
          <w:lang w:val="en-US" w:eastAsia="ja-JP"/>
        </w:rPr>
        <w:t xml:space="preserve">List of genes identified as differentially expressed in </w:t>
      </w:r>
      <w:r w:rsidRPr="00EB349B">
        <w:rPr>
          <w:rFonts w:cs="Times New Roman"/>
          <w:i/>
          <w:iCs/>
          <w:sz w:val="24"/>
          <w:szCs w:val="24"/>
          <w:lang w:val="en-US" w:eastAsia="ja-JP"/>
        </w:rPr>
        <w:t>P. berghei</w:t>
      </w:r>
      <w:r w:rsidRPr="00677D90">
        <w:rPr>
          <w:rFonts w:cs="Times New Roman"/>
          <w:sz w:val="24"/>
          <w:szCs w:val="24"/>
          <w:lang w:val="en-US" w:eastAsia="ja-JP"/>
        </w:rPr>
        <w:t xml:space="preserve"> </w:t>
      </w:r>
      <w:r w:rsidRPr="00677D90">
        <w:rPr>
          <w:rFonts w:cs="Times New Roman"/>
          <w:i/>
          <w:iCs/>
          <w:sz w:val="24"/>
          <w:szCs w:val="24"/>
          <w:lang w:val="en-US" w:eastAsia="ja-JP"/>
        </w:rPr>
        <w:t>ark1PTD</w:t>
      </w:r>
      <w:r w:rsidRPr="00677D90">
        <w:rPr>
          <w:rFonts w:cs="Times New Roman"/>
          <w:sz w:val="24"/>
          <w:szCs w:val="24"/>
          <w:lang w:val="en-US" w:eastAsia="ja-JP"/>
        </w:rPr>
        <w:t xml:space="preserve"> gametocytes compared to wild-type (WT-GFP) controls. Two tabs in the spreadsheet: Tab 1: non-activated gametocytes, Tab 2: 30 min post-activation gametocytes.</w:t>
      </w:r>
    </w:p>
    <w:p w14:paraId="5CD9AF42" w14:textId="77777777" w:rsidR="00526E7F" w:rsidRPr="00677D90" w:rsidRDefault="00526E7F" w:rsidP="00526E7F">
      <w:pPr>
        <w:spacing w:after="0" w:line="360" w:lineRule="auto"/>
        <w:jc w:val="both"/>
        <w:rPr>
          <w:rFonts w:cs="Times New Roman"/>
          <w:sz w:val="24"/>
          <w:szCs w:val="24"/>
          <w:lang w:val="en-US" w:eastAsia="ja-JP"/>
        </w:rPr>
      </w:pPr>
    </w:p>
    <w:p w14:paraId="26256B7E" w14:textId="77777777" w:rsidR="00526E7F" w:rsidRPr="00677D90" w:rsidRDefault="00526E7F" w:rsidP="00526E7F">
      <w:pPr>
        <w:spacing w:after="0" w:line="360" w:lineRule="auto"/>
        <w:jc w:val="both"/>
        <w:rPr>
          <w:rFonts w:cs="Times New Roman"/>
          <w:b/>
          <w:bCs/>
          <w:sz w:val="24"/>
          <w:szCs w:val="24"/>
          <w:lang w:val="en-US" w:eastAsia="ja-JP"/>
        </w:rPr>
      </w:pPr>
      <w:r w:rsidRPr="00677D90">
        <w:rPr>
          <w:rFonts w:cs="Times New Roman"/>
          <w:b/>
          <w:bCs/>
          <w:sz w:val="24"/>
          <w:szCs w:val="24"/>
          <w:lang w:val="en-US" w:eastAsia="ja-JP"/>
        </w:rPr>
        <w:t>Supplementary Table 2</w:t>
      </w:r>
    </w:p>
    <w:p w14:paraId="04998590" w14:textId="77777777" w:rsidR="00526E7F" w:rsidRPr="00677D90" w:rsidRDefault="00526E7F" w:rsidP="00526E7F">
      <w:pPr>
        <w:spacing w:after="0" w:line="360" w:lineRule="auto"/>
        <w:jc w:val="both"/>
        <w:rPr>
          <w:rFonts w:cs="Times New Roman"/>
          <w:sz w:val="24"/>
          <w:szCs w:val="24"/>
          <w:lang w:val="en-US" w:eastAsia="ja-JP"/>
        </w:rPr>
      </w:pPr>
      <w:r w:rsidRPr="00677D90">
        <w:rPr>
          <w:rFonts w:cs="Times New Roman"/>
          <w:sz w:val="24"/>
          <w:szCs w:val="24"/>
          <w:lang w:val="en-US" w:eastAsia="ja-JP"/>
        </w:rPr>
        <w:t xml:space="preserve">Protein identifications for LC-MS/MS for </w:t>
      </w:r>
      <w:r w:rsidRPr="00EB349B">
        <w:rPr>
          <w:rFonts w:cs="Times New Roman"/>
          <w:i/>
          <w:iCs/>
          <w:sz w:val="24"/>
          <w:szCs w:val="24"/>
          <w:lang w:val="en-US" w:eastAsia="ja-JP"/>
        </w:rPr>
        <w:t>P. berghei</w:t>
      </w:r>
      <w:r w:rsidRPr="00677D90">
        <w:rPr>
          <w:rFonts w:cs="Times New Roman"/>
          <w:sz w:val="24"/>
          <w:szCs w:val="24"/>
          <w:lang w:val="en-US" w:eastAsia="ja-JP"/>
        </w:rPr>
        <w:t xml:space="preserve"> ARK1-GFP and WT-GFP. Four tabs in the spreadsheet: Tab 1: table information, Tab 2: volcano plot data, Tab 3: schizonts (8-9 h) WT vs. ARK1-GFP data, Tab 4: male gametocytes (1.5 min) WT vs. ARK1-GFP data.</w:t>
      </w:r>
    </w:p>
    <w:p w14:paraId="10A58F0D" w14:textId="77777777" w:rsidR="00526E7F" w:rsidRPr="00677D90" w:rsidRDefault="00526E7F" w:rsidP="00526E7F">
      <w:pPr>
        <w:spacing w:after="0" w:line="360" w:lineRule="auto"/>
        <w:jc w:val="both"/>
        <w:rPr>
          <w:rFonts w:cs="Times New Roman"/>
          <w:b/>
          <w:bCs/>
          <w:sz w:val="24"/>
          <w:szCs w:val="24"/>
          <w:lang w:val="en-US" w:eastAsia="ja-JP"/>
        </w:rPr>
      </w:pPr>
    </w:p>
    <w:p w14:paraId="3A6D9FDE" w14:textId="77777777" w:rsidR="00526E7F" w:rsidRPr="00677D90" w:rsidRDefault="00526E7F" w:rsidP="00526E7F">
      <w:pPr>
        <w:spacing w:after="0" w:line="360" w:lineRule="auto"/>
        <w:jc w:val="both"/>
        <w:rPr>
          <w:rFonts w:cs="Times New Roman"/>
          <w:b/>
          <w:bCs/>
          <w:sz w:val="24"/>
          <w:szCs w:val="24"/>
          <w:lang w:val="en-US" w:eastAsia="ja-JP"/>
        </w:rPr>
      </w:pPr>
      <w:r w:rsidRPr="00677D90">
        <w:rPr>
          <w:rFonts w:cs="Times New Roman"/>
          <w:b/>
          <w:bCs/>
          <w:sz w:val="24"/>
          <w:szCs w:val="24"/>
          <w:lang w:val="en-US" w:eastAsia="ja-JP"/>
        </w:rPr>
        <w:t>Supplementary Table 3</w:t>
      </w:r>
    </w:p>
    <w:p w14:paraId="1A9ADFB1" w14:textId="77777777" w:rsidR="00526E7F" w:rsidRPr="00677D90" w:rsidRDefault="00526E7F" w:rsidP="00526E7F">
      <w:pPr>
        <w:spacing w:after="0" w:line="360" w:lineRule="auto"/>
        <w:jc w:val="both"/>
        <w:rPr>
          <w:rFonts w:cs="Times New Roman"/>
          <w:i/>
          <w:iCs/>
          <w:sz w:val="24"/>
          <w:szCs w:val="24"/>
        </w:rPr>
      </w:pPr>
      <w:r w:rsidRPr="00677D90">
        <w:rPr>
          <w:rFonts w:cs="Times New Roman"/>
          <w:sz w:val="24"/>
          <w:szCs w:val="24"/>
          <w:lang w:val="en-US" w:eastAsia="ja-JP"/>
        </w:rPr>
        <w:lastRenderedPageBreak/>
        <w:t xml:space="preserve">PCR primer used in the </w:t>
      </w:r>
      <w:r w:rsidRPr="00677D90">
        <w:rPr>
          <w:rFonts w:cs="Times New Roman"/>
          <w:i/>
          <w:iCs/>
          <w:sz w:val="24"/>
          <w:szCs w:val="24"/>
          <w:lang w:val="en-US" w:eastAsia="ja-JP"/>
        </w:rPr>
        <w:t>P. falciparum</w:t>
      </w:r>
      <w:r w:rsidRPr="00677D90">
        <w:rPr>
          <w:rFonts w:cs="Times New Roman"/>
          <w:sz w:val="24"/>
          <w:szCs w:val="24"/>
          <w:lang w:val="en-US" w:eastAsia="ja-JP"/>
        </w:rPr>
        <w:t xml:space="preserve"> and </w:t>
      </w:r>
      <w:r w:rsidRPr="00677D90">
        <w:rPr>
          <w:rFonts w:cs="Times New Roman"/>
          <w:i/>
          <w:iCs/>
          <w:sz w:val="24"/>
          <w:szCs w:val="24"/>
          <w:lang w:val="en-US" w:eastAsia="ja-JP"/>
        </w:rPr>
        <w:t>P.</w:t>
      </w:r>
      <w:r w:rsidRPr="00677D90">
        <w:rPr>
          <w:rFonts w:cs="Times New Roman"/>
          <w:i/>
          <w:iCs/>
          <w:sz w:val="24"/>
          <w:szCs w:val="24"/>
        </w:rPr>
        <w:t xml:space="preserve"> berghei</w:t>
      </w:r>
      <w:r w:rsidRPr="00677D90">
        <w:rPr>
          <w:rFonts w:cs="Times New Roman"/>
          <w:sz w:val="24"/>
          <w:szCs w:val="24"/>
        </w:rPr>
        <w:t xml:space="preserve"> study. Two tabs in the spreadsheet: Tab 1: primers used in the </w:t>
      </w:r>
      <w:r w:rsidRPr="00677D90">
        <w:rPr>
          <w:rFonts w:cs="Times New Roman"/>
          <w:i/>
          <w:iCs/>
          <w:sz w:val="24"/>
          <w:szCs w:val="24"/>
          <w:lang w:val="en-US" w:eastAsia="ja-JP"/>
        </w:rPr>
        <w:t>P. falciparum</w:t>
      </w:r>
      <w:r w:rsidRPr="00677D90">
        <w:rPr>
          <w:rFonts w:cs="Times New Roman"/>
          <w:sz w:val="24"/>
          <w:szCs w:val="24"/>
        </w:rPr>
        <w:t xml:space="preserve"> study, Tab 2: primers used in the </w:t>
      </w:r>
      <w:r w:rsidRPr="00677D90">
        <w:rPr>
          <w:rFonts w:cs="Times New Roman"/>
          <w:i/>
          <w:iCs/>
          <w:sz w:val="24"/>
          <w:szCs w:val="24"/>
          <w:lang w:val="en-US" w:eastAsia="ja-JP"/>
        </w:rPr>
        <w:t>P.</w:t>
      </w:r>
      <w:r w:rsidRPr="00677D90">
        <w:rPr>
          <w:rFonts w:cs="Times New Roman"/>
          <w:i/>
          <w:iCs/>
          <w:sz w:val="24"/>
          <w:szCs w:val="24"/>
        </w:rPr>
        <w:t xml:space="preserve"> berghei</w:t>
      </w:r>
      <w:r w:rsidRPr="00677D90">
        <w:rPr>
          <w:rFonts w:cs="Times New Roman"/>
          <w:sz w:val="24"/>
          <w:szCs w:val="24"/>
        </w:rPr>
        <w:t xml:space="preserve"> study.</w:t>
      </w:r>
    </w:p>
    <w:p w14:paraId="42844D30" w14:textId="77777777" w:rsidR="00526E7F" w:rsidRPr="00677D90" w:rsidRDefault="00526E7F" w:rsidP="00526E7F">
      <w:pPr>
        <w:spacing w:after="0" w:line="360" w:lineRule="auto"/>
        <w:jc w:val="both"/>
        <w:rPr>
          <w:rFonts w:cs="Times New Roman"/>
          <w:b/>
          <w:bCs/>
          <w:sz w:val="24"/>
          <w:szCs w:val="24"/>
          <w:lang w:val="en-US" w:eastAsia="ja-JP"/>
        </w:rPr>
      </w:pPr>
    </w:p>
    <w:p w14:paraId="6891F3A4" w14:textId="77777777" w:rsidR="00526E7F" w:rsidRPr="00677D90" w:rsidRDefault="00526E7F" w:rsidP="00526E7F">
      <w:pPr>
        <w:spacing w:after="0" w:line="360" w:lineRule="auto"/>
        <w:jc w:val="both"/>
        <w:rPr>
          <w:rFonts w:cs="Times New Roman"/>
          <w:b/>
          <w:bCs/>
          <w:sz w:val="24"/>
          <w:szCs w:val="24"/>
          <w:lang w:val="en-US" w:eastAsia="ja-JP"/>
        </w:rPr>
      </w:pPr>
      <w:r w:rsidRPr="00677D90">
        <w:rPr>
          <w:rFonts w:cs="Times New Roman"/>
          <w:b/>
          <w:bCs/>
          <w:sz w:val="24"/>
          <w:szCs w:val="24"/>
          <w:lang w:val="en-US" w:eastAsia="ja-JP"/>
        </w:rPr>
        <w:t>Supplementary Table 4</w:t>
      </w:r>
    </w:p>
    <w:p w14:paraId="423CC62D" w14:textId="77777777" w:rsidR="00526E7F" w:rsidRPr="00677D90" w:rsidRDefault="00526E7F" w:rsidP="00526E7F">
      <w:pPr>
        <w:spacing w:line="360" w:lineRule="auto"/>
        <w:jc w:val="both"/>
        <w:rPr>
          <w:rFonts w:cs="Times New Roman"/>
          <w:sz w:val="24"/>
          <w:szCs w:val="24"/>
          <w:lang w:val="en-US" w:eastAsia="ja-JP"/>
        </w:rPr>
      </w:pPr>
      <w:r w:rsidRPr="00677D90">
        <w:rPr>
          <w:rFonts w:cs="Times New Roman"/>
          <w:sz w:val="24"/>
          <w:szCs w:val="24"/>
          <w:lang w:val="en-US" w:eastAsia="ja-JP"/>
        </w:rPr>
        <w:t xml:space="preserve">Primary, secondary antibodies and stains used in the </w:t>
      </w:r>
      <w:r w:rsidRPr="00677D90">
        <w:rPr>
          <w:rFonts w:cs="Times New Roman"/>
          <w:i/>
          <w:iCs/>
          <w:sz w:val="24"/>
          <w:szCs w:val="24"/>
          <w:lang w:val="en-US" w:eastAsia="ja-JP"/>
        </w:rPr>
        <w:t>P. falciparum</w:t>
      </w:r>
      <w:r w:rsidRPr="00677D90">
        <w:rPr>
          <w:rFonts w:cs="Times New Roman"/>
          <w:sz w:val="24"/>
          <w:szCs w:val="24"/>
          <w:lang w:val="en-US" w:eastAsia="ja-JP"/>
        </w:rPr>
        <w:t xml:space="preserve"> and P.</w:t>
      </w:r>
      <w:r w:rsidRPr="00677D90">
        <w:rPr>
          <w:rFonts w:cs="Times New Roman"/>
          <w:i/>
          <w:iCs/>
          <w:sz w:val="24"/>
          <w:szCs w:val="24"/>
        </w:rPr>
        <w:t xml:space="preserve"> berghei</w:t>
      </w:r>
      <w:r w:rsidRPr="00677D90">
        <w:rPr>
          <w:rFonts w:cs="Times New Roman"/>
          <w:sz w:val="24"/>
          <w:szCs w:val="24"/>
        </w:rPr>
        <w:t xml:space="preserve"> study. Two tabs in the spreadsheet: Tab 1: </w:t>
      </w:r>
      <w:r w:rsidRPr="00677D90">
        <w:rPr>
          <w:rFonts w:cs="Times New Roman"/>
          <w:sz w:val="24"/>
          <w:szCs w:val="24"/>
          <w:lang w:eastAsia="ja-JP"/>
        </w:rPr>
        <w:t>primary,</w:t>
      </w:r>
      <w:r w:rsidRPr="00677D90">
        <w:rPr>
          <w:rFonts w:cs="Times New Roman"/>
          <w:sz w:val="24"/>
          <w:szCs w:val="24"/>
          <w:lang w:val="en-US" w:eastAsia="ja-JP"/>
        </w:rPr>
        <w:t xml:space="preserve"> secondary antibodies and stains</w:t>
      </w:r>
      <w:r w:rsidRPr="00677D90">
        <w:rPr>
          <w:rFonts w:cs="Times New Roman"/>
          <w:sz w:val="24"/>
          <w:szCs w:val="24"/>
        </w:rPr>
        <w:t xml:space="preserve"> used in the </w:t>
      </w:r>
      <w:r w:rsidRPr="00677D90">
        <w:rPr>
          <w:rFonts w:cs="Times New Roman"/>
          <w:i/>
          <w:iCs/>
          <w:sz w:val="24"/>
          <w:szCs w:val="24"/>
          <w:lang w:val="en-US" w:eastAsia="ja-JP"/>
        </w:rPr>
        <w:t>P. falciparum</w:t>
      </w:r>
      <w:r w:rsidRPr="00677D90">
        <w:rPr>
          <w:rFonts w:cs="Times New Roman"/>
          <w:sz w:val="24"/>
          <w:szCs w:val="24"/>
        </w:rPr>
        <w:t xml:space="preserve"> study, Tab 2: </w:t>
      </w:r>
      <w:r w:rsidRPr="00677D90">
        <w:rPr>
          <w:rFonts w:cs="Times New Roman"/>
          <w:sz w:val="24"/>
          <w:szCs w:val="24"/>
          <w:lang w:val="en-US" w:eastAsia="ja-JP"/>
        </w:rPr>
        <w:t>primary, secondary antibodies and stains</w:t>
      </w:r>
      <w:r w:rsidRPr="00677D90">
        <w:rPr>
          <w:rFonts w:cs="Times New Roman"/>
          <w:sz w:val="24"/>
          <w:szCs w:val="24"/>
        </w:rPr>
        <w:t xml:space="preserve"> used in the </w:t>
      </w:r>
      <w:r w:rsidRPr="00677D90">
        <w:rPr>
          <w:rFonts w:cs="Times New Roman"/>
          <w:i/>
          <w:iCs/>
          <w:sz w:val="24"/>
          <w:szCs w:val="24"/>
          <w:lang w:val="en-US" w:eastAsia="ja-JP"/>
        </w:rPr>
        <w:t>P.</w:t>
      </w:r>
      <w:r w:rsidRPr="00677D90">
        <w:rPr>
          <w:rFonts w:cs="Times New Roman"/>
          <w:i/>
          <w:iCs/>
          <w:sz w:val="24"/>
          <w:szCs w:val="24"/>
        </w:rPr>
        <w:t xml:space="preserve"> berghei</w:t>
      </w:r>
      <w:r w:rsidRPr="00677D90">
        <w:rPr>
          <w:rFonts w:cs="Times New Roman"/>
          <w:sz w:val="24"/>
          <w:szCs w:val="24"/>
        </w:rPr>
        <w:t xml:space="preserve"> study.</w:t>
      </w:r>
    </w:p>
    <w:p w14:paraId="308B7FE5" w14:textId="77777777" w:rsidR="00526E7F" w:rsidRPr="00677D90" w:rsidRDefault="00526E7F" w:rsidP="00526E7F">
      <w:pPr>
        <w:spacing w:line="360" w:lineRule="auto"/>
        <w:jc w:val="both"/>
        <w:rPr>
          <w:rFonts w:cs="Times New Roman"/>
          <w:b/>
          <w:bCs/>
          <w:sz w:val="24"/>
          <w:szCs w:val="24"/>
          <w:lang w:val="en-US" w:eastAsia="ja-JP"/>
        </w:rPr>
      </w:pPr>
    </w:p>
    <w:p w14:paraId="72B63BF8" w14:textId="77777777" w:rsidR="00526E7F" w:rsidRPr="00677D90" w:rsidRDefault="00526E7F" w:rsidP="00526E7F">
      <w:pPr>
        <w:spacing w:line="360" w:lineRule="auto"/>
        <w:jc w:val="both"/>
        <w:rPr>
          <w:rFonts w:cs="Times New Roman"/>
          <w:b/>
          <w:bCs/>
          <w:sz w:val="24"/>
          <w:szCs w:val="24"/>
          <w:lang w:val="en-US" w:eastAsia="ja-JP"/>
        </w:rPr>
      </w:pPr>
      <w:r w:rsidRPr="00677D90">
        <w:rPr>
          <w:rFonts w:cs="Times New Roman"/>
          <w:b/>
          <w:bCs/>
          <w:sz w:val="24"/>
          <w:szCs w:val="24"/>
          <w:lang w:val="en-US" w:eastAsia="ja-JP"/>
        </w:rPr>
        <w:t>Supplementary Table 5</w:t>
      </w:r>
    </w:p>
    <w:p w14:paraId="542799BF" w14:textId="77777777" w:rsidR="00526E7F" w:rsidRPr="00677D90" w:rsidRDefault="00526E7F" w:rsidP="00526E7F">
      <w:pPr>
        <w:spacing w:line="360" w:lineRule="auto"/>
        <w:jc w:val="both"/>
        <w:rPr>
          <w:rFonts w:cs="Times New Roman"/>
          <w:sz w:val="24"/>
          <w:szCs w:val="24"/>
          <w:lang w:val="en-US" w:eastAsia="ja-JP"/>
        </w:rPr>
      </w:pPr>
      <w:r w:rsidRPr="00677D90">
        <w:rPr>
          <w:rFonts w:cs="Times New Roman"/>
          <w:sz w:val="24"/>
          <w:szCs w:val="24"/>
          <w:lang w:val="en-US" w:eastAsia="ja-JP"/>
        </w:rPr>
        <w:t>Source and sequences used during this study. Three tabs in the spreadsheet: Tab 1: table information, Tab 2: sources for predicted proteome database, Tab 3: number and amino acid sequences for ARK1/Aurora, ARK2, ARK3, INCENP1/2, borealin, survivin genes across eukaryotes with a focus on alveolata, apicomplexa.</w:t>
      </w:r>
    </w:p>
    <w:p w14:paraId="0E420995" w14:textId="77777777" w:rsidR="00526E7F" w:rsidRPr="00677D90" w:rsidRDefault="00526E7F" w:rsidP="00526E7F">
      <w:pPr>
        <w:spacing w:line="360" w:lineRule="auto"/>
        <w:jc w:val="both"/>
        <w:rPr>
          <w:rFonts w:cs="Times New Roman"/>
          <w:sz w:val="24"/>
          <w:szCs w:val="24"/>
          <w:lang w:val="en-US" w:eastAsia="ja-JP"/>
        </w:rPr>
      </w:pPr>
    </w:p>
    <w:p w14:paraId="167660C3" w14:textId="77777777" w:rsidR="00526E7F" w:rsidRPr="00677D90" w:rsidRDefault="00526E7F" w:rsidP="00526E7F">
      <w:pPr>
        <w:spacing w:line="360" w:lineRule="auto"/>
        <w:jc w:val="both"/>
        <w:rPr>
          <w:rFonts w:cs="Times New Roman"/>
          <w:b/>
          <w:bCs/>
          <w:sz w:val="24"/>
          <w:szCs w:val="24"/>
          <w:lang w:val="en-US" w:eastAsia="ja-JP"/>
        </w:rPr>
      </w:pPr>
      <w:r w:rsidRPr="00677D90">
        <w:rPr>
          <w:rFonts w:cs="Times New Roman"/>
          <w:b/>
          <w:bCs/>
          <w:sz w:val="24"/>
          <w:szCs w:val="24"/>
          <w:lang w:val="en-US" w:eastAsia="ja-JP"/>
        </w:rPr>
        <w:t xml:space="preserve">Supplementary Video 1 </w:t>
      </w:r>
    </w:p>
    <w:p w14:paraId="566AE531" w14:textId="77777777" w:rsidR="00526E7F" w:rsidRPr="00677D90" w:rsidRDefault="00526E7F" w:rsidP="00526E7F">
      <w:pPr>
        <w:spacing w:line="360" w:lineRule="auto"/>
        <w:jc w:val="both"/>
        <w:rPr>
          <w:rFonts w:cs="Times New Roman"/>
          <w:sz w:val="24"/>
          <w:szCs w:val="24"/>
          <w:lang w:val="en-IN" w:eastAsia="ja-JP"/>
        </w:rPr>
      </w:pPr>
      <w:r w:rsidRPr="00677D90">
        <w:rPr>
          <w:rFonts w:cs="Times New Roman"/>
          <w:sz w:val="24"/>
          <w:szCs w:val="24"/>
          <w:lang w:val="en-IN" w:eastAsia="ja-JP"/>
        </w:rPr>
        <w:t>Time-lapse video microscopy of gametogony</w:t>
      </w:r>
      <w:r>
        <w:rPr>
          <w:rFonts w:cs="Times New Roman"/>
          <w:sz w:val="24"/>
          <w:szCs w:val="24"/>
          <w:lang w:val="en-IN" w:eastAsia="ja-JP"/>
        </w:rPr>
        <w:t xml:space="preserve"> in the Hoechst (blue)-stained PbARK1-GFP (green) male gametocyte after 2-3 min activation. Video is played back at 15</w:t>
      </w:r>
      <w:r>
        <w:rPr>
          <w:rFonts w:cs="Times New Roman"/>
          <w:sz w:val="24"/>
          <w:szCs w:val="24"/>
          <w:lang w:val="en-IN" w:eastAsia="ja-JP"/>
        </w:rPr>
        <w:sym w:font="Symbol" w:char="F0B4"/>
      </w:r>
      <w:r>
        <w:rPr>
          <w:rFonts w:cs="Times New Roman"/>
          <w:sz w:val="24"/>
          <w:szCs w:val="24"/>
          <w:lang w:val="en-IN" w:eastAsia="ja-JP"/>
        </w:rPr>
        <w:t xml:space="preserve"> speed. </w:t>
      </w:r>
      <w:r w:rsidRPr="00677D90">
        <w:rPr>
          <w:rFonts w:cs="Times New Roman"/>
          <w:sz w:val="24"/>
          <w:szCs w:val="24"/>
        </w:rPr>
        <w:t xml:space="preserve">Scale bar = 2 </w:t>
      </w:r>
      <w:r w:rsidRPr="00677D90">
        <w:rPr>
          <w:rFonts w:cs="Times New Roman"/>
          <w:sz w:val="24"/>
          <w:szCs w:val="24"/>
        </w:rPr>
        <w:sym w:font="Symbol" w:char="F06D"/>
      </w:r>
      <w:r w:rsidRPr="00677D90">
        <w:rPr>
          <w:rFonts w:cs="Times New Roman"/>
          <w:sz w:val="24"/>
          <w:szCs w:val="24"/>
        </w:rPr>
        <w:t>m.</w:t>
      </w:r>
    </w:p>
    <w:p w14:paraId="5DE76629" w14:textId="77777777" w:rsidR="00526E7F" w:rsidRPr="00677D90" w:rsidRDefault="00526E7F" w:rsidP="00526E7F">
      <w:pPr>
        <w:spacing w:line="360" w:lineRule="auto"/>
        <w:jc w:val="both"/>
        <w:rPr>
          <w:rFonts w:cs="Times New Roman"/>
          <w:b/>
          <w:bCs/>
          <w:sz w:val="24"/>
          <w:szCs w:val="24"/>
          <w:lang w:val="en-US" w:eastAsia="ja-JP"/>
        </w:rPr>
      </w:pPr>
    </w:p>
    <w:p w14:paraId="1147192D" w14:textId="77777777" w:rsidR="00526E7F" w:rsidRPr="00677D90" w:rsidRDefault="00526E7F" w:rsidP="00526E7F">
      <w:pPr>
        <w:spacing w:line="360" w:lineRule="auto"/>
        <w:jc w:val="both"/>
        <w:rPr>
          <w:rFonts w:cs="Times New Roman"/>
          <w:b/>
          <w:bCs/>
          <w:sz w:val="24"/>
          <w:szCs w:val="24"/>
          <w:lang w:val="en-US" w:eastAsia="ja-JP"/>
        </w:rPr>
      </w:pPr>
      <w:r w:rsidRPr="00677D90">
        <w:rPr>
          <w:rFonts w:cs="Times New Roman"/>
          <w:b/>
          <w:bCs/>
          <w:sz w:val="24"/>
          <w:szCs w:val="24"/>
          <w:lang w:val="en-US" w:eastAsia="ja-JP"/>
        </w:rPr>
        <w:t>Supplementary Video 2</w:t>
      </w:r>
    </w:p>
    <w:p w14:paraId="6F9D847F" w14:textId="77777777" w:rsidR="00526E7F" w:rsidRPr="00677D90" w:rsidRDefault="00526E7F" w:rsidP="00526E7F">
      <w:pPr>
        <w:spacing w:line="360" w:lineRule="auto"/>
        <w:jc w:val="both"/>
        <w:rPr>
          <w:rFonts w:cs="Times New Roman"/>
          <w:sz w:val="24"/>
          <w:szCs w:val="24"/>
          <w:lang w:val="en-IN" w:eastAsia="ja-JP"/>
        </w:rPr>
      </w:pPr>
      <w:r w:rsidRPr="00677D90">
        <w:rPr>
          <w:rFonts w:cs="Times New Roman"/>
          <w:sz w:val="24"/>
          <w:szCs w:val="24"/>
          <w:lang w:val="en-IN" w:eastAsia="ja-JP"/>
        </w:rPr>
        <w:t>Time-lapse video microscopy of gametogony</w:t>
      </w:r>
      <w:r>
        <w:rPr>
          <w:rFonts w:cs="Times New Roman"/>
          <w:sz w:val="24"/>
          <w:szCs w:val="24"/>
          <w:lang w:val="en-IN" w:eastAsia="ja-JP"/>
        </w:rPr>
        <w:t xml:space="preserve"> in the Hoechst (blue)-stained PbARK1-GFP (green) male gametocyte after 4-5 min activation. Video is played back at 15</w:t>
      </w:r>
      <w:r>
        <w:rPr>
          <w:rFonts w:cs="Times New Roman"/>
          <w:sz w:val="24"/>
          <w:szCs w:val="24"/>
          <w:lang w:val="en-IN" w:eastAsia="ja-JP"/>
        </w:rPr>
        <w:sym w:font="Symbol" w:char="F0B4"/>
      </w:r>
      <w:r>
        <w:rPr>
          <w:rFonts w:cs="Times New Roman"/>
          <w:sz w:val="24"/>
          <w:szCs w:val="24"/>
          <w:lang w:val="en-IN" w:eastAsia="ja-JP"/>
        </w:rPr>
        <w:t xml:space="preserve"> speed. </w:t>
      </w:r>
      <w:r w:rsidRPr="00677D90">
        <w:rPr>
          <w:rFonts w:cs="Times New Roman"/>
          <w:sz w:val="24"/>
          <w:szCs w:val="24"/>
        </w:rPr>
        <w:t xml:space="preserve">Scale bar = 2 </w:t>
      </w:r>
      <w:r w:rsidRPr="00677D90">
        <w:rPr>
          <w:rFonts w:cs="Times New Roman"/>
          <w:sz w:val="24"/>
          <w:szCs w:val="24"/>
        </w:rPr>
        <w:sym w:font="Symbol" w:char="F06D"/>
      </w:r>
      <w:r w:rsidRPr="00677D90">
        <w:rPr>
          <w:rFonts w:cs="Times New Roman"/>
          <w:sz w:val="24"/>
          <w:szCs w:val="24"/>
        </w:rPr>
        <w:t>m.</w:t>
      </w:r>
    </w:p>
    <w:p w14:paraId="08F10256" w14:textId="77777777" w:rsidR="00526E7F" w:rsidRPr="00677D90" w:rsidRDefault="00526E7F" w:rsidP="00526E7F">
      <w:pPr>
        <w:spacing w:line="360" w:lineRule="auto"/>
        <w:jc w:val="both"/>
        <w:rPr>
          <w:rFonts w:cs="Times New Roman"/>
          <w:b/>
          <w:bCs/>
          <w:sz w:val="24"/>
          <w:szCs w:val="24"/>
          <w:lang w:eastAsia="ja-JP"/>
        </w:rPr>
      </w:pPr>
    </w:p>
    <w:p w14:paraId="20F35D02" w14:textId="77777777" w:rsidR="00526E7F" w:rsidRPr="00677D90" w:rsidRDefault="00526E7F" w:rsidP="00526E7F">
      <w:pPr>
        <w:spacing w:after="0" w:line="360" w:lineRule="auto"/>
        <w:jc w:val="both"/>
        <w:rPr>
          <w:rFonts w:cs="Times New Roman"/>
          <w:b/>
          <w:bCs/>
          <w:sz w:val="24"/>
          <w:szCs w:val="24"/>
          <w:lang w:val="en-US" w:eastAsia="ja-JP"/>
        </w:rPr>
      </w:pPr>
      <w:r w:rsidRPr="00677D90">
        <w:rPr>
          <w:rFonts w:cs="Times New Roman"/>
          <w:b/>
          <w:bCs/>
          <w:sz w:val="24"/>
          <w:szCs w:val="24"/>
          <w:lang w:val="en-US" w:eastAsia="ja-JP"/>
        </w:rPr>
        <w:t>Supplementary Video 3</w:t>
      </w:r>
    </w:p>
    <w:p w14:paraId="3343DF4F" w14:textId="77777777" w:rsidR="00526E7F" w:rsidRDefault="00526E7F" w:rsidP="00526E7F">
      <w:pPr>
        <w:spacing w:line="360" w:lineRule="auto"/>
        <w:jc w:val="both"/>
        <w:rPr>
          <w:rFonts w:cs="Times New Roman"/>
          <w:sz w:val="24"/>
          <w:szCs w:val="24"/>
          <w:lang w:val="en-IN" w:eastAsia="ja-JP"/>
        </w:rPr>
      </w:pPr>
      <w:r w:rsidRPr="00677D90">
        <w:rPr>
          <w:rFonts w:cs="Times New Roman"/>
          <w:sz w:val="24"/>
          <w:szCs w:val="24"/>
          <w:lang w:val="en-IN" w:eastAsia="ja-JP"/>
        </w:rPr>
        <w:t>Time-lapse video microscopy of gametogony</w:t>
      </w:r>
      <w:r>
        <w:rPr>
          <w:rFonts w:cs="Times New Roman"/>
          <w:sz w:val="24"/>
          <w:szCs w:val="24"/>
          <w:lang w:val="en-IN" w:eastAsia="ja-JP"/>
        </w:rPr>
        <w:t xml:space="preserve"> in the PbARK1-GFP (green) male gametocyte after 6-8 min activation. Video is played back at 15</w:t>
      </w:r>
      <w:r>
        <w:rPr>
          <w:rFonts w:cs="Times New Roman"/>
          <w:sz w:val="24"/>
          <w:szCs w:val="24"/>
          <w:lang w:val="en-IN" w:eastAsia="ja-JP"/>
        </w:rPr>
        <w:sym w:font="Symbol" w:char="F0B4"/>
      </w:r>
      <w:r>
        <w:rPr>
          <w:rFonts w:cs="Times New Roman"/>
          <w:sz w:val="24"/>
          <w:szCs w:val="24"/>
          <w:lang w:val="en-IN" w:eastAsia="ja-JP"/>
        </w:rPr>
        <w:t xml:space="preserve"> speed. </w:t>
      </w:r>
      <w:r w:rsidRPr="00677D90">
        <w:rPr>
          <w:rFonts w:cs="Times New Roman"/>
          <w:sz w:val="24"/>
          <w:szCs w:val="24"/>
        </w:rPr>
        <w:t xml:space="preserve">Scale bar = 2 </w:t>
      </w:r>
      <w:r w:rsidRPr="00677D90">
        <w:rPr>
          <w:rFonts w:cs="Times New Roman"/>
          <w:sz w:val="24"/>
          <w:szCs w:val="24"/>
        </w:rPr>
        <w:sym w:font="Symbol" w:char="F06D"/>
      </w:r>
      <w:r w:rsidRPr="00677D90">
        <w:rPr>
          <w:rFonts w:cs="Times New Roman"/>
          <w:sz w:val="24"/>
          <w:szCs w:val="24"/>
        </w:rPr>
        <w:t>m.</w:t>
      </w:r>
    </w:p>
    <w:p w14:paraId="4DDA9B69" w14:textId="77777777" w:rsidR="00526E7F" w:rsidRPr="00677D90" w:rsidRDefault="00526E7F" w:rsidP="00526E7F">
      <w:pPr>
        <w:spacing w:line="360" w:lineRule="auto"/>
        <w:jc w:val="both"/>
        <w:rPr>
          <w:rFonts w:cs="Times New Roman"/>
          <w:sz w:val="24"/>
          <w:szCs w:val="24"/>
          <w:lang w:val="en-US" w:eastAsia="ja-JP"/>
        </w:rPr>
      </w:pPr>
    </w:p>
    <w:p w14:paraId="5688F072" w14:textId="77777777" w:rsidR="00526E7F" w:rsidRPr="00677D90" w:rsidRDefault="00526E7F" w:rsidP="00526E7F">
      <w:pPr>
        <w:spacing w:line="360" w:lineRule="auto"/>
        <w:jc w:val="both"/>
        <w:rPr>
          <w:rFonts w:cs="Times New Roman"/>
          <w:b/>
          <w:bCs/>
          <w:sz w:val="24"/>
          <w:szCs w:val="24"/>
          <w:lang w:val="en-US" w:eastAsia="ja-JP"/>
        </w:rPr>
      </w:pPr>
      <w:r w:rsidRPr="00677D90">
        <w:rPr>
          <w:rFonts w:cs="Times New Roman"/>
          <w:b/>
          <w:bCs/>
          <w:sz w:val="24"/>
          <w:szCs w:val="24"/>
          <w:lang w:val="en-US" w:eastAsia="ja-JP"/>
        </w:rPr>
        <w:lastRenderedPageBreak/>
        <w:t xml:space="preserve">Supplementary Video 4 </w:t>
      </w:r>
    </w:p>
    <w:p w14:paraId="5E7D356E" w14:textId="77777777" w:rsidR="00526E7F" w:rsidRPr="00677D90" w:rsidRDefault="00526E7F" w:rsidP="00526E7F">
      <w:pPr>
        <w:spacing w:line="360" w:lineRule="auto"/>
        <w:jc w:val="both"/>
        <w:rPr>
          <w:rFonts w:cs="Times New Roman"/>
          <w:sz w:val="24"/>
          <w:szCs w:val="24"/>
          <w:lang w:val="en-IN" w:eastAsia="ja-JP"/>
        </w:rPr>
      </w:pPr>
      <w:r w:rsidRPr="00677D90">
        <w:rPr>
          <w:rFonts w:cs="Times New Roman"/>
          <w:sz w:val="24"/>
          <w:szCs w:val="24"/>
          <w:lang w:val="en-IN" w:eastAsia="ja-JP"/>
        </w:rPr>
        <w:t>Time-lapse video microscopy of gametogony</w:t>
      </w:r>
      <w:r>
        <w:rPr>
          <w:rFonts w:cs="Times New Roman"/>
          <w:sz w:val="24"/>
          <w:szCs w:val="24"/>
          <w:lang w:val="en-IN" w:eastAsia="ja-JP"/>
        </w:rPr>
        <w:t xml:space="preserve"> in the PbARK1-GFP (green) and PbNDC80-mCherry (magenta) male gametocyte after 4-5 min activation. Video is played back at 15</w:t>
      </w:r>
      <w:r>
        <w:rPr>
          <w:rFonts w:cs="Times New Roman"/>
          <w:sz w:val="24"/>
          <w:szCs w:val="24"/>
          <w:lang w:val="en-IN" w:eastAsia="ja-JP"/>
        </w:rPr>
        <w:sym w:font="Symbol" w:char="F0B4"/>
      </w:r>
      <w:r>
        <w:rPr>
          <w:rFonts w:cs="Times New Roman"/>
          <w:sz w:val="24"/>
          <w:szCs w:val="24"/>
          <w:lang w:val="en-IN" w:eastAsia="ja-JP"/>
        </w:rPr>
        <w:t xml:space="preserve"> speed. </w:t>
      </w:r>
      <w:r w:rsidRPr="00677D90">
        <w:rPr>
          <w:rFonts w:cs="Times New Roman"/>
          <w:sz w:val="24"/>
          <w:szCs w:val="24"/>
        </w:rPr>
        <w:t xml:space="preserve">Scale bar = 2 </w:t>
      </w:r>
      <w:r w:rsidRPr="00677D90">
        <w:rPr>
          <w:rFonts w:cs="Times New Roman"/>
          <w:sz w:val="24"/>
          <w:szCs w:val="24"/>
        </w:rPr>
        <w:sym w:font="Symbol" w:char="F06D"/>
      </w:r>
      <w:r w:rsidRPr="00677D90">
        <w:rPr>
          <w:rFonts w:cs="Times New Roman"/>
          <w:sz w:val="24"/>
          <w:szCs w:val="24"/>
        </w:rPr>
        <w:t>m.</w:t>
      </w:r>
    </w:p>
    <w:p w14:paraId="0477AC02" w14:textId="77777777" w:rsidR="00526E7F" w:rsidRPr="00677D90" w:rsidRDefault="00526E7F" w:rsidP="00526E7F">
      <w:pPr>
        <w:spacing w:line="360" w:lineRule="auto"/>
        <w:jc w:val="both"/>
        <w:rPr>
          <w:rFonts w:cs="Times New Roman"/>
          <w:b/>
          <w:bCs/>
          <w:sz w:val="24"/>
          <w:szCs w:val="24"/>
          <w:lang w:val="en-US" w:eastAsia="ja-JP"/>
        </w:rPr>
      </w:pPr>
    </w:p>
    <w:p w14:paraId="7E0E838B" w14:textId="77777777" w:rsidR="00526E7F" w:rsidRPr="00677D90" w:rsidRDefault="00526E7F" w:rsidP="00526E7F">
      <w:pPr>
        <w:spacing w:line="360" w:lineRule="auto"/>
        <w:jc w:val="both"/>
        <w:rPr>
          <w:rFonts w:cs="Times New Roman"/>
          <w:b/>
          <w:bCs/>
          <w:sz w:val="24"/>
          <w:szCs w:val="24"/>
          <w:lang w:val="en-US" w:eastAsia="ja-JP"/>
        </w:rPr>
      </w:pPr>
      <w:r w:rsidRPr="00677D90">
        <w:rPr>
          <w:rFonts w:cs="Times New Roman"/>
          <w:b/>
          <w:bCs/>
          <w:sz w:val="24"/>
          <w:szCs w:val="24"/>
          <w:lang w:val="en-US" w:eastAsia="ja-JP"/>
        </w:rPr>
        <w:t xml:space="preserve">Supplementary Video 5 </w:t>
      </w:r>
    </w:p>
    <w:p w14:paraId="0DD95BE4" w14:textId="77777777" w:rsidR="00526E7F" w:rsidRPr="00677D90" w:rsidRDefault="00526E7F" w:rsidP="00526E7F">
      <w:pPr>
        <w:spacing w:line="360" w:lineRule="auto"/>
        <w:jc w:val="both"/>
        <w:rPr>
          <w:rFonts w:cs="Times New Roman"/>
          <w:sz w:val="24"/>
          <w:szCs w:val="24"/>
          <w:lang w:val="en-IN" w:eastAsia="ja-JP"/>
        </w:rPr>
      </w:pPr>
      <w:r w:rsidRPr="00677D90">
        <w:rPr>
          <w:rFonts w:cs="Times New Roman"/>
          <w:sz w:val="24"/>
          <w:szCs w:val="24"/>
          <w:lang w:val="en-IN" w:eastAsia="ja-JP"/>
        </w:rPr>
        <w:t>Time-lapse video microscopy of gametogony</w:t>
      </w:r>
      <w:r>
        <w:rPr>
          <w:rFonts w:cs="Times New Roman"/>
          <w:sz w:val="24"/>
          <w:szCs w:val="24"/>
          <w:lang w:val="en-IN" w:eastAsia="ja-JP"/>
        </w:rPr>
        <w:t xml:space="preserve"> in the PbARK1-GFP (green) and PbARK2-mCherry (magenta) male gametocyte after 2-3 min activation. Video is played back at 15</w:t>
      </w:r>
      <w:r>
        <w:rPr>
          <w:rFonts w:cs="Times New Roman"/>
          <w:sz w:val="24"/>
          <w:szCs w:val="24"/>
          <w:lang w:val="en-IN" w:eastAsia="ja-JP"/>
        </w:rPr>
        <w:sym w:font="Symbol" w:char="F0B4"/>
      </w:r>
      <w:r>
        <w:rPr>
          <w:rFonts w:cs="Times New Roman"/>
          <w:sz w:val="24"/>
          <w:szCs w:val="24"/>
          <w:lang w:val="en-IN" w:eastAsia="ja-JP"/>
        </w:rPr>
        <w:t xml:space="preserve"> speed. </w:t>
      </w:r>
      <w:r w:rsidRPr="00677D90">
        <w:rPr>
          <w:rFonts w:cs="Times New Roman"/>
          <w:sz w:val="24"/>
          <w:szCs w:val="24"/>
        </w:rPr>
        <w:t xml:space="preserve">Scale bar = 2 </w:t>
      </w:r>
      <w:r w:rsidRPr="00677D90">
        <w:rPr>
          <w:rFonts w:cs="Times New Roman"/>
          <w:sz w:val="24"/>
          <w:szCs w:val="24"/>
        </w:rPr>
        <w:sym w:font="Symbol" w:char="F06D"/>
      </w:r>
      <w:r w:rsidRPr="00677D90">
        <w:rPr>
          <w:rFonts w:cs="Times New Roman"/>
          <w:sz w:val="24"/>
          <w:szCs w:val="24"/>
        </w:rPr>
        <w:t>m.</w:t>
      </w:r>
    </w:p>
    <w:p w14:paraId="66A6FEFC" w14:textId="77777777" w:rsidR="00526E7F" w:rsidRPr="00677D90" w:rsidRDefault="00526E7F" w:rsidP="00526E7F">
      <w:pPr>
        <w:spacing w:line="360" w:lineRule="auto"/>
        <w:jc w:val="both"/>
        <w:rPr>
          <w:rFonts w:cs="Times New Roman"/>
          <w:sz w:val="24"/>
          <w:szCs w:val="24"/>
          <w:lang w:val="en-US" w:eastAsia="ja-JP"/>
        </w:rPr>
      </w:pPr>
    </w:p>
    <w:p w14:paraId="2F90FC7D" w14:textId="77777777" w:rsidR="00526E7F" w:rsidRPr="00677D90" w:rsidRDefault="00526E7F" w:rsidP="00526E7F">
      <w:pPr>
        <w:spacing w:line="360" w:lineRule="auto"/>
        <w:jc w:val="both"/>
        <w:rPr>
          <w:rFonts w:cs="Times New Roman"/>
          <w:b/>
          <w:bCs/>
          <w:sz w:val="24"/>
          <w:szCs w:val="24"/>
          <w:lang w:val="en-US" w:eastAsia="ja-JP"/>
        </w:rPr>
      </w:pPr>
      <w:r w:rsidRPr="00677D90">
        <w:rPr>
          <w:rFonts w:cs="Times New Roman"/>
          <w:b/>
          <w:bCs/>
          <w:sz w:val="24"/>
          <w:szCs w:val="24"/>
          <w:lang w:val="en-US" w:eastAsia="ja-JP"/>
        </w:rPr>
        <w:t xml:space="preserve">Supplementary Video 6 </w:t>
      </w:r>
    </w:p>
    <w:p w14:paraId="6833134F" w14:textId="77777777" w:rsidR="00526E7F" w:rsidRPr="00677D90" w:rsidRDefault="00526E7F" w:rsidP="00526E7F">
      <w:pPr>
        <w:spacing w:line="360" w:lineRule="auto"/>
        <w:jc w:val="both"/>
        <w:rPr>
          <w:rFonts w:cs="Times New Roman"/>
          <w:sz w:val="24"/>
          <w:szCs w:val="24"/>
          <w:lang w:val="en-IN" w:eastAsia="ja-JP"/>
        </w:rPr>
      </w:pPr>
      <w:r w:rsidRPr="00677D90">
        <w:rPr>
          <w:rFonts w:cs="Times New Roman"/>
          <w:sz w:val="24"/>
          <w:szCs w:val="24"/>
          <w:lang w:val="en-IN" w:eastAsia="ja-JP"/>
        </w:rPr>
        <w:t>Time-lapse video microscopy to assess egress of DMSO-treated HA-PfARK1-loxP parasites (related to Fig. 3g(i))</w:t>
      </w:r>
    </w:p>
    <w:p w14:paraId="0A78BDFB" w14:textId="77777777" w:rsidR="00526E7F" w:rsidRPr="00677D90" w:rsidRDefault="00526E7F" w:rsidP="00526E7F">
      <w:pPr>
        <w:spacing w:line="360" w:lineRule="auto"/>
        <w:jc w:val="both"/>
        <w:rPr>
          <w:rFonts w:cs="Times New Roman"/>
          <w:b/>
          <w:bCs/>
          <w:sz w:val="24"/>
          <w:szCs w:val="24"/>
          <w:lang w:val="en-US" w:eastAsia="ja-JP"/>
        </w:rPr>
      </w:pPr>
    </w:p>
    <w:p w14:paraId="551CF876" w14:textId="77777777" w:rsidR="00526E7F" w:rsidRPr="00677D90" w:rsidRDefault="00526E7F" w:rsidP="00526E7F">
      <w:pPr>
        <w:spacing w:line="360" w:lineRule="auto"/>
        <w:jc w:val="both"/>
        <w:rPr>
          <w:rFonts w:cs="Times New Roman"/>
          <w:b/>
          <w:bCs/>
          <w:sz w:val="24"/>
          <w:szCs w:val="24"/>
          <w:lang w:val="en-US" w:eastAsia="ja-JP"/>
        </w:rPr>
      </w:pPr>
      <w:r w:rsidRPr="00677D90">
        <w:rPr>
          <w:rFonts w:cs="Times New Roman"/>
          <w:b/>
          <w:bCs/>
          <w:sz w:val="24"/>
          <w:szCs w:val="24"/>
          <w:lang w:val="en-US" w:eastAsia="ja-JP"/>
        </w:rPr>
        <w:t>Supplementary Video 7</w:t>
      </w:r>
    </w:p>
    <w:p w14:paraId="53749C22" w14:textId="77777777" w:rsidR="00526E7F" w:rsidRPr="00677D90" w:rsidRDefault="00526E7F" w:rsidP="00526E7F">
      <w:pPr>
        <w:spacing w:line="360" w:lineRule="auto"/>
        <w:jc w:val="both"/>
        <w:rPr>
          <w:rFonts w:cs="Times New Roman"/>
          <w:sz w:val="24"/>
          <w:szCs w:val="24"/>
          <w:lang w:val="en-IN" w:eastAsia="ja-JP"/>
        </w:rPr>
      </w:pPr>
      <w:r w:rsidRPr="00677D90">
        <w:rPr>
          <w:rFonts w:cs="Times New Roman"/>
          <w:sz w:val="24"/>
          <w:szCs w:val="24"/>
          <w:lang w:val="en-IN" w:eastAsia="ja-JP"/>
        </w:rPr>
        <w:t>Time-lapse video microscopy assess egress of RAP-treated HA-PfARK1-loxP parasites (related to Fig. 3g(ii))</w:t>
      </w:r>
    </w:p>
    <w:p w14:paraId="3B96B951" w14:textId="77777777" w:rsidR="00526E7F" w:rsidRPr="00677D90" w:rsidRDefault="00526E7F" w:rsidP="00526E7F">
      <w:pPr>
        <w:spacing w:line="360" w:lineRule="auto"/>
        <w:jc w:val="both"/>
        <w:rPr>
          <w:rFonts w:cs="Times New Roman"/>
          <w:b/>
          <w:bCs/>
          <w:sz w:val="24"/>
          <w:szCs w:val="24"/>
          <w:lang w:eastAsia="ja-JP"/>
        </w:rPr>
      </w:pPr>
    </w:p>
    <w:p w14:paraId="205020A9" w14:textId="77777777" w:rsidR="00526E7F" w:rsidRPr="00677D90" w:rsidRDefault="00526E7F" w:rsidP="00526E7F">
      <w:pPr>
        <w:spacing w:after="0" w:line="360" w:lineRule="auto"/>
        <w:jc w:val="both"/>
        <w:rPr>
          <w:rFonts w:cs="Times New Roman"/>
          <w:b/>
          <w:bCs/>
          <w:sz w:val="24"/>
          <w:szCs w:val="24"/>
          <w:lang w:val="en-US" w:eastAsia="ja-JP"/>
        </w:rPr>
      </w:pPr>
      <w:r w:rsidRPr="00677D90">
        <w:rPr>
          <w:rFonts w:cs="Times New Roman"/>
          <w:b/>
          <w:bCs/>
          <w:sz w:val="24"/>
          <w:szCs w:val="24"/>
          <w:lang w:val="en-US" w:eastAsia="ja-JP"/>
        </w:rPr>
        <w:t>Supplementary Video 8</w:t>
      </w:r>
    </w:p>
    <w:p w14:paraId="3D01AAC4" w14:textId="77777777" w:rsidR="00526E7F" w:rsidRPr="00677D90" w:rsidRDefault="00526E7F" w:rsidP="00526E7F">
      <w:pPr>
        <w:spacing w:line="360" w:lineRule="auto"/>
        <w:jc w:val="both"/>
        <w:rPr>
          <w:rFonts w:cs="Times New Roman"/>
          <w:sz w:val="24"/>
          <w:szCs w:val="24"/>
          <w:lang w:val="en-IN" w:eastAsia="ja-JP"/>
        </w:rPr>
      </w:pPr>
      <w:r w:rsidRPr="00677D90">
        <w:rPr>
          <w:rFonts w:cs="Times New Roman"/>
          <w:sz w:val="24"/>
          <w:szCs w:val="24"/>
          <w:lang w:val="en-IN" w:eastAsia="ja-JP"/>
        </w:rPr>
        <w:t>Time-lapse video microscopy assess egress of RAP-treated HA-PfARK1-loxP parasites (related to Fig. 3g(iii))</w:t>
      </w:r>
    </w:p>
    <w:p w14:paraId="54947759"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Body CS)">
    <w:altName w:val="Times New Roman"/>
    <w:charset w:val="00"/>
    <w:family w:val="roman"/>
    <w:pitch w:val="default"/>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E7F"/>
    <w:rsid w:val="002E281E"/>
    <w:rsid w:val="003201BB"/>
    <w:rsid w:val="00526E7F"/>
    <w:rsid w:val="007C2D32"/>
    <w:rsid w:val="00865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2F785"/>
  <w15:chartTrackingRefBased/>
  <w15:docId w15:val="{54F1D166-0FEA-437F-9768-D2577A3AE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6E7F"/>
    <w:pPr>
      <w:spacing w:line="259" w:lineRule="auto"/>
    </w:pPr>
    <w:rPr>
      <w:rFonts w:ascii="Times New Roman" w:eastAsia="MS Mincho" w:hAnsi="Times New Roman" w:cs="Times New Roman (Body CS)"/>
      <w:sz w:val="22"/>
      <w:szCs w:val="22"/>
      <w:lang w:val="en-GB"/>
      <w14:ligatures w14:val="none"/>
    </w:rPr>
  </w:style>
  <w:style w:type="paragraph" w:styleId="Heading1">
    <w:name w:val="heading 1"/>
    <w:basedOn w:val="Normal"/>
    <w:next w:val="Normal"/>
    <w:link w:val="Heading1Char"/>
    <w:uiPriority w:val="9"/>
    <w:qFormat/>
    <w:rsid w:val="00526E7F"/>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14:ligatures w14:val="standardContextual"/>
    </w:rPr>
  </w:style>
  <w:style w:type="paragraph" w:styleId="Heading2">
    <w:name w:val="heading 2"/>
    <w:basedOn w:val="Normal"/>
    <w:next w:val="Normal"/>
    <w:link w:val="Heading2Char"/>
    <w:uiPriority w:val="9"/>
    <w:semiHidden/>
    <w:unhideWhenUsed/>
    <w:qFormat/>
    <w:rsid w:val="00526E7F"/>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14:ligatures w14:val="standardContextual"/>
    </w:rPr>
  </w:style>
  <w:style w:type="paragraph" w:styleId="Heading3">
    <w:name w:val="heading 3"/>
    <w:basedOn w:val="Normal"/>
    <w:next w:val="Normal"/>
    <w:link w:val="Heading3Char"/>
    <w:uiPriority w:val="9"/>
    <w:semiHidden/>
    <w:unhideWhenUsed/>
    <w:qFormat/>
    <w:rsid w:val="00526E7F"/>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lang w:val="en-US"/>
      <w14:ligatures w14:val="standardContextual"/>
    </w:rPr>
  </w:style>
  <w:style w:type="paragraph" w:styleId="Heading4">
    <w:name w:val="heading 4"/>
    <w:basedOn w:val="Normal"/>
    <w:next w:val="Normal"/>
    <w:link w:val="Heading4Char"/>
    <w:uiPriority w:val="9"/>
    <w:semiHidden/>
    <w:unhideWhenUsed/>
    <w:qFormat/>
    <w:rsid w:val="00526E7F"/>
    <w:pPr>
      <w:keepNext/>
      <w:keepLines/>
      <w:spacing w:before="80" w:after="40" w:line="278" w:lineRule="auto"/>
      <w:outlineLvl w:val="3"/>
    </w:pPr>
    <w:rPr>
      <w:rFonts w:asciiTheme="minorHAnsi" w:eastAsiaTheme="majorEastAsia" w:hAnsiTheme="minorHAnsi" w:cstheme="majorBidi"/>
      <w:i/>
      <w:iCs/>
      <w:color w:val="0F4761" w:themeColor="accent1" w:themeShade="BF"/>
      <w:sz w:val="24"/>
      <w:szCs w:val="24"/>
      <w:lang w:val="en-US"/>
      <w14:ligatures w14:val="standardContextual"/>
    </w:rPr>
  </w:style>
  <w:style w:type="paragraph" w:styleId="Heading5">
    <w:name w:val="heading 5"/>
    <w:basedOn w:val="Normal"/>
    <w:next w:val="Normal"/>
    <w:link w:val="Heading5Char"/>
    <w:uiPriority w:val="9"/>
    <w:semiHidden/>
    <w:unhideWhenUsed/>
    <w:qFormat/>
    <w:rsid w:val="00526E7F"/>
    <w:pPr>
      <w:keepNext/>
      <w:keepLines/>
      <w:spacing w:before="80" w:after="40" w:line="278" w:lineRule="auto"/>
      <w:outlineLvl w:val="4"/>
    </w:pPr>
    <w:rPr>
      <w:rFonts w:asciiTheme="minorHAnsi" w:eastAsiaTheme="majorEastAsia" w:hAnsiTheme="minorHAnsi" w:cstheme="majorBidi"/>
      <w:color w:val="0F4761" w:themeColor="accent1" w:themeShade="BF"/>
      <w:sz w:val="24"/>
      <w:szCs w:val="24"/>
      <w:lang w:val="en-US"/>
      <w14:ligatures w14:val="standardContextual"/>
    </w:rPr>
  </w:style>
  <w:style w:type="paragraph" w:styleId="Heading6">
    <w:name w:val="heading 6"/>
    <w:basedOn w:val="Normal"/>
    <w:next w:val="Normal"/>
    <w:link w:val="Heading6Char"/>
    <w:uiPriority w:val="9"/>
    <w:semiHidden/>
    <w:unhideWhenUsed/>
    <w:qFormat/>
    <w:rsid w:val="00526E7F"/>
    <w:pPr>
      <w:keepNext/>
      <w:keepLines/>
      <w:spacing w:before="40" w:after="0" w:line="278" w:lineRule="auto"/>
      <w:outlineLvl w:val="5"/>
    </w:pPr>
    <w:rPr>
      <w:rFonts w:asciiTheme="minorHAnsi" w:eastAsiaTheme="majorEastAsia" w:hAnsiTheme="minorHAnsi" w:cstheme="majorBidi"/>
      <w:i/>
      <w:iCs/>
      <w:color w:val="595959" w:themeColor="text1" w:themeTint="A6"/>
      <w:sz w:val="24"/>
      <w:szCs w:val="24"/>
      <w:lang w:val="en-US"/>
      <w14:ligatures w14:val="standardContextual"/>
    </w:rPr>
  </w:style>
  <w:style w:type="paragraph" w:styleId="Heading7">
    <w:name w:val="heading 7"/>
    <w:basedOn w:val="Normal"/>
    <w:next w:val="Normal"/>
    <w:link w:val="Heading7Char"/>
    <w:uiPriority w:val="9"/>
    <w:semiHidden/>
    <w:unhideWhenUsed/>
    <w:qFormat/>
    <w:rsid w:val="00526E7F"/>
    <w:pPr>
      <w:keepNext/>
      <w:keepLines/>
      <w:spacing w:before="40" w:after="0" w:line="278" w:lineRule="auto"/>
      <w:outlineLvl w:val="6"/>
    </w:pPr>
    <w:rPr>
      <w:rFonts w:asciiTheme="minorHAnsi" w:eastAsiaTheme="majorEastAsia" w:hAnsiTheme="minorHAnsi" w:cstheme="majorBidi"/>
      <w:color w:val="595959" w:themeColor="text1" w:themeTint="A6"/>
      <w:sz w:val="24"/>
      <w:szCs w:val="24"/>
      <w:lang w:val="en-US"/>
      <w14:ligatures w14:val="standardContextual"/>
    </w:rPr>
  </w:style>
  <w:style w:type="paragraph" w:styleId="Heading8">
    <w:name w:val="heading 8"/>
    <w:basedOn w:val="Normal"/>
    <w:next w:val="Normal"/>
    <w:link w:val="Heading8Char"/>
    <w:uiPriority w:val="9"/>
    <w:semiHidden/>
    <w:unhideWhenUsed/>
    <w:qFormat/>
    <w:rsid w:val="00526E7F"/>
    <w:pPr>
      <w:keepNext/>
      <w:keepLines/>
      <w:spacing w:after="0" w:line="278" w:lineRule="auto"/>
      <w:outlineLvl w:val="7"/>
    </w:pPr>
    <w:rPr>
      <w:rFonts w:asciiTheme="minorHAnsi" w:eastAsiaTheme="majorEastAsia" w:hAnsiTheme="minorHAnsi" w:cstheme="majorBidi"/>
      <w:i/>
      <w:iCs/>
      <w:color w:val="272727" w:themeColor="text1" w:themeTint="D8"/>
      <w:sz w:val="24"/>
      <w:szCs w:val="24"/>
      <w:lang w:val="en-US"/>
      <w14:ligatures w14:val="standardContextual"/>
    </w:rPr>
  </w:style>
  <w:style w:type="paragraph" w:styleId="Heading9">
    <w:name w:val="heading 9"/>
    <w:basedOn w:val="Normal"/>
    <w:next w:val="Normal"/>
    <w:link w:val="Heading9Char"/>
    <w:uiPriority w:val="9"/>
    <w:semiHidden/>
    <w:unhideWhenUsed/>
    <w:qFormat/>
    <w:rsid w:val="00526E7F"/>
    <w:pPr>
      <w:keepNext/>
      <w:keepLines/>
      <w:spacing w:after="0" w:line="278" w:lineRule="auto"/>
      <w:outlineLvl w:val="8"/>
    </w:pPr>
    <w:rPr>
      <w:rFonts w:asciiTheme="minorHAnsi" w:eastAsiaTheme="majorEastAsia" w:hAnsiTheme="minorHAnsi" w:cstheme="majorBidi"/>
      <w:color w:val="272727" w:themeColor="text1" w:themeTint="D8"/>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6E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6E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6E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6E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6E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6E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6E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6E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6E7F"/>
    <w:rPr>
      <w:rFonts w:eastAsiaTheme="majorEastAsia" w:cstheme="majorBidi"/>
      <w:color w:val="272727" w:themeColor="text1" w:themeTint="D8"/>
    </w:rPr>
  </w:style>
  <w:style w:type="paragraph" w:styleId="Title">
    <w:name w:val="Title"/>
    <w:basedOn w:val="Normal"/>
    <w:next w:val="Normal"/>
    <w:link w:val="TitleChar"/>
    <w:uiPriority w:val="10"/>
    <w:qFormat/>
    <w:rsid w:val="00526E7F"/>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526E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6E7F"/>
    <w:pPr>
      <w:numPr>
        <w:ilvl w:val="1"/>
      </w:numPr>
      <w:spacing w:line="278" w:lineRule="auto"/>
    </w:pPr>
    <w:rPr>
      <w:rFonts w:asciiTheme="minorHAnsi" w:eastAsiaTheme="majorEastAsia" w:hAnsiTheme="minorHAnsi" w:cstheme="majorBidi"/>
      <w:color w:val="595959" w:themeColor="text1" w:themeTint="A6"/>
      <w:spacing w:val="15"/>
      <w:sz w:val="28"/>
      <w:szCs w:val="28"/>
      <w:lang w:val="en-US"/>
      <w14:ligatures w14:val="standardContextual"/>
    </w:rPr>
  </w:style>
  <w:style w:type="character" w:customStyle="1" w:styleId="SubtitleChar">
    <w:name w:val="Subtitle Char"/>
    <w:basedOn w:val="DefaultParagraphFont"/>
    <w:link w:val="Subtitle"/>
    <w:uiPriority w:val="11"/>
    <w:rsid w:val="00526E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6E7F"/>
    <w:pPr>
      <w:spacing w:before="160" w:line="278" w:lineRule="auto"/>
      <w:jc w:val="center"/>
    </w:pPr>
    <w:rPr>
      <w:rFonts w:asciiTheme="minorHAnsi" w:eastAsiaTheme="minorHAnsi" w:hAnsiTheme="minorHAnsi" w:cstheme="minorBidi"/>
      <w:i/>
      <w:iCs/>
      <w:color w:val="404040" w:themeColor="text1" w:themeTint="BF"/>
      <w:sz w:val="24"/>
      <w:szCs w:val="24"/>
      <w:lang w:val="en-US"/>
      <w14:ligatures w14:val="standardContextual"/>
    </w:rPr>
  </w:style>
  <w:style w:type="character" w:customStyle="1" w:styleId="QuoteChar">
    <w:name w:val="Quote Char"/>
    <w:basedOn w:val="DefaultParagraphFont"/>
    <w:link w:val="Quote"/>
    <w:uiPriority w:val="29"/>
    <w:rsid w:val="00526E7F"/>
    <w:rPr>
      <w:i/>
      <w:iCs/>
      <w:color w:val="404040" w:themeColor="text1" w:themeTint="BF"/>
    </w:rPr>
  </w:style>
  <w:style w:type="paragraph" w:styleId="ListParagraph">
    <w:name w:val="List Paragraph"/>
    <w:basedOn w:val="Normal"/>
    <w:uiPriority w:val="34"/>
    <w:qFormat/>
    <w:rsid w:val="00526E7F"/>
    <w:pPr>
      <w:spacing w:line="278" w:lineRule="auto"/>
      <w:ind w:left="720"/>
      <w:contextualSpacing/>
    </w:pPr>
    <w:rPr>
      <w:rFonts w:asciiTheme="minorHAnsi" w:eastAsiaTheme="minorHAnsi" w:hAnsiTheme="minorHAnsi" w:cstheme="minorBidi"/>
      <w:sz w:val="24"/>
      <w:szCs w:val="24"/>
      <w:lang w:val="en-US"/>
      <w14:ligatures w14:val="standardContextual"/>
    </w:rPr>
  </w:style>
  <w:style w:type="character" w:styleId="IntenseEmphasis">
    <w:name w:val="Intense Emphasis"/>
    <w:basedOn w:val="DefaultParagraphFont"/>
    <w:uiPriority w:val="21"/>
    <w:qFormat/>
    <w:rsid w:val="00526E7F"/>
    <w:rPr>
      <w:i/>
      <w:iCs/>
      <w:color w:val="0F4761" w:themeColor="accent1" w:themeShade="BF"/>
    </w:rPr>
  </w:style>
  <w:style w:type="paragraph" w:styleId="IntenseQuote">
    <w:name w:val="Intense Quote"/>
    <w:basedOn w:val="Normal"/>
    <w:next w:val="Normal"/>
    <w:link w:val="IntenseQuoteChar"/>
    <w:uiPriority w:val="30"/>
    <w:qFormat/>
    <w:rsid w:val="00526E7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sz w:val="24"/>
      <w:szCs w:val="24"/>
      <w:lang w:val="en-US"/>
      <w14:ligatures w14:val="standardContextual"/>
    </w:rPr>
  </w:style>
  <w:style w:type="character" w:customStyle="1" w:styleId="IntenseQuoteChar">
    <w:name w:val="Intense Quote Char"/>
    <w:basedOn w:val="DefaultParagraphFont"/>
    <w:link w:val="IntenseQuote"/>
    <w:uiPriority w:val="30"/>
    <w:rsid w:val="00526E7F"/>
    <w:rPr>
      <w:i/>
      <w:iCs/>
      <w:color w:val="0F4761" w:themeColor="accent1" w:themeShade="BF"/>
    </w:rPr>
  </w:style>
  <w:style w:type="character" w:styleId="IntenseReference">
    <w:name w:val="Intense Reference"/>
    <w:basedOn w:val="DefaultParagraphFont"/>
    <w:uiPriority w:val="32"/>
    <w:qFormat/>
    <w:rsid w:val="00526E7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2120</Words>
  <Characters>12086</Characters>
  <Application>Microsoft Office Word</Application>
  <DocSecurity>0</DocSecurity>
  <Lines>100</Lines>
  <Paragraphs>28</Paragraphs>
  <ScaleCrop>false</ScaleCrop>
  <Company>Springer Nature</Company>
  <LinksUpToDate>false</LinksUpToDate>
  <CharactersWithSpaces>14178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2025-09-25T09:28:00Z</dcterms:created>
  <dcterms:modified xsi:type="dcterms:W3CDTF">2025-09-25T09:29:00Z</dcterms:modified>
</cp:coreProperties>
</file>