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37C1E1F" w14:textId="5B3F3912" w:rsidR="00BD0EAD" w:rsidRPr="0024009B" w:rsidRDefault="00BD0EAD" w:rsidP="00BD0EAD">
      <w:pPr>
        <w:spacing w:after="200" w:line="276" w:lineRule="auto"/>
        <w:jc w:val="both"/>
        <w:rPr>
          <w:rFonts w:ascii="Times New Roman" w:eastAsia="Calibri" w:hAnsi="Times New Roman" w:cs="Times New Roman"/>
          <w:b/>
          <w:sz w:val="24"/>
          <w:szCs w:val="24"/>
          <w:lang w:val="en-GB"/>
        </w:rPr>
      </w:pPr>
      <w:r w:rsidRPr="0024009B">
        <w:rPr>
          <w:rFonts w:ascii="Times New Roman" w:eastAsia="Calibri" w:hAnsi="Times New Roman" w:cs="Times New Roman"/>
          <w:b/>
          <w:sz w:val="24"/>
          <w:szCs w:val="24"/>
          <w:lang w:val="en-GB"/>
        </w:rPr>
        <w:t xml:space="preserve">Table S1: </w:t>
      </w:r>
      <w:r w:rsidRPr="0024009B">
        <w:rPr>
          <w:rFonts w:ascii="Times New Roman" w:eastAsia="Calibri" w:hAnsi="Times New Roman" w:cs="Times New Roman"/>
          <w:sz w:val="24"/>
          <w:szCs w:val="24"/>
          <w:lang w:val="en-GB"/>
        </w:rPr>
        <w:t>Search strategy, original MeSH terms used in this study</w:t>
      </w:r>
      <w:r w:rsidRPr="0024009B">
        <w:rPr>
          <w:rFonts w:ascii="Times New Roman" w:eastAsia="Calibri" w:hAnsi="Times New Roman" w:cs="Times New Roman"/>
          <w:b/>
          <w:sz w:val="24"/>
          <w:szCs w:val="24"/>
          <w:lang w:val="en-GB"/>
        </w:rPr>
        <w:t>.</w:t>
      </w:r>
    </w:p>
    <w:p w14:paraId="237D6186" w14:textId="351AA691" w:rsidR="00483398" w:rsidRPr="00483398" w:rsidRDefault="00483398" w:rsidP="00483398">
      <w:pPr>
        <w:spacing w:after="0" w:line="480" w:lineRule="auto"/>
        <w:jc w:val="both"/>
        <w:rPr>
          <w:rFonts w:ascii="Times New Roman" w:eastAsia="Times New Roman" w:hAnsi="Times New Roman" w:cs="Times New Roman"/>
          <w:color w:val="000000"/>
          <w:sz w:val="24"/>
          <w:szCs w:val="24"/>
        </w:rPr>
      </w:pPr>
    </w:p>
    <w:tbl>
      <w:tblPr>
        <w:tblStyle w:val="TableGrid"/>
        <w:tblW w:w="0" w:type="auto"/>
        <w:tblInd w:w="0"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16"/>
        <w:gridCol w:w="4317"/>
        <w:gridCol w:w="4317"/>
      </w:tblGrid>
      <w:tr w:rsidR="00BD0EAD" w:rsidRPr="00BD0EAD" w14:paraId="3A7698A6" w14:textId="77777777" w:rsidTr="00BD0EAD">
        <w:tc>
          <w:tcPr>
            <w:tcW w:w="4316" w:type="dxa"/>
            <w:tcBorders>
              <w:top w:val="single" w:sz="4" w:space="0" w:color="auto"/>
              <w:left w:val="nil"/>
              <w:bottom w:val="single" w:sz="4" w:space="0" w:color="auto"/>
              <w:right w:val="nil"/>
            </w:tcBorders>
            <w:hideMark/>
          </w:tcPr>
          <w:p w14:paraId="2B9C83F9" w14:textId="77777777" w:rsidR="00BD0EAD" w:rsidRPr="00BD0EAD" w:rsidRDefault="00BD0EAD" w:rsidP="00BD0EAD">
            <w:pPr>
              <w:spacing w:line="276" w:lineRule="auto"/>
              <w:jc w:val="both"/>
              <w:rPr>
                <w:rFonts w:ascii="Times New Roman" w:eastAsia="Times New Roman" w:hAnsi="Times New Roman"/>
                <w:b/>
                <w:sz w:val="20"/>
                <w:szCs w:val="20"/>
              </w:rPr>
            </w:pPr>
            <w:r w:rsidRPr="00BD0EAD">
              <w:rPr>
                <w:rFonts w:ascii="Times New Roman" w:eastAsia="Times New Roman" w:hAnsi="Times New Roman"/>
                <w:b/>
                <w:sz w:val="20"/>
                <w:szCs w:val="20"/>
              </w:rPr>
              <w:t>PubMed</w:t>
            </w:r>
          </w:p>
        </w:tc>
        <w:tc>
          <w:tcPr>
            <w:tcW w:w="4317" w:type="dxa"/>
            <w:tcBorders>
              <w:top w:val="single" w:sz="4" w:space="0" w:color="auto"/>
              <w:left w:val="nil"/>
              <w:bottom w:val="single" w:sz="4" w:space="0" w:color="auto"/>
              <w:right w:val="nil"/>
            </w:tcBorders>
            <w:hideMark/>
          </w:tcPr>
          <w:p w14:paraId="2E7FB2D6" w14:textId="77777777" w:rsidR="00BD0EAD" w:rsidRPr="00BD0EAD" w:rsidRDefault="00BD0EAD" w:rsidP="00BD0EAD">
            <w:pPr>
              <w:spacing w:line="276" w:lineRule="auto"/>
              <w:jc w:val="both"/>
              <w:rPr>
                <w:rFonts w:ascii="Times New Roman" w:eastAsia="Times New Roman" w:hAnsi="Times New Roman"/>
                <w:b/>
                <w:sz w:val="20"/>
                <w:szCs w:val="20"/>
              </w:rPr>
            </w:pPr>
            <w:r w:rsidRPr="00BD0EAD">
              <w:rPr>
                <w:rFonts w:ascii="Times New Roman" w:eastAsia="Times New Roman" w:hAnsi="Times New Roman"/>
                <w:b/>
                <w:sz w:val="20"/>
                <w:szCs w:val="20"/>
              </w:rPr>
              <w:t>SCOPUS</w:t>
            </w:r>
          </w:p>
        </w:tc>
        <w:tc>
          <w:tcPr>
            <w:tcW w:w="4317" w:type="dxa"/>
            <w:tcBorders>
              <w:top w:val="single" w:sz="4" w:space="0" w:color="auto"/>
              <w:left w:val="nil"/>
              <w:bottom w:val="single" w:sz="4" w:space="0" w:color="auto"/>
              <w:right w:val="nil"/>
            </w:tcBorders>
            <w:hideMark/>
          </w:tcPr>
          <w:p w14:paraId="73FC8B3D" w14:textId="77777777" w:rsidR="00BD0EAD" w:rsidRPr="00BD0EAD" w:rsidRDefault="00BD0EAD" w:rsidP="00BD0EAD">
            <w:pPr>
              <w:spacing w:line="276" w:lineRule="auto"/>
              <w:jc w:val="both"/>
              <w:rPr>
                <w:rFonts w:ascii="Times New Roman" w:eastAsia="Times New Roman" w:hAnsi="Times New Roman"/>
                <w:b/>
                <w:sz w:val="20"/>
                <w:szCs w:val="20"/>
              </w:rPr>
            </w:pPr>
            <w:r w:rsidRPr="00BD0EAD">
              <w:rPr>
                <w:rFonts w:ascii="Times New Roman" w:eastAsia="Times New Roman" w:hAnsi="Times New Roman"/>
                <w:b/>
                <w:sz w:val="20"/>
                <w:szCs w:val="20"/>
              </w:rPr>
              <w:t>Google Scholar</w:t>
            </w:r>
          </w:p>
        </w:tc>
      </w:tr>
      <w:tr w:rsidR="00BD0EAD" w:rsidRPr="00BD0EAD" w14:paraId="2192DC65" w14:textId="77777777" w:rsidTr="00BD0EAD">
        <w:trPr>
          <w:trHeight w:val="2357"/>
        </w:trPr>
        <w:tc>
          <w:tcPr>
            <w:tcW w:w="4316" w:type="dxa"/>
            <w:tcBorders>
              <w:top w:val="single" w:sz="4" w:space="0" w:color="auto"/>
              <w:left w:val="nil"/>
              <w:bottom w:val="nil"/>
              <w:right w:val="nil"/>
            </w:tcBorders>
          </w:tcPr>
          <w:p w14:paraId="72CAEAF3" w14:textId="14A8D74F" w:rsidR="00BD0EAD" w:rsidRPr="00BD0EAD" w:rsidRDefault="00BD0EAD" w:rsidP="00BD0EAD">
            <w:pPr>
              <w:spacing w:line="276" w:lineRule="auto"/>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 xml:space="preserve">(“Vitamin D </w:t>
            </w:r>
            <w:r w:rsidR="00A47688" w:rsidRPr="00BD0EAD">
              <w:rPr>
                <w:rFonts w:ascii="Times New Roman" w:eastAsia="Times New Roman" w:hAnsi="Times New Roman"/>
                <w:sz w:val="20"/>
                <w:szCs w:val="20"/>
                <w:lang w:bidi="bn-IN"/>
              </w:rPr>
              <w:t>Deficiency” [</w:t>
            </w:r>
            <w:r w:rsidRPr="00BD0EAD">
              <w:rPr>
                <w:rFonts w:ascii="Times New Roman" w:eastAsia="Times New Roman" w:hAnsi="Times New Roman"/>
                <w:sz w:val="20"/>
                <w:szCs w:val="20"/>
                <w:lang w:bidi="bn-IN"/>
              </w:rPr>
              <w:t xml:space="preserve">MeSH]) AND </w:t>
            </w:r>
            <w:r w:rsidR="00A47688" w:rsidRPr="00BD0EAD">
              <w:rPr>
                <w:rFonts w:ascii="Times New Roman" w:eastAsia="Times New Roman" w:hAnsi="Times New Roman"/>
                <w:sz w:val="20"/>
                <w:szCs w:val="20"/>
                <w:lang w:bidi="bn-IN"/>
              </w:rPr>
              <w:t>Bangladesh [</w:t>
            </w:r>
            <w:r w:rsidRPr="00BD0EAD">
              <w:rPr>
                <w:rFonts w:ascii="Times New Roman" w:eastAsia="Times New Roman" w:hAnsi="Times New Roman"/>
                <w:sz w:val="20"/>
                <w:szCs w:val="20"/>
                <w:lang w:bidi="bn-IN"/>
              </w:rPr>
              <w:t>MeSH] AND Children [MeSH]</w:t>
            </w:r>
          </w:p>
          <w:p w14:paraId="6DA45387"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D”[MeSH]) AND Bangladesh[MeSH] AND Children [MeSH]</w:t>
            </w:r>
          </w:p>
          <w:p w14:paraId="54254792"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 xml:space="preserve">(“Vitamin D”[MeSH]) AND Bangladesh[MeSH] AND Prevalence [MeSH] AND Children [MeSH] </w:t>
            </w:r>
          </w:p>
          <w:p w14:paraId="35378AAD"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p>
          <w:p w14:paraId="2ECFD222" w14:textId="77777777" w:rsidR="00BD0EAD" w:rsidRPr="00BD0EAD" w:rsidRDefault="00BD0EAD" w:rsidP="00BD0EAD">
            <w:pPr>
              <w:spacing w:line="276" w:lineRule="auto"/>
              <w:rPr>
                <w:rFonts w:ascii="Times New Roman" w:eastAsia="Times New Roman" w:hAnsi="Times New Roman"/>
                <w:sz w:val="20"/>
                <w:szCs w:val="20"/>
                <w:lang w:bidi="bn-IN"/>
              </w:rPr>
            </w:pPr>
          </w:p>
        </w:tc>
        <w:tc>
          <w:tcPr>
            <w:tcW w:w="4317" w:type="dxa"/>
            <w:tcBorders>
              <w:top w:val="single" w:sz="4" w:space="0" w:color="auto"/>
              <w:left w:val="nil"/>
              <w:bottom w:val="nil"/>
              <w:right w:val="nil"/>
            </w:tcBorders>
            <w:hideMark/>
          </w:tcPr>
          <w:p w14:paraId="75BD4089" w14:textId="77777777" w:rsidR="00BD0EAD" w:rsidRPr="00782CC6" w:rsidRDefault="00BD0EAD" w:rsidP="00BD0EAD">
            <w:pPr>
              <w:spacing w:line="276" w:lineRule="auto"/>
              <w:textAlignment w:val="baseline"/>
              <w:rPr>
                <w:rFonts w:ascii="Times New Roman" w:eastAsia="Times New Roman" w:hAnsi="Times New Roman"/>
                <w:sz w:val="18"/>
                <w:szCs w:val="18"/>
                <w:lang w:bidi="bn-IN"/>
              </w:rPr>
            </w:pPr>
            <w:r w:rsidRPr="00782CC6">
              <w:rPr>
                <w:rFonts w:ascii="Times New Roman" w:eastAsia="Times New Roman" w:hAnsi="Times New Roman"/>
                <w:sz w:val="18"/>
                <w:szCs w:val="18"/>
                <w:lang w:bidi="bn-IN"/>
              </w:rPr>
              <w:t xml:space="preserve">(INDEXTERMS(“Vitamin D Deficiency”) AND INDEXTERMS(BANGLADESH) AND INDEXTERMS(Children)) OR (TITLE-ABS-KEY(“Vitamin D”) AND TITLE-ABS-KEY(BANGLADESH) AND TITLE-ABS-KEY(Children)) OR INDEXTERMS(prevalence)) AND (TITLE-ABS-KEY(“Vitamin D”) AND TITLE-ABS-KEY(BANGLADESH) AND TITLE-ABS-KEY(Children)) </w:t>
            </w:r>
          </w:p>
        </w:tc>
        <w:tc>
          <w:tcPr>
            <w:tcW w:w="4317" w:type="dxa"/>
            <w:tcBorders>
              <w:top w:val="single" w:sz="4" w:space="0" w:color="auto"/>
              <w:left w:val="nil"/>
              <w:bottom w:val="nil"/>
              <w:right w:val="nil"/>
            </w:tcBorders>
          </w:tcPr>
          <w:p w14:paraId="7861ADF8" w14:textId="77777777" w:rsidR="00BD0EAD" w:rsidRPr="00BD0EAD" w:rsidRDefault="00BD0EAD" w:rsidP="00BD0EAD">
            <w:pPr>
              <w:spacing w:line="276" w:lineRule="auto"/>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 xml:space="preserve">((“Vitamin D”) OR (“Vitamin D3”)) AND ((prevalence) OR (deficiency)) AND (Bangladesh) AND Children </w:t>
            </w:r>
          </w:p>
          <w:p w14:paraId="565BFA01" w14:textId="77777777" w:rsidR="00BD0EAD" w:rsidRPr="00BD0EAD" w:rsidRDefault="00BD0EAD" w:rsidP="00BD0EAD">
            <w:pPr>
              <w:spacing w:line="276" w:lineRule="auto"/>
              <w:rPr>
                <w:rFonts w:ascii="Times New Roman" w:eastAsia="Times New Roman" w:hAnsi="Times New Roman"/>
                <w:sz w:val="20"/>
                <w:szCs w:val="20"/>
                <w:lang w:bidi="bn-IN"/>
              </w:rPr>
            </w:pPr>
          </w:p>
        </w:tc>
      </w:tr>
      <w:tr w:rsidR="00BD0EAD" w:rsidRPr="00BD0EAD" w14:paraId="3E2AEBA2" w14:textId="77777777" w:rsidTr="00BD0EAD">
        <w:trPr>
          <w:trHeight w:val="2357"/>
        </w:trPr>
        <w:tc>
          <w:tcPr>
            <w:tcW w:w="4316" w:type="dxa"/>
            <w:tcBorders>
              <w:top w:val="nil"/>
              <w:left w:val="nil"/>
              <w:bottom w:val="nil"/>
              <w:right w:val="nil"/>
            </w:tcBorders>
          </w:tcPr>
          <w:p w14:paraId="1A1DD4FA"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 xml:space="preserve"> (“Vitamin D Deficiency”[MeSH]) AND Bangladesh[MeSH] AND Neonates [MeSH] </w:t>
            </w:r>
          </w:p>
          <w:p w14:paraId="05803CD6" w14:textId="77777777" w:rsidR="00BD0EAD" w:rsidRPr="00BD0EAD" w:rsidRDefault="00BD0EAD" w:rsidP="00BD0EAD">
            <w:pPr>
              <w:spacing w:line="276" w:lineRule="auto"/>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D”[MeSH]) AND Bangladesh[MeSH] AND Prevalence [MeSH] AND Children [MeSH]</w:t>
            </w:r>
          </w:p>
          <w:p w14:paraId="23AA9232"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D”[MeSH]) AND Bangladesh[MeSH] AND Neonates [MeSH]</w:t>
            </w:r>
          </w:p>
          <w:p w14:paraId="61B74155" w14:textId="77777777" w:rsidR="00BD0EAD" w:rsidRPr="00BD0EAD" w:rsidRDefault="00BD0EAD" w:rsidP="00BD0EAD">
            <w:pPr>
              <w:spacing w:line="276" w:lineRule="auto"/>
              <w:rPr>
                <w:rFonts w:ascii="Times New Roman" w:eastAsia="Times New Roman" w:hAnsi="Times New Roman"/>
                <w:sz w:val="20"/>
                <w:szCs w:val="20"/>
                <w:lang w:bidi="bn-IN"/>
              </w:rPr>
            </w:pPr>
          </w:p>
        </w:tc>
        <w:tc>
          <w:tcPr>
            <w:tcW w:w="4317" w:type="dxa"/>
            <w:tcBorders>
              <w:top w:val="nil"/>
              <w:left w:val="nil"/>
              <w:bottom w:val="nil"/>
              <w:right w:val="nil"/>
            </w:tcBorders>
            <w:hideMark/>
          </w:tcPr>
          <w:p w14:paraId="4E524A6C" w14:textId="77777777" w:rsidR="00BD0EAD" w:rsidRPr="00782CC6" w:rsidRDefault="00BD0EAD" w:rsidP="00BD0EAD">
            <w:pPr>
              <w:spacing w:line="276" w:lineRule="auto"/>
              <w:textAlignment w:val="baseline"/>
              <w:rPr>
                <w:rFonts w:ascii="Times New Roman" w:eastAsia="Times New Roman" w:hAnsi="Times New Roman"/>
                <w:sz w:val="18"/>
                <w:szCs w:val="18"/>
                <w:lang w:bidi="bn-IN"/>
              </w:rPr>
            </w:pPr>
            <w:r w:rsidRPr="00782CC6">
              <w:rPr>
                <w:rFonts w:ascii="Times New Roman" w:eastAsia="Times New Roman" w:hAnsi="Times New Roman"/>
                <w:sz w:val="18"/>
                <w:szCs w:val="18"/>
                <w:lang w:bidi="bn-IN"/>
              </w:rPr>
              <w:t>(INDEXTERMS(“Vitamin D Deficiency”) AND INDEXTERMS(BANGLADESH) AND INDEXTERMS(Neonates)) OR (TITLE-ABS-KEY(“Vitamin D”) AND TITLE-ABS-KEY(BANGLADESH) AND TITLE-ABS-KEY(Neonates)) OR INDEXTERMS(prevalence)) AND (TITLE-ABS-KEY(“Vitamin D”) AND TITLE-ABS-KEY(BANGLADESH) AND TITLE-ABS-KEY(Neonates))</w:t>
            </w:r>
          </w:p>
        </w:tc>
        <w:tc>
          <w:tcPr>
            <w:tcW w:w="4317" w:type="dxa"/>
            <w:tcBorders>
              <w:top w:val="nil"/>
              <w:left w:val="nil"/>
              <w:bottom w:val="nil"/>
              <w:right w:val="nil"/>
            </w:tcBorders>
          </w:tcPr>
          <w:p w14:paraId="45FDE454" w14:textId="77777777" w:rsidR="00BD0EAD" w:rsidRPr="00BD0EAD" w:rsidRDefault="00BD0EAD" w:rsidP="00BD0EAD">
            <w:pPr>
              <w:spacing w:line="276" w:lineRule="auto"/>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 xml:space="preserve">((“Vitamin D”) OR (“Vitamin D3”)) AND ((prevalence) OR (deficiency)) AND (Bangladesh) AND Newborn </w:t>
            </w:r>
          </w:p>
          <w:p w14:paraId="382D5537" w14:textId="77777777" w:rsidR="00BD0EAD" w:rsidRPr="00BD0EAD" w:rsidRDefault="00BD0EAD" w:rsidP="00BD0EAD">
            <w:pPr>
              <w:spacing w:line="276" w:lineRule="auto"/>
              <w:rPr>
                <w:rFonts w:ascii="Times New Roman" w:eastAsia="Times New Roman" w:hAnsi="Times New Roman"/>
                <w:sz w:val="20"/>
                <w:szCs w:val="20"/>
                <w:lang w:bidi="bn-IN"/>
              </w:rPr>
            </w:pPr>
          </w:p>
        </w:tc>
      </w:tr>
      <w:tr w:rsidR="00BD0EAD" w:rsidRPr="00BD0EAD" w14:paraId="763FEF8A" w14:textId="77777777" w:rsidTr="00BD0EAD">
        <w:trPr>
          <w:trHeight w:val="2357"/>
        </w:trPr>
        <w:tc>
          <w:tcPr>
            <w:tcW w:w="4316" w:type="dxa"/>
            <w:tcBorders>
              <w:top w:val="nil"/>
              <w:left w:val="nil"/>
              <w:bottom w:val="nil"/>
              <w:right w:val="nil"/>
            </w:tcBorders>
          </w:tcPr>
          <w:p w14:paraId="0F9E78BA"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 xml:space="preserve"> (“Vitamin D”[MeSH]) AND Bangladesh[MeSH] AND Prevalence [MeSH] AND Neonates [MeSH]  </w:t>
            </w:r>
          </w:p>
          <w:p w14:paraId="4D8A2700"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 Deficiency”[MeSH]) AND Bangladesh[MeSH] AND Infants[MeSH]</w:t>
            </w:r>
          </w:p>
          <w:p w14:paraId="48070404"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D”[MeSH]) AND Bangladesh[MeSH] AND Infants [MeSH]</w:t>
            </w:r>
          </w:p>
          <w:p w14:paraId="5031DF33"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D”[MeSH]) AND Bangladesh[MeSH] AND Prevalence [MeSH] AND Newborn [MeSH]</w:t>
            </w:r>
          </w:p>
          <w:p w14:paraId="244C87E3"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p>
        </w:tc>
        <w:tc>
          <w:tcPr>
            <w:tcW w:w="4317" w:type="dxa"/>
            <w:tcBorders>
              <w:top w:val="nil"/>
              <w:left w:val="nil"/>
              <w:bottom w:val="nil"/>
              <w:right w:val="nil"/>
            </w:tcBorders>
            <w:hideMark/>
          </w:tcPr>
          <w:p w14:paraId="2705D992" w14:textId="77777777" w:rsidR="00BD0EAD" w:rsidRPr="00782CC6" w:rsidRDefault="00BD0EAD" w:rsidP="00BD0EAD">
            <w:pPr>
              <w:spacing w:line="276" w:lineRule="auto"/>
              <w:rPr>
                <w:rFonts w:cs="Calibri"/>
                <w:sz w:val="18"/>
                <w:szCs w:val="18"/>
              </w:rPr>
            </w:pPr>
            <w:r w:rsidRPr="00782CC6">
              <w:rPr>
                <w:rFonts w:ascii="Times New Roman" w:eastAsia="Times New Roman" w:hAnsi="Times New Roman"/>
                <w:sz w:val="18"/>
                <w:szCs w:val="18"/>
                <w:lang w:bidi="bn-IN"/>
              </w:rPr>
              <w:t>(INDEXTERMS(“Vitamin D Deficiency”) AND INDEXTERMS(BANGLADESH) AND INDEXTERMS(Infants)) OR (TITLE-ABS-KEY(“Vitamin D”) AND TITLE-ABS-KEY(BANGLADESH) AND TITLE-ABS-KEY(Infants)) OR INDEXTERMS(prevalence)) AND (TITLE-ABS-KEY(“Vitamin D”) AND TITLE-ABS-KEY(BANGLADESH) AND TITLE-ABS-KEY(Infants))</w:t>
            </w:r>
          </w:p>
        </w:tc>
        <w:tc>
          <w:tcPr>
            <w:tcW w:w="4317" w:type="dxa"/>
            <w:tcBorders>
              <w:top w:val="nil"/>
              <w:left w:val="nil"/>
              <w:bottom w:val="nil"/>
              <w:right w:val="nil"/>
            </w:tcBorders>
          </w:tcPr>
          <w:p w14:paraId="2678822B" w14:textId="77777777" w:rsidR="00BD0EAD" w:rsidRPr="00BD0EAD" w:rsidRDefault="00BD0EAD" w:rsidP="00BD0EAD">
            <w:pPr>
              <w:spacing w:line="276" w:lineRule="auto"/>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 OR (“Vitamin D3”)) AND ((prevalence) OR (deficiency)) AND (Bangladesh) AND Neonates</w:t>
            </w:r>
          </w:p>
          <w:p w14:paraId="78267413" w14:textId="77777777" w:rsidR="00BD0EAD" w:rsidRPr="00BD0EAD" w:rsidRDefault="00BD0EAD" w:rsidP="00BD0EAD">
            <w:pPr>
              <w:spacing w:line="276" w:lineRule="auto"/>
              <w:rPr>
                <w:rFonts w:ascii="Times New Roman" w:eastAsia="Times New Roman" w:hAnsi="Times New Roman"/>
                <w:sz w:val="20"/>
                <w:szCs w:val="20"/>
                <w:lang w:bidi="bn-IN"/>
              </w:rPr>
            </w:pPr>
          </w:p>
        </w:tc>
      </w:tr>
      <w:tr w:rsidR="00BD0EAD" w:rsidRPr="00BD0EAD" w14:paraId="1813CBE1" w14:textId="77777777" w:rsidTr="00BD0EAD">
        <w:tc>
          <w:tcPr>
            <w:tcW w:w="4316" w:type="dxa"/>
            <w:tcBorders>
              <w:top w:val="nil"/>
              <w:left w:val="nil"/>
              <w:bottom w:val="nil"/>
              <w:right w:val="nil"/>
            </w:tcBorders>
            <w:hideMark/>
          </w:tcPr>
          <w:p w14:paraId="0DD57E0B"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 Deficiency”[MeSH]) AND Bangladesh[MeSH] AND Newborn [MeSH] (“Vitamin D”[MeSH]) AND Bangladesh[MeSH] AND Newborn [MeSH]</w:t>
            </w:r>
          </w:p>
        </w:tc>
        <w:tc>
          <w:tcPr>
            <w:tcW w:w="4317" w:type="dxa"/>
            <w:tcBorders>
              <w:top w:val="nil"/>
              <w:left w:val="nil"/>
              <w:bottom w:val="nil"/>
              <w:right w:val="nil"/>
            </w:tcBorders>
          </w:tcPr>
          <w:p w14:paraId="525117AE" w14:textId="35E12BDC" w:rsidR="00BD0EAD" w:rsidRDefault="00BD0EAD" w:rsidP="00BD0EAD">
            <w:pPr>
              <w:spacing w:line="276" w:lineRule="auto"/>
              <w:rPr>
                <w:rFonts w:ascii="Times New Roman" w:eastAsia="Times New Roman" w:hAnsi="Times New Roman"/>
                <w:sz w:val="18"/>
                <w:szCs w:val="18"/>
                <w:lang w:bidi="bn-IN"/>
              </w:rPr>
            </w:pPr>
            <w:r w:rsidRPr="00782CC6">
              <w:rPr>
                <w:rFonts w:ascii="Times New Roman" w:eastAsia="Times New Roman" w:hAnsi="Times New Roman"/>
                <w:sz w:val="18"/>
                <w:szCs w:val="18"/>
                <w:lang w:bidi="bn-IN"/>
              </w:rPr>
              <w:t>(</w:t>
            </w:r>
            <w:r w:rsidR="0024009B" w:rsidRPr="00782CC6">
              <w:rPr>
                <w:rFonts w:ascii="Times New Roman" w:eastAsia="Times New Roman" w:hAnsi="Times New Roman"/>
                <w:sz w:val="18"/>
                <w:szCs w:val="18"/>
                <w:lang w:bidi="bn-IN"/>
              </w:rPr>
              <w:t>INDEXTERMS (</w:t>
            </w:r>
            <w:r w:rsidRPr="00782CC6">
              <w:rPr>
                <w:rFonts w:ascii="Times New Roman" w:eastAsia="Times New Roman" w:hAnsi="Times New Roman"/>
                <w:sz w:val="18"/>
                <w:szCs w:val="18"/>
                <w:lang w:bidi="bn-IN"/>
              </w:rPr>
              <w:t>“Vitamin D Deficiency”) AND INDEXTERMS(BANGLADESH) AND INDEXTERMS(Pediatrics)) OR (TITLE-ABS-</w:t>
            </w:r>
            <w:r w:rsidR="0024009B" w:rsidRPr="00782CC6">
              <w:rPr>
                <w:rFonts w:ascii="Times New Roman" w:eastAsia="Times New Roman" w:hAnsi="Times New Roman"/>
                <w:sz w:val="18"/>
                <w:szCs w:val="18"/>
                <w:lang w:bidi="bn-IN"/>
              </w:rPr>
              <w:t>KEY (</w:t>
            </w:r>
            <w:r w:rsidRPr="00782CC6">
              <w:rPr>
                <w:rFonts w:ascii="Times New Roman" w:eastAsia="Times New Roman" w:hAnsi="Times New Roman"/>
                <w:sz w:val="18"/>
                <w:szCs w:val="18"/>
                <w:lang w:bidi="bn-IN"/>
              </w:rPr>
              <w:t>“Vitamin D</w:t>
            </w:r>
            <w:r w:rsidR="0024009B" w:rsidRPr="00782CC6">
              <w:rPr>
                <w:rFonts w:ascii="Times New Roman" w:eastAsia="Times New Roman" w:hAnsi="Times New Roman"/>
                <w:sz w:val="18"/>
                <w:szCs w:val="18"/>
                <w:lang w:bidi="bn-IN"/>
              </w:rPr>
              <w:t>”) AND</w:t>
            </w:r>
            <w:r w:rsidRPr="00782CC6">
              <w:rPr>
                <w:rFonts w:ascii="Times New Roman" w:eastAsia="Times New Roman" w:hAnsi="Times New Roman"/>
                <w:sz w:val="18"/>
                <w:szCs w:val="18"/>
                <w:lang w:bidi="bn-IN"/>
              </w:rPr>
              <w:t xml:space="preserve"> TITLE-ABS- KEY(BANGLADESH) AND</w:t>
            </w:r>
          </w:p>
          <w:p w14:paraId="69055091" w14:textId="1DB95B06" w:rsidR="001F27FB" w:rsidRDefault="001F27FB" w:rsidP="00BD0EAD">
            <w:pPr>
              <w:spacing w:line="276" w:lineRule="auto"/>
              <w:rPr>
                <w:rFonts w:ascii="Times New Roman" w:eastAsia="Times New Roman" w:hAnsi="Times New Roman"/>
                <w:sz w:val="18"/>
                <w:szCs w:val="18"/>
                <w:lang w:bidi="bn-IN"/>
              </w:rPr>
            </w:pPr>
          </w:p>
          <w:p w14:paraId="6AE5B29E" w14:textId="09025582" w:rsidR="001F27FB" w:rsidRDefault="001F27FB" w:rsidP="00BD0EAD">
            <w:pPr>
              <w:spacing w:line="276" w:lineRule="auto"/>
              <w:rPr>
                <w:rFonts w:ascii="Times New Roman" w:eastAsia="Times New Roman" w:hAnsi="Times New Roman"/>
                <w:sz w:val="18"/>
                <w:szCs w:val="18"/>
                <w:lang w:bidi="bn-IN"/>
              </w:rPr>
            </w:pPr>
          </w:p>
          <w:p w14:paraId="39970450" w14:textId="77777777" w:rsidR="001F27FB" w:rsidRPr="00782CC6" w:rsidRDefault="001F27FB" w:rsidP="00BD0EAD">
            <w:pPr>
              <w:spacing w:line="276" w:lineRule="auto"/>
              <w:rPr>
                <w:rFonts w:ascii="Times New Roman" w:eastAsia="Times New Roman" w:hAnsi="Times New Roman"/>
                <w:sz w:val="18"/>
                <w:szCs w:val="18"/>
                <w:lang w:bidi="bn-IN"/>
              </w:rPr>
            </w:pPr>
          </w:p>
          <w:p w14:paraId="0C064415" w14:textId="77777777" w:rsidR="00BD0EAD" w:rsidRPr="00782CC6" w:rsidRDefault="00BD0EAD" w:rsidP="00BD0EAD">
            <w:pPr>
              <w:spacing w:line="276" w:lineRule="auto"/>
              <w:rPr>
                <w:rFonts w:ascii="Times New Roman" w:eastAsia="Times New Roman" w:hAnsi="Times New Roman"/>
                <w:sz w:val="18"/>
                <w:szCs w:val="18"/>
              </w:rPr>
            </w:pPr>
          </w:p>
        </w:tc>
        <w:tc>
          <w:tcPr>
            <w:tcW w:w="4317" w:type="dxa"/>
            <w:tcBorders>
              <w:top w:val="nil"/>
              <w:left w:val="nil"/>
              <w:bottom w:val="nil"/>
              <w:right w:val="nil"/>
            </w:tcBorders>
            <w:hideMark/>
          </w:tcPr>
          <w:p w14:paraId="676E933F" w14:textId="77777777" w:rsidR="00BD0EAD" w:rsidRPr="00BD0EAD" w:rsidRDefault="00BD0EAD" w:rsidP="00BD0EAD">
            <w:pPr>
              <w:spacing w:line="276" w:lineRule="auto"/>
              <w:jc w:val="both"/>
              <w:rPr>
                <w:rFonts w:ascii="Times New Roman" w:eastAsia="Times New Roman" w:hAnsi="Times New Roman"/>
                <w:sz w:val="20"/>
                <w:szCs w:val="20"/>
              </w:rPr>
            </w:pPr>
            <w:r w:rsidRPr="00BD0EAD">
              <w:rPr>
                <w:rFonts w:ascii="Times New Roman" w:eastAsia="Times New Roman" w:hAnsi="Times New Roman"/>
                <w:sz w:val="20"/>
                <w:szCs w:val="20"/>
                <w:lang w:bidi="bn-IN"/>
              </w:rPr>
              <w:t>((“Vitamin D”) OR (“Vitamin D3”)) AND ((prevalence) OR (deficiency)) AND (Bangladesh) AND Infants</w:t>
            </w:r>
          </w:p>
        </w:tc>
      </w:tr>
      <w:tr w:rsidR="00BD0EAD" w:rsidRPr="00BD0EAD" w14:paraId="426FD954" w14:textId="77777777" w:rsidTr="00BD0EAD">
        <w:tc>
          <w:tcPr>
            <w:tcW w:w="4316" w:type="dxa"/>
            <w:tcBorders>
              <w:top w:val="nil"/>
              <w:left w:val="nil"/>
              <w:bottom w:val="single" w:sz="4" w:space="0" w:color="auto"/>
              <w:right w:val="nil"/>
            </w:tcBorders>
            <w:hideMark/>
          </w:tcPr>
          <w:p w14:paraId="4A81311B" w14:textId="77777777" w:rsidR="00BD0EAD" w:rsidRPr="00BD0EAD" w:rsidRDefault="00BD0EAD" w:rsidP="00BD0EAD">
            <w:pPr>
              <w:spacing w:line="276" w:lineRule="auto"/>
              <w:jc w:val="both"/>
              <w:rPr>
                <w:rFonts w:ascii="Times New Roman" w:eastAsia="Times New Roman" w:hAnsi="Times New Roman"/>
                <w:b/>
                <w:sz w:val="20"/>
                <w:szCs w:val="20"/>
              </w:rPr>
            </w:pPr>
            <w:r w:rsidRPr="00BD0EAD">
              <w:rPr>
                <w:rFonts w:ascii="Times New Roman" w:eastAsia="Times New Roman" w:hAnsi="Times New Roman"/>
                <w:b/>
                <w:sz w:val="20"/>
                <w:szCs w:val="20"/>
              </w:rPr>
              <w:lastRenderedPageBreak/>
              <w:t>PubMed</w:t>
            </w:r>
          </w:p>
        </w:tc>
        <w:tc>
          <w:tcPr>
            <w:tcW w:w="4317" w:type="dxa"/>
            <w:tcBorders>
              <w:top w:val="nil"/>
              <w:left w:val="nil"/>
              <w:bottom w:val="single" w:sz="4" w:space="0" w:color="auto"/>
              <w:right w:val="nil"/>
            </w:tcBorders>
            <w:hideMark/>
          </w:tcPr>
          <w:p w14:paraId="5945C5C1" w14:textId="77777777" w:rsidR="00BD0EAD" w:rsidRPr="00BD0EAD" w:rsidRDefault="00BD0EAD" w:rsidP="00BD0EAD">
            <w:pPr>
              <w:spacing w:line="276" w:lineRule="auto"/>
              <w:jc w:val="both"/>
              <w:rPr>
                <w:rFonts w:ascii="Times New Roman" w:eastAsia="Times New Roman" w:hAnsi="Times New Roman"/>
                <w:b/>
                <w:sz w:val="20"/>
                <w:szCs w:val="20"/>
              </w:rPr>
            </w:pPr>
            <w:r w:rsidRPr="00BD0EAD">
              <w:rPr>
                <w:rFonts w:ascii="Times New Roman" w:eastAsia="Times New Roman" w:hAnsi="Times New Roman"/>
                <w:b/>
                <w:sz w:val="20"/>
                <w:szCs w:val="20"/>
              </w:rPr>
              <w:t>SCOPUS</w:t>
            </w:r>
          </w:p>
        </w:tc>
        <w:tc>
          <w:tcPr>
            <w:tcW w:w="4317" w:type="dxa"/>
            <w:tcBorders>
              <w:top w:val="nil"/>
              <w:left w:val="nil"/>
              <w:bottom w:val="single" w:sz="4" w:space="0" w:color="auto"/>
              <w:right w:val="nil"/>
            </w:tcBorders>
            <w:hideMark/>
          </w:tcPr>
          <w:p w14:paraId="64C05AFF" w14:textId="77777777" w:rsidR="00BD0EAD" w:rsidRPr="00BD0EAD" w:rsidRDefault="00BD0EAD" w:rsidP="00BD0EAD">
            <w:pPr>
              <w:spacing w:line="276" w:lineRule="auto"/>
              <w:jc w:val="both"/>
              <w:rPr>
                <w:rFonts w:ascii="Times New Roman" w:eastAsia="Times New Roman" w:hAnsi="Times New Roman"/>
                <w:b/>
                <w:sz w:val="20"/>
                <w:szCs w:val="20"/>
              </w:rPr>
            </w:pPr>
            <w:r w:rsidRPr="00BD0EAD">
              <w:rPr>
                <w:rFonts w:ascii="Times New Roman" w:eastAsia="Times New Roman" w:hAnsi="Times New Roman"/>
                <w:b/>
                <w:sz w:val="20"/>
                <w:szCs w:val="20"/>
              </w:rPr>
              <w:t>Google Scholar</w:t>
            </w:r>
          </w:p>
        </w:tc>
      </w:tr>
      <w:tr w:rsidR="00BD0EAD" w:rsidRPr="00BD0EAD" w14:paraId="6B82CB7C" w14:textId="77777777" w:rsidTr="00BD0EAD">
        <w:tc>
          <w:tcPr>
            <w:tcW w:w="4316" w:type="dxa"/>
            <w:tcBorders>
              <w:top w:val="single" w:sz="4" w:space="0" w:color="auto"/>
              <w:left w:val="nil"/>
              <w:bottom w:val="nil"/>
              <w:right w:val="nil"/>
            </w:tcBorders>
          </w:tcPr>
          <w:p w14:paraId="57F14C8C"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 xml:space="preserve"> (“Vitamin D”[MeSH]) AND Bangladesh[MeSH] AND Prevalence [MeSH] AND Pediatrics [MeSH]</w:t>
            </w:r>
          </w:p>
          <w:p w14:paraId="5F127950"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 xml:space="preserve">(“Vitamin D”[MeSH]) AND Bangladesh[MeSH] AND Prevalence [MeSH] AND Adolescents [MeSH]  </w:t>
            </w:r>
          </w:p>
          <w:p w14:paraId="62C4E5D3"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p>
          <w:p w14:paraId="36B1C1D8"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p>
        </w:tc>
        <w:tc>
          <w:tcPr>
            <w:tcW w:w="4317" w:type="dxa"/>
            <w:tcBorders>
              <w:top w:val="single" w:sz="4" w:space="0" w:color="auto"/>
              <w:left w:val="nil"/>
              <w:bottom w:val="nil"/>
              <w:right w:val="nil"/>
            </w:tcBorders>
            <w:hideMark/>
          </w:tcPr>
          <w:p w14:paraId="4C75C301" w14:textId="4E48FCC0" w:rsidR="00BD0EAD" w:rsidRDefault="00BD0EAD" w:rsidP="00BD0EAD">
            <w:pPr>
              <w:spacing w:line="276" w:lineRule="auto"/>
              <w:textAlignment w:val="baseline"/>
              <w:rPr>
                <w:rFonts w:ascii="Times New Roman" w:eastAsia="Times New Roman" w:hAnsi="Times New Roman"/>
                <w:sz w:val="18"/>
                <w:szCs w:val="18"/>
                <w:lang w:bidi="bn-IN"/>
              </w:rPr>
            </w:pPr>
            <w:r w:rsidRPr="00782CC6">
              <w:rPr>
                <w:rFonts w:ascii="Times New Roman" w:eastAsia="Times New Roman" w:hAnsi="Times New Roman"/>
                <w:sz w:val="18"/>
                <w:szCs w:val="18"/>
                <w:lang w:bidi="bn-IN"/>
              </w:rPr>
              <w:t>(INDEXTERMS</w:t>
            </w:r>
            <w:r w:rsidR="00194221">
              <w:rPr>
                <w:rFonts w:ascii="Times New Roman" w:eastAsia="Times New Roman" w:hAnsi="Times New Roman"/>
                <w:sz w:val="18"/>
                <w:szCs w:val="18"/>
                <w:lang w:bidi="bn-IN"/>
              </w:rPr>
              <w:t xml:space="preserve"> </w:t>
            </w:r>
            <w:r w:rsidRPr="00782CC6">
              <w:rPr>
                <w:rFonts w:ascii="Times New Roman" w:eastAsia="Times New Roman" w:hAnsi="Times New Roman"/>
                <w:sz w:val="18"/>
                <w:szCs w:val="18"/>
                <w:lang w:bidi="bn-IN"/>
              </w:rPr>
              <w:t>(“Vitamin D Deficiency”) AND INDEXTERMS(BANGLADESH) AND INDEXTERMS(Pediatrics)) OR (TITLE-ABS-KEY</w:t>
            </w:r>
            <w:r w:rsidR="00194221">
              <w:rPr>
                <w:rFonts w:ascii="Times New Roman" w:eastAsia="Times New Roman" w:hAnsi="Times New Roman"/>
                <w:sz w:val="18"/>
                <w:szCs w:val="18"/>
                <w:lang w:bidi="bn-IN"/>
              </w:rPr>
              <w:t xml:space="preserve"> </w:t>
            </w:r>
            <w:r w:rsidRPr="00782CC6">
              <w:rPr>
                <w:rFonts w:ascii="Times New Roman" w:eastAsia="Times New Roman" w:hAnsi="Times New Roman"/>
                <w:sz w:val="18"/>
                <w:szCs w:val="18"/>
                <w:lang w:bidi="bn-IN"/>
              </w:rPr>
              <w:t>(“Vitamin D”) AND TITLE-ABS-KEY(BANGLADESH) AND TITLE-ABS-KEY(Pediatrics)) OR INDEXTERMS</w:t>
            </w:r>
            <w:r w:rsidR="00194221">
              <w:rPr>
                <w:rFonts w:ascii="Times New Roman" w:eastAsia="Times New Roman" w:hAnsi="Times New Roman"/>
                <w:sz w:val="18"/>
                <w:szCs w:val="18"/>
                <w:lang w:bidi="bn-IN"/>
              </w:rPr>
              <w:t xml:space="preserve"> </w:t>
            </w:r>
            <w:r w:rsidRPr="00782CC6">
              <w:rPr>
                <w:rFonts w:ascii="Times New Roman" w:eastAsia="Times New Roman" w:hAnsi="Times New Roman"/>
                <w:sz w:val="18"/>
                <w:szCs w:val="18"/>
                <w:lang w:bidi="bn-IN"/>
              </w:rPr>
              <w:t>(prevalence)) AND (TITLE-ABS-</w:t>
            </w:r>
            <w:r w:rsidR="0024009B" w:rsidRPr="00782CC6">
              <w:rPr>
                <w:rFonts w:ascii="Times New Roman" w:eastAsia="Times New Roman" w:hAnsi="Times New Roman"/>
                <w:sz w:val="18"/>
                <w:szCs w:val="18"/>
                <w:lang w:bidi="bn-IN"/>
              </w:rPr>
              <w:t>KEY (</w:t>
            </w:r>
            <w:r w:rsidRPr="00782CC6">
              <w:rPr>
                <w:rFonts w:ascii="Times New Roman" w:eastAsia="Times New Roman" w:hAnsi="Times New Roman"/>
                <w:sz w:val="18"/>
                <w:szCs w:val="18"/>
                <w:lang w:bidi="bn-IN"/>
              </w:rPr>
              <w:t>“Vitamin D”) AND TITLE-ABS-KEY(BANGLADESH) AND TITLE-ABS-KEY(Pediatrics))</w:t>
            </w:r>
          </w:p>
          <w:p w14:paraId="5C664E6A" w14:textId="246EDF35" w:rsidR="00782CC6" w:rsidRPr="00782CC6" w:rsidRDefault="00782CC6" w:rsidP="00BD0EAD">
            <w:pPr>
              <w:spacing w:line="276" w:lineRule="auto"/>
              <w:textAlignment w:val="baseline"/>
              <w:rPr>
                <w:rFonts w:ascii="Times New Roman" w:eastAsia="Times New Roman" w:hAnsi="Times New Roman"/>
                <w:sz w:val="18"/>
                <w:szCs w:val="18"/>
                <w:lang w:bidi="bn-IN"/>
              </w:rPr>
            </w:pPr>
          </w:p>
        </w:tc>
        <w:tc>
          <w:tcPr>
            <w:tcW w:w="4317" w:type="dxa"/>
            <w:tcBorders>
              <w:top w:val="single" w:sz="4" w:space="0" w:color="auto"/>
              <w:left w:val="nil"/>
              <w:bottom w:val="nil"/>
              <w:right w:val="nil"/>
            </w:tcBorders>
          </w:tcPr>
          <w:p w14:paraId="5BDB1545" w14:textId="77777777" w:rsidR="00BD0EAD" w:rsidRPr="00BD0EAD" w:rsidRDefault="00BD0EAD" w:rsidP="00BD0EAD">
            <w:pPr>
              <w:spacing w:line="276" w:lineRule="auto"/>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 xml:space="preserve">((“Vitamin D”) OR (“Vitamin D3”)) AND ((prevalence) OR (deficiency)) AND (Bangladesh) AND Pediatrics </w:t>
            </w:r>
          </w:p>
          <w:p w14:paraId="7ECBCCF5" w14:textId="77777777" w:rsidR="00BD0EAD" w:rsidRPr="00BD0EAD" w:rsidRDefault="00BD0EAD" w:rsidP="00BD0EAD">
            <w:pPr>
              <w:spacing w:line="276" w:lineRule="auto"/>
              <w:rPr>
                <w:rFonts w:ascii="Times New Roman" w:eastAsia="Times New Roman" w:hAnsi="Times New Roman"/>
                <w:sz w:val="20"/>
                <w:szCs w:val="20"/>
                <w:lang w:bidi="bn-IN"/>
              </w:rPr>
            </w:pPr>
          </w:p>
        </w:tc>
      </w:tr>
      <w:tr w:rsidR="00BD0EAD" w:rsidRPr="00BD0EAD" w14:paraId="6F053FE1" w14:textId="77777777" w:rsidTr="00BD0EAD">
        <w:tc>
          <w:tcPr>
            <w:tcW w:w="4316" w:type="dxa"/>
            <w:tcBorders>
              <w:top w:val="nil"/>
              <w:left w:val="nil"/>
              <w:bottom w:val="nil"/>
              <w:right w:val="nil"/>
            </w:tcBorders>
          </w:tcPr>
          <w:p w14:paraId="13C55740"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 Deficiency”[MeSH]) AND Bangladesh[MeSH] AND Adolescents [MeSH]</w:t>
            </w:r>
          </w:p>
          <w:p w14:paraId="14B0E7D4"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r w:rsidRPr="00BD0EAD">
              <w:rPr>
                <w:rFonts w:ascii="Times New Roman" w:eastAsia="Times New Roman" w:hAnsi="Times New Roman"/>
                <w:sz w:val="20"/>
                <w:szCs w:val="20"/>
                <w:lang w:bidi="bn-IN"/>
              </w:rPr>
              <w:t>(“Vitamin D”[MeSH]) AND Bangladesh[MeSH] AND Adolescents [MeSH]</w:t>
            </w:r>
          </w:p>
          <w:p w14:paraId="61BA5E9F" w14:textId="77777777" w:rsidR="00BD0EAD" w:rsidRPr="00BD0EAD" w:rsidRDefault="00BD0EAD" w:rsidP="00BD0EAD">
            <w:pPr>
              <w:tabs>
                <w:tab w:val="left" w:pos="1020"/>
              </w:tabs>
              <w:spacing w:after="200" w:line="276" w:lineRule="auto"/>
              <w:rPr>
                <w:rFonts w:ascii="Times New Roman" w:eastAsia="Times New Roman" w:hAnsi="Times New Roman"/>
                <w:sz w:val="20"/>
                <w:szCs w:val="20"/>
              </w:rPr>
            </w:pPr>
          </w:p>
        </w:tc>
        <w:tc>
          <w:tcPr>
            <w:tcW w:w="4317" w:type="dxa"/>
            <w:tcBorders>
              <w:top w:val="nil"/>
              <w:left w:val="nil"/>
              <w:bottom w:val="nil"/>
              <w:right w:val="nil"/>
            </w:tcBorders>
            <w:hideMark/>
          </w:tcPr>
          <w:p w14:paraId="52ADDDE6" w14:textId="77777777" w:rsidR="00BD0EAD" w:rsidRDefault="00BD0EAD" w:rsidP="00BD0EAD">
            <w:pPr>
              <w:spacing w:line="276" w:lineRule="auto"/>
              <w:textAlignment w:val="baseline"/>
              <w:rPr>
                <w:rFonts w:ascii="Times New Roman" w:eastAsia="Times New Roman" w:hAnsi="Times New Roman"/>
                <w:sz w:val="18"/>
                <w:szCs w:val="18"/>
                <w:lang w:bidi="bn-IN"/>
              </w:rPr>
            </w:pPr>
            <w:r w:rsidRPr="00782CC6">
              <w:rPr>
                <w:rFonts w:ascii="Times New Roman" w:eastAsia="Times New Roman" w:hAnsi="Times New Roman"/>
                <w:sz w:val="18"/>
                <w:szCs w:val="18"/>
                <w:lang w:bidi="bn-IN"/>
              </w:rPr>
              <w:t>(INDEXTERMS(“Vitamin D Deficiency”) AND INDEXTERMS(BANGLADESH) AND INDEXTERMS(Newborn)) OR (TITLE-ABS-KEY(“Vitamin D”) AND TITLE-ABS-KEY(BANGLADESH) AND TITLE-ABS-KEY(Newborn)) OR INDEXTERMS(prevalence)) AND (TITLE-ABS-KEY(“Vitamin D”) AND TITLE-ABS-KEY(BANGLADESH) AND TITLE-ABS-KEY(Newborn))</w:t>
            </w:r>
          </w:p>
          <w:p w14:paraId="45CCD2DA" w14:textId="5CC6D388" w:rsidR="00782CC6" w:rsidRPr="00782CC6" w:rsidRDefault="00782CC6" w:rsidP="00BD0EAD">
            <w:pPr>
              <w:spacing w:line="276" w:lineRule="auto"/>
              <w:textAlignment w:val="baseline"/>
              <w:rPr>
                <w:rFonts w:ascii="Times New Roman" w:eastAsia="Times New Roman" w:hAnsi="Times New Roman"/>
                <w:sz w:val="18"/>
                <w:szCs w:val="18"/>
                <w:lang w:bidi="bn-IN"/>
              </w:rPr>
            </w:pPr>
          </w:p>
        </w:tc>
        <w:tc>
          <w:tcPr>
            <w:tcW w:w="4317" w:type="dxa"/>
            <w:tcBorders>
              <w:top w:val="nil"/>
              <w:left w:val="nil"/>
              <w:bottom w:val="nil"/>
              <w:right w:val="nil"/>
            </w:tcBorders>
            <w:hideMark/>
          </w:tcPr>
          <w:p w14:paraId="5DC1CDE9" w14:textId="77777777" w:rsidR="00BD0EAD" w:rsidRPr="00BD0EAD" w:rsidRDefault="00BD0EAD" w:rsidP="00BD0EAD">
            <w:pPr>
              <w:spacing w:line="276" w:lineRule="auto"/>
              <w:jc w:val="both"/>
              <w:rPr>
                <w:rFonts w:ascii="Times New Roman" w:eastAsia="Times New Roman" w:hAnsi="Times New Roman"/>
                <w:sz w:val="20"/>
                <w:szCs w:val="20"/>
              </w:rPr>
            </w:pPr>
            <w:r w:rsidRPr="00BD0EAD">
              <w:rPr>
                <w:rFonts w:ascii="Times New Roman" w:eastAsia="Times New Roman" w:hAnsi="Times New Roman"/>
                <w:sz w:val="20"/>
                <w:szCs w:val="20"/>
                <w:lang w:bidi="bn-IN"/>
              </w:rPr>
              <w:t xml:space="preserve">((“Vitamin D”) OR (“Vitamin D3”)) AND ((prevalence) OR (deficiency)) AND (Bangladesh) AND Adolescents  </w:t>
            </w:r>
          </w:p>
        </w:tc>
      </w:tr>
      <w:tr w:rsidR="00BD0EAD" w:rsidRPr="00BD0EAD" w14:paraId="1D8024AC" w14:textId="77777777" w:rsidTr="00BD0EAD">
        <w:tc>
          <w:tcPr>
            <w:tcW w:w="4316" w:type="dxa"/>
            <w:tcBorders>
              <w:top w:val="nil"/>
              <w:left w:val="nil"/>
              <w:bottom w:val="single" w:sz="4" w:space="0" w:color="auto"/>
              <w:right w:val="nil"/>
            </w:tcBorders>
          </w:tcPr>
          <w:p w14:paraId="37708B95" w14:textId="77777777" w:rsidR="00BD0EAD" w:rsidRPr="00BD0EAD" w:rsidRDefault="00BD0EAD" w:rsidP="00BD0EAD">
            <w:pPr>
              <w:spacing w:line="276" w:lineRule="auto"/>
              <w:textAlignment w:val="baseline"/>
              <w:rPr>
                <w:rFonts w:ascii="Times New Roman" w:eastAsia="Times New Roman" w:hAnsi="Times New Roman"/>
                <w:sz w:val="20"/>
                <w:szCs w:val="20"/>
                <w:lang w:bidi="bn-IN"/>
              </w:rPr>
            </w:pPr>
          </w:p>
        </w:tc>
        <w:tc>
          <w:tcPr>
            <w:tcW w:w="4317" w:type="dxa"/>
            <w:tcBorders>
              <w:top w:val="nil"/>
              <w:left w:val="nil"/>
              <w:bottom w:val="single" w:sz="4" w:space="0" w:color="auto"/>
              <w:right w:val="nil"/>
            </w:tcBorders>
            <w:hideMark/>
          </w:tcPr>
          <w:p w14:paraId="73A79BE2" w14:textId="77777777" w:rsidR="00BD0EAD" w:rsidRPr="00782CC6" w:rsidRDefault="00BD0EAD" w:rsidP="00BD0EAD">
            <w:pPr>
              <w:spacing w:line="276" w:lineRule="auto"/>
              <w:textAlignment w:val="baseline"/>
              <w:rPr>
                <w:rFonts w:ascii="Times New Roman" w:eastAsia="Times New Roman" w:hAnsi="Times New Roman"/>
                <w:sz w:val="18"/>
                <w:szCs w:val="18"/>
                <w:lang w:bidi="bn-IN"/>
              </w:rPr>
            </w:pPr>
            <w:r w:rsidRPr="00782CC6">
              <w:rPr>
                <w:rFonts w:ascii="Times New Roman" w:eastAsia="Times New Roman" w:hAnsi="Times New Roman"/>
                <w:sz w:val="18"/>
                <w:szCs w:val="18"/>
                <w:lang w:bidi="bn-IN"/>
              </w:rPr>
              <w:t>(INDEXTERMS(“Vitamin D Deficiency”) AND INDEXTERMS(BANGLADESH) AND INDEXTERMS(Adolescents)) OR (TITLE-ABS-KEY(“Vitamin D”) AND TITLE-ABS-KEY(BANGLADESH) AND TITLE-ABS-KEY(Adolescents)) OR INDEXTERMS(prevalence)) AND (TITLE-ABS-KEY(“Vitamin D”) AND TITLE-ABS-KEY(BANGLADESH) AND TITLE-ABS-KEY(Adolescents))</w:t>
            </w:r>
          </w:p>
        </w:tc>
        <w:tc>
          <w:tcPr>
            <w:tcW w:w="4317" w:type="dxa"/>
            <w:tcBorders>
              <w:top w:val="nil"/>
              <w:left w:val="nil"/>
              <w:bottom w:val="single" w:sz="4" w:space="0" w:color="auto"/>
              <w:right w:val="nil"/>
            </w:tcBorders>
          </w:tcPr>
          <w:p w14:paraId="00141542" w14:textId="77777777" w:rsidR="00BD0EAD" w:rsidRPr="00BD0EAD" w:rsidRDefault="00BD0EAD" w:rsidP="00BD0EAD">
            <w:pPr>
              <w:spacing w:line="276" w:lineRule="auto"/>
              <w:rPr>
                <w:rFonts w:ascii="Times New Roman" w:eastAsia="Times New Roman" w:hAnsi="Times New Roman"/>
                <w:sz w:val="20"/>
                <w:szCs w:val="20"/>
                <w:lang w:bidi="bn-IN"/>
              </w:rPr>
            </w:pPr>
          </w:p>
        </w:tc>
      </w:tr>
    </w:tbl>
    <w:p w14:paraId="580BADF4" w14:textId="77777777" w:rsidR="00BD0EAD" w:rsidRPr="00BD0EAD" w:rsidRDefault="00BD0EAD" w:rsidP="00BD0EAD">
      <w:pPr>
        <w:spacing w:after="200" w:line="276" w:lineRule="auto"/>
        <w:jc w:val="both"/>
        <w:rPr>
          <w:rFonts w:ascii="Times New Roman" w:eastAsia="Times New Roman" w:hAnsi="Times New Roman" w:cs="Times New Roman"/>
          <w:sz w:val="20"/>
          <w:szCs w:val="20"/>
          <w:lang w:val="en-GB" w:bidi="bn-IN"/>
        </w:rPr>
      </w:pPr>
    </w:p>
    <w:p w14:paraId="28BD68CD" w14:textId="225B76D4" w:rsidR="00BD0EAD" w:rsidRPr="00BD0EAD" w:rsidRDefault="00BD0EAD" w:rsidP="004D28C6">
      <w:pPr>
        <w:spacing w:after="200" w:line="276" w:lineRule="auto"/>
        <w:jc w:val="both"/>
        <w:rPr>
          <w:rFonts w:ascii="Times New Roman" w:eastAsia="Times New Roman" w:hAnsi="Times New Roman" w:cs="Times New Roman"/>
          <w:b/>
          <w:sz w:val="20"/>
          <w:szCs w:val="20"/>
          <w:lang w:val="en-GB" w:bidi="bn-IN"/>
        </w:rPr>
        <w:sectPr w:rsidR="00BD0EAD" w:rsidRPr="00BD0EAD">
          <w:pgSz w:w="15840" w:h="12240" w:orient="landscape"/>
          <w:pgMar w:top="720" w:right="821" w:bottom="720" w:left="720" w:header="720" w:footer="720" w:gutter="0"/>
          <w:cols w:space="720"/>
        </w:sectPr>
      </w:pPr>
      <w:r w:rsidRPr="00BD0EAD">
        <w:rPr>
          <w:rFonts w:ascii="Times New Roman" w:eastAsia="Times New Roman" w:hAnsi="Times New Roman" w:cs="Times New Roman"/>
          <w:b/>
          <w:sz w:val="20"/>
          <w:szCs w:val="20"/>
          <w:lang w:val="en-GB" w:bidi="bn-IN"/>
        </w:rPr>
        <w:t>By replacing the country name (</w:t>
      </w:r>
      <w:r w:rsidR="004D28C6" w:rsidRPr="00BD0EAD">
        <w:rPr>
          <w:rFonts w:ascii="Times New Roman" w:eastAsia="Times New Roman" w:hAnsi="Times New Roman" w:cs="Times New Roman"/>
          <w:b/>
          <w:sz w:val="20"/>
          <w:szCs w:val="20"/>
          <w:lang w:val="en-GB" w:bidi="bn-IN"/>
        </w:rPr>
        <w:t>e.g.,</w:t>
      </w:r>
      <w:r w:rsidRPr="00BD0EAD">
        <w:rPr>
          <w:rFonts w:ascii="Times New Roman" w:eastAsia="Times New Roman" w:hAnsi="Times New Roman" w:cs="Times New Roman"/>
          <w:b/>
          <w:sz w:val="20"/>
          <w:szCs w:val="20"/>
          <w:lang w:val="en-GB" w:bidi="bn-IN"/>
        </w:rPr>
        <w:t xml:space="preserve"> India, Pakistan Sri Lanka etc.) same types of search terms </w:t>
      </w:r>
      <w:r w:rsidR="004D28C6" w:rsidRPr="00BD0EAD">
        <w:rPr>
          <w:rFonts w:ascii="Times New Roman" w:eastAsia="Times New Roman" w:hAnsi="Times New Roman" w:cs="Times New Roman"/>
          <w:b/>
          <w:sz w:val="20"/>
          <w:szCs w:val="20"/>
          <w:lang w:val="en-GB" w:bidi="bn-IN"/>
        </w:rPr>
        <w:t>were</w:t>
      </w:r>
      <w:r w:rsidRPr="00BD0EAD">
        <w:rPr>
          <w:rFonts w:ascii="Times New Roman" w:eastAsia="Times New Roman" w:hAnsi="Times New Roman" w:cs="Times New Roman"/>
          <w:b/>
          <w:sz w:val="20"/>
          <w:szCs w:val="20"/>
          <w:lang w:val="en-GB" w:bidi="bn-IN"/>
        </w:rPr>
        <w:t xml:space="preserve"> used for seven other South Asian countries to complete the search procedures.</w:t>
      </w:r>
    </w:p>
    <w:p w14:paraId="056A4017" w14:textId="7C25174E" w:rsidR="00BD0EAD" w:rsidRPr="0024009B" w:rsidRDefault="00A47688" w:rsidP="00BD0EAD">
      <w:pPr>
        <w:spacing w:after="200" w:line="276" w:lineRule="auto"/>
        <w:jc w:val="both"/>
        <w:rPr>
          <w:rFonts w:ascii="Times New Roman" w:eastAsia="Calibri" w:hAnsi="Times New Roman" w:cs="Times New Roman"/>
          <w:b/>
          <w:sz w:val="24"/>
          <w:szCs w:val="24"/>
          <w:lang w:val="en-GB"/>
        </w:rPr>
      </w:pPr>
      <w:r w:rsidRPr="0024009B">
        <w:rPr>
          <w:rFonts w:ascii="Times New Roman" w:eastAsia="Calibri" w:hAnsi="Times New Roman" w:cs="Times New Roman"/>
          <w:b/>
          <w:sz w:val="24"/>
          <w:szCs w:val="24"/>
          <w:lang w:val="en-GB"/>
        </w:rPr>
        <w:lastRenderedPageBreak/>
        <w:t>Table S</w:t>
      </w:r>
      <w:r w:rsidR="004D28C6" w:rsidRPr="0024009B">
        <w:rPr>
          <w:rFonts w:ascii="Times New Roman" w:eastAsia="Calibri" w:hAnsi="Times New Roman" w:cs="Times New Roman"/>
          <w:b/>
          <w:sz w:val="24"/>
          <w:szCs w:val="24"/>
          <w:lang w:val="en-GB"/>
        </w:rPr>
        <w:t>2</w:t>
      </w:r>
      <w:r w:rsidRPr="0024009B">
        <w:rPr>
          <w:rFonts w:ascii="Times New Roman" w:eastAsia="Calibri" w:hAnsi="Times New Roman" w:cs="Times New Roman"/>
          <w:b/>
          <w:sz w:val="24"/>
          <w:szCs w:val="24"/>
          <w:lang w:val="en-GB"/>
        </w:rPr>
        <w:t xml:space="preserve">: </w:t>
      </w:r>
      <w:r w:rsidRPr="0024009B">
        <w:rPr>
          <w:rFonts w:ascii="Times New Roman" w:eastAsia="Calibri" w:hAnsi="Times New Roman" w:cs="Times New Roman"/>
          <w:sz w:val="24"/>
          <w:szCs w:val="24"/>
          <w:lang w:val="en-GB"/>
        </w:rPr>
        <w:t>Quality assessment of selected studies (Q1, Q2, Q3……Q10 denotes ten parameters described by Hoy et al for-quality assessment)</w:t>
      </w:r>
    </w:p>
    <w:tbl>
      <w:tblPr>
        <w:tblStyle w:val="TableGrid"/>
        <w:tblpPr w:leftFromText="180" w:rightFromText="180" w:vertAnchor="page" w:horzAnchor="margin" w:tblpY="2206"/>
        <w:tblW w:w="9630" w:type="dxa"/>
        <w:tblInd w:w="0" w:type="dxa"/>
        <w:tblBorders>
          <w:insideH w:val="none" w:sz="0" w:space="0" w:color="auto"/>
          <w:insideV w:val="none" w:sz="0" w:space="0" w:color="auto"/>
        </w:tblBorders>
        <w:tblLayout w:type="fixed"/>
        <w:tblLook w:val="04A0" w:firstRow="1" w:lastRow="0" w:firstColumn="1" w:lastColumn="0" w:noHBand="0" w:noVBand="1"/>
      </w:tblPr>
      <w:tblGrid>
        <w:gridCol w:w="2163"/>
        <w:gridCol w:w="539"/>
        <w:gridCol w:w="539"/>
        <w:gridCol w:w="540"/>
        <w:gridCol w:w="540"/>
        <w:gridCol w:w="540"/>
        <w:gridCol w:w="540"/>
        <w:gridCol w:w="540"/>
        <w:gridCol w:w="540"/>
        <w:gridCol w:w="540"/>
        <w:gridCol w:w="630"/>
        <w:gridCol w:w="810"/>
        <w:gridCol w:w="1169"/>
      </w:tblGrid>
      <w:tr w:rsidR="00BD0EAD" w:rsidRPr="00BD0EAD" w14:paraId="091A5FC7" w14:textId="77777777" w:rsidTr="00A47688">
        <w:tc>
          <w:tcPr>
            <w:tcW w:w="2163" w:type="dxa"/>
            <w:tcBorders>
              <w:top w:val="single" w:sz="4" w:space="0" w:color="auto"/>
              <w:left w:val="single" w:sz="4" w:space="0" w:color="auto"/>
              <w:bottom w:val="single" w:sz="4" w:space="0" w:color="auto"/>
              <w:right w:val="nil"/>
            </w:tcBorders>
            <w:hideMark/>
          </w:tcPr>
          <w:p w14:paraId="58296DFF"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b/>
                <w:sz w:val="20"/>
                <w:szCs w:val="20"/>
              </w:rPr>
              <w:t>Authors</w:t>
            </w:r>
          </w:p>
        </w:tc>
        <w:tc>
          <w:tcPr>
            <w:tcW w:w="539" w:type="dxa"/>
            <w:tcBorders>
              <w:top w:val="single" w:sz="4" w:space="0" w:color="auto"/>
              <w:left w:val="nil"/>
              <w:bottom w:val="single" w:sz="4" w:space="0" w:color="auto"/>
              <w:right w:val="nil"/>
            </w:tcBorders>
            <w:hideMark/>
          </w:tcPr>
          <w:p w14:paraId="486DBFF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Q1</w:t>
            </w:r>
          </w:p>
        </w:tc>
        <w:tc>
          <w:tcPr>
            <w:tcW w:w="539" w:type="dxa"/>
            <w:tcBorders>
              <w:top w:val="single" w:sz="4" w:space="0" w:color="auto"/>
              <w:left w:val="nil"/>
              <w:bottom w:val="single" w:sz="4" w:space="0" w:color="auto"/>
              <w:right w:val="nil"/>
            </w:tcBorders>
            <w:hideMark/>
          </w:tcPr>
          <w:p w14:paraId="3569D83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Q2</w:t>
            </w:r>
          </w:p>
        </w:tc>
        <w:tc>
          <w:tcPr>
            <w:tcW w:w="540" w:type="dxa"/>
            <w:tcBorders>
              <w:top w:val="single" w:sz="4" w:space="0" w:color="auto"/>
              <w:left w:val="nil"/>
              <w:bottom w:val="single" w:sz="4" w:space="0" w:color="auto"/>
              <w:right w:val="nil"/>
            </w:tcBorders>
            <w:hideMark/>
          </w:tcPr>
          <w:p w14:paraId="3897C6D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Q3</w:t>
            </w:r>
          </w:p>
        </w:tc>
        <w:tc>
          <w:tcPr>
            <w:tcW w:w="540" w:type="dxa"/>
            <w:tcBorders>
              <w:top w:val="single" w:sz="4" w:space="0" w:color="auto"/>
              <w:left w:val="nil"/>
              <w:bottom w:val="single" w:sz="4" w:space="0" w:color="auto"/>
              <w:right w:val="nil"/>
            </w:tcBorders>
            <w:hideMark/>
          </w:tcPr>
          <w:p w14:paraId="31B4D7D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Q4</w:t>
            </w:r>
          </w:p>
        </w:tc>
        <w:tc>
          <w:tcPr>
            <w:tcW w:w="540" w:type="dxa"/>
            <w:tcBorders>
              <w:top w:val="single" w:sz="4" w:space="0" w:color="auto"/>
              <w:left w:val="nil"/>
              <w:bottom w:val="single" w:sz="4" w:space="0" w:color="auto"/>
              <w:right w:val="nil"/>
            </w:tcBorders>
            <w:hideMark/>
          </w:tcPr>
          <w:p w14:paraId="01C8240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Q5</w:t>
            </w:r>
          </w:p>
        </w:tc>
        <w:tc>
          <w:tcPr>
            <w:tcW w:w="540" w:type="dxa"/>
            <w:tcBorders>
              <w:top w:val="single" w:sz="4" w:space="0" w:color="auto"/>
              <w:left w:val="nil"/>
              <w:bottom w:val="single" w:sz="4" w:space="0" w:color="auto"/>
              <w:right w:val="nil"/>
            </w:tcBorders>
            <w:hideMark/>
          </w:tcPr>
          <w:p w14:paraId="7619DAE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Q6</w:t>
            </w:r>
          </w:p>
        </w:tc>
        <w:tc>
          <w:tcPr>
            <w:tcW w:w="540" w:type="dxa"/>
            <w:tcBorders>
              <w:top w:val="single" w:sz="4" w:space="0" w:color="auto"/>
              <w:left w:val="nil"/>
              <w:bottom w:val="single" w:sz="4" w:space="0" w:color="auto"/>
              <w:right w:val="nil"/>
            </w:tcBorders>
            <w:hideMark/>
          </w:tcPr>
          <w:p w14:paraId="58EEE37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Q7</w:t>
            </w:r>
          </w:p>
        </w:tc>
        <w:tc>
          <w:tcPr>
            <w:tcW w:w="540" w:type="dxa"/>
            <w:tcBorders>
              <w:top w:val="single" w:sz="4" w:space="0" w:color="auto"/>
              <w:left w:val="nil"/>
              <w:bottom w:val="single" w:sz="4" w:space="0" w:color="auto"/>
              <w:right w:val="nil"/>
            </w:tcBorders>
            <w:hideMark/>
          </w:tcPr>
          <w:p w14:paraId="5F9A765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Q8</w:t>
            </w:r>
          </w:p>
        </w:tc>
        <w:tc>
          <w:tcPr>
            <w:tcW w:w="540" w:type="dxa"/>
            <w:tcBorders>
              <w:top w:val="single" w:sz="4" w:space="0" w:color="auto"/>
              <w:left w:val="nil"/>
              <w:bottom w:val="single" w:sz="4" w:space="0" w:color="auto"/>
              <w:right w:val="nil"/>
            </w:tcBorders>
            <w:hideMark/>
          </w:tcPr>
          <w:p w14:paraId="43BB0DC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Q9</w:t>
            </w:r>
          </w:p>
        </w:tc>
        <w:tc>
          <w:tcPr>
            <w:tcW w:w="630" w:type="dxa"/>
            <w:tcBorders>
              <w:top w:val="single" w:sz="4" w:space="0" w:color="auto"/>
              <w:left w:val="nil"/>
              <w:bottom w:val="single" w:sz="4" w:space="0" w:color="auto"/>
              <w:right w:val="nil"/>
            </w:tcBorders>
            <w:hideMark/>
          </w:tcPr>
          <w:p w14:paraId="7A0D204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Q10</w:t>
            </w:r>
          </w:p>
        </w:tc>
        <w:tc>
          <w:tcPr>
            <w:tcW w:w="810" w:type="dxa"/>
            <w:tcBorders>
              <w:top w:val="single" w:sz="4" w:space="0" w:color="auto"/>
              <w:left w:val="nil"/>
              <w:bottom w:val="single" w:sz="4" w:space="0" w:color="auto"/>
              <w:right w:val="nil"/>
            </w:tcBorders>
            <w:hideMark/>
          </w:tcPr>
          <w:p w14:paraId="649D17F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Total score</w:t>
            </w:r>
          </w:p>
        </w:tc>
        <w:tc>
          <w:tcPr>
            <w:tcW w:w="1169" w:type="dxa"/>
            <w:tcBorders>
              <w:top w:val="single" w:sz="4" w:space="0" w:color="auto"/>
              <w:left w:val="nil"/>
              <w:bottom w:val="single" w:sz="4" w:space="0" w:color="auto"/>
              <w:right w:val="single" w:sz="4" w:space="0" w:color="auto"/>
            </w:tcBorders>
            <w:hideMark/>
          </w:tcPr>
          <w:p w14:paraId="79AD517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Quality</w:t>
            </w:r>
          </w:p>
        </w:tc>
      </w:tr>
      <w:tr w:rsidR="00BD0EAD" w:rsidRPr="00BD0EAD" w14:paraId="0D4F4C2B" w14:textId="77777777" w:rsidTr="00A47688">
        <w:tc>
          <w:tcPr>
            <w:tcW w:w="2163" w:type="dxa"/>
            <w:tcBorders>
              <w:top w:val="single" w:sz="4" w:space="0" w:color="auto"/>
              <w:left w:val="single" w:sz="4" w:space="0" w:color="auto"/>
              <w:bottom w:val="nil"/>
              <w:right w:val="nil"/>
            </w:tcBorders>
            <w:hideMark/>
          </w:tcPr>
          <w:p w14:paraId="53D9155B"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Marwaha et al</w:t>
            </w:r>
            <w:r w:rsidRPr="00BD0EAD">
              <w:rPr>
                <w:rFonts w:ascii="Times New Roman" w:hAnsi="Times New Roman"/>
                <w:sz w:val="20"/>
                <w:szCs w:val="20"/>
              </w:rPr>
              <w:t xml:space="preserve"> (26)</w:t>
            </w:r>
          </w:p>
        </w:tc>
        <w:tc>
          <w:tcPr>
            <w:tcW w:w="539" w:type="dxa"/>
            <w:tcBorders>
              <w:top w:val="single" w:sz="4" w:space="0" w:color="auto"/>
              <w:left w:val="nil"/>
              <w:bottom w:val="nil"/>
              <w:right w:val="nil"/>
            </w:tcBorders>
            <w:hideMark/>
          </w:tcPr>
          <w:p w14:paraId="4A15298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single" w:sz="4" w:space="0" w:color="auto"/>
              <w:left w:val="nil"/>
              <w:bottom w:val="nil"/>
              <w:right w:val="nil"/>
            </w:tcBorders>
            <w:hideMark/>
          </w:tcPr>
          <w:p w14:paraId="28E65E2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single" w:sz="4" w:space="0" w:color="auto"/>
              <w:left w:val="nil"/>
              <w:bottom w:val="nil"/>
              <w:right w:val="nil"/>
            </w:tcBorders>
            <w:hideMark/>
          </w:tcPr>
          <w:p w14:paraId="28B7F18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single" w:sz="4" w:space="0" w:color="auto"/>
              <w:left w:val="nil"/>
              <w:bottom w:val="nil"/>
              <w:right w:val="nil"/>
            </w:tcBorders>
            <w:hideMark/>
          </w:tcPr>
          <w:p w14:paraId="33B9108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single" w:sz="4" w:space="0" w:color="auto"/>
              <w:left w:val="nil"/>
              <w:bottom w:val="nil"/>
              <w:right w:val="nil"/>
            </w:tcBorders>
            <w:hideMark/>
          </w:tcPr>
          <w:p w14:paraId="5DBBA7A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single" w:sz="4" w:space="0" w:color="auto"/>
              <w:left w:val="nil"/>
              <w:bottom w:val="nil"/>
              <w:right w:val="nil"/>
            </w:tcBorders>
            <w:hideMark/>
          </w:tcPr>
          <w:p w14:paraId="031C0D7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single" w:sz="4" w:space="0" w:color="auto"/>
              <w:left w:val="nil"/>
              <w:bottom w:val="nil"/>
              <w:right w:val="nil"/>
            </w:tcBorders>
            <w:hideMark/>
          </w:tcPr>
          <w:p w14:paraId="663C2BA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single" w:sz="4" w:space="0" w:color="auto"/>
              <w:left w:val="nil"/>
              <w:bottom w:val="nil"/>
              <w:right w:val="nil"/>
            </w:tcBorders>
            <w:hideMark/>
          </w:tcPr>
          <w:p w14:paraId="2D634E5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single" w:sz="4" w:space="0" w:color="auto"/>
              <w:left w:val="nil"/>
              <w:bottom w:val="nil"/>
              <w:right w:val="nil"/>
            </w:tcBorders>
            <w:hideMark/>
          </w:tcPr>
          <w:p w14:paraId="55C1DBB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single" w:sz="4" w:space="0" w:color="auto"/>
              <w:left w:val="nil"/>
              <w:bottom w:val="nil"/>
              <w:right w:val="nil"/>
            </w:tcBorders>
            <w:hideMark/>
          </w:tcPr>
          <w:p w14:paraId="0917C3F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single" w:sz="4" w:space="0" w:color="auto"/>
              <w:left w:val="nil"/>
              <w:bottom w:val="nil"/>
              <w:right w:val="nil"/>
            </w:tcBorders>
            <w:hideMark/>
          </w:tcPr>
          <w:p w14:paraId="6FC5C08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single" w:sz="4" w:space="0" w:color="auto"/>
              <w:left w:val="nil"/>
              <w:bottom w:val="nil"/>
              <w:right w:val="single" w:sz="4" w:space="0" w:color="auto"/>
            </w:tcBorders>
            <w:hideMark/>
          </w:tcPr>
          <w:p w14:paraId="1079020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28A74CD6" w14:textId="77777777" w:rsidTr="00A47688">
        <w:tc>
          <w:tcPr>
            <w:tcW w:w="2163" w:type="dxa"/>
            <w:tcBorders>
              <w:top w:val="nil"/>
              <w:left w:val="single" w:sz="4" w:space="0" w:color="auto"/>
              <w:bottom w:val="nil"/>
              <w:right w:val="nil"/>
            </w:tcBorders>
            <w:hideMark/>
          </w:tcPr>
          <w:p w14:paraId="3629B2A3"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Sahu</w:t>
            </w:r>
            <w:proofErr w:type="spellEnd"/>
            <w:r w:rsidRPr="00BD0EAD">
              <w:rPr>
                <w:rFonts w:ascii="Times New Roman" w:eastAsia="Times New Roman" w:hAnsi="Times New Roman"/>
                <w:color w:val="000000"/>
                <w:sz w:val="20"/>
                <w:szCs w:val="20"/>
              </w:rPr>
              <w:t xml:space="preserve"> et al </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{"citationItems":[{"id":"ITEM-1","itemData":{"DOI":"10.1111/j.1365-2265.2008.03360.x","ISSN":"03000664","abstract":"Context Vitamin D deficiency is common in urban Indians despite living in the tropics and its public health consequences are enormous. However, 70% of India is rural, and data from rural subjects, who are expected to have good sun exposure, are scant. Objectives To determine the population prevalence of vitamin D deficiency in rural pregnant women and adolescent girls, compare serum 25-hydroxyvitamin D (25OHD) status in adolescent boys from the same families, and determine seasonal differences in serum 25OHD. Design A cross-sectional study conducted over 18 months. Subjects A random selection of 121 adolescent girls from a survey of a population of 8270 in a rural low socioeconomic community; 139 pregnant women in the second trimester; and a subset of 28 adolescent girls compared with 34 brothers. Measurements Serum 25OHD, serum alkaline phosphatase (AP), sun exposure, and dietary calcium intake. Results The age-adjusted community prevalence of vitamin D deficiency (25OHD &lt; 50 nmol/l) in adolescent girls was 88·6%. Seventy-four per cent of pregnant women had vitamin D deficiency. Mean ± SD 25OHD in girls and women in summer was 55·5 ± 19·8 nmol/l compared to 27·3 ± 12·3 nmol/l in winter (P &lt; 0·001). Winter serum 25OHD in boys (67·5 ± 29·0 nmol/l) was higher than that in their sisters (31·3 ± 13·5 nmol/l, P &lt; 0·001). Conclusion We report a high prevalence of vitamin D deficiency among pregnant women and adolescent girls from a rural Indian community. Boys are relatively protected. Seasonal variation in serum 25OHD is significant at latitude 26° N. © 2009 Blackwell Publishing Ltd.","author":[{"dropping-particle":"","family":"Sahu","given":"Monashis","non-dropping-particle":"","parse-names":false,"suffix":""},{"dropping-particle":"","family":"Bhatia","given":"Vijayalakshmi","non-dropping-particle":"","parse-names":false,"suffix":""},{"dropping-particle":"","family":"Aggarwal","given":"Anjoo","non-dropping-particle":"","parse-names":false,"suffix":""},{"dropping-particle":"","family":"Rawat","given":"Vinita","non-dropping-particle":"","parse-names":false,"suffix":""},{"dropping-particle":"","family":"Saxena","given":"Priya","non-dropping-particle":"","parse-names":false,"suffix":""},{"dropping-particle":"","family":"Pandey","given":"Amita","non-dropping-particle":"","parse-names":false,"suffix":""},{"dropping-particle":"","family":"Das","given":"Vinita","non-dropping-particle":"","parse-names":false,"suffix":""}],"container-title":"Clinical Endocrinology","id":"ITEM-1","issue":"5","issued":{"date-parts":[["2009"]]},"page":"680-684","title":"Vitamin D deficiency in rural girls and pregnant women despite abundant sunshine in northern India","type":"article-journal","volume":"70"},"uris":["http://www.mendeley.com/documents/?uuid=abe2e698-869b-4b94-808e-3b4061ca519a"]}],"mendeley":{"formattedCitation":"(4)","plainTextFormattedCitation":"(4)","previouslyFormattedCitation":"(4)"},"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(27)</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78B6E6B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1BBDC99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AEC11F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D79A4E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EB7A43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62355E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24A25D4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3E20E2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2464E2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630" w:type="dxa"/>
            <w:tcBorders>
              <w:top w:val="nil"/>
              <w:left w:val="nil"/>
              <w:bottom w:val="nil"/>
              <w:right w:val="nil"/>
            </w:tcBorders>
            <w:hideMark/>
          </w:tcPr>
          <w:p w14:paraId="2E301EE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071E78B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2</w:t>
            </w:r>
          </w:p>
        </w:tc>
        <w:tc>
          <w:tcPr>
            <w:tcW w:w="1169" w:type="dxa"/>
            <w:tcBorders>
              <w:top w:val="nil"/>
              <w:left w:val="nil"/>
              <w:bottom w:val="nil"/>
              <w:right w:val="single" w:sz="4" w:space="0" w:color="auto"/>
            </w:tcBorders>
            <w:hideMark/>
          </w:tcPr>
          <w:p w14:paraId="370A7E9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5E81FE31" w14:textId="77777777" w:rsidTr="00A47688">
        <w:tc>
          <w:tcPr>
            <w:tcW w:w="2163" w:type="dxa"/>
            <w:tcBorders>
              <w:top w:val="nil"/>
              <w:left w:val="single" w:sz="4" w:space="0" w:color="auto"/>
              <w:bottom w:val="nil"/>
              <w:right w:val="nil"/>
            </w:tcBorders>
            <w:hideMark/>
          </w:tcPr>
          <w:p w14:paraId="353B6963"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Mandlik</w:t>
            </w:r>
            <w:proofErr w:type="spellEnd"/>
            <w:r w:rsidRPr="00BD0EAD">
              <w:rPr>
                <w:rFonts w:ascii="Times New Roman" w:eastAsia="Times New Roman" w:hAnsi="Times New Roman"/>
                <w:color w:val="000000"/>
                <w:sz w:val="20"/>
                <w:szCs w:val="20"/>
              </w:rPr>
              <w:t xml:space="preserve">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10.4103/ijem.ijem_622_17","ISSN":"2230-8210","author":[{"dropping-particle":"","family":"Mandlik","given":"Rubina","non-dropping-particle":"","parse-names":false,"suffix":""},{"dropping-particle":"","family":"Kajale","given":"Neha","non-dropping-particle":"","parse-names":false,"suffix":""},{"dropping-particle":"","family":"Ekbote","given":"Veena","non-dropping-particle":"","parse-names":false,"suffix":""},{"dropping-particle":"","family":"Patwardhan","given":"Vivek","non-dropping-particle":"","parse-names":false,"suffix":""},{"dropping-particle":"","family":"Khadilkar","given":"Vaman","non-dropping-particle":"","parse-names":false,"suffix":""},{"dropping-particle":"","family":"Chiplonkar","given":"Shashi","non-dropping-particle":"","parse-names":false,"suffix":""},{"dropping-particle":"","family":"Khadilkar","given":"Anuradha","non-dropping-particle":"","parse-names":false,"suffix":""}],"container-title":"Indian Journal of Endocrinology and Metabolism","id":"ITEM-1","issue":"2","issued":{"date-parts":[["2018"]]},"page":"244","publisher":"Medknow","title":"Determinants of Vitamin D status in Indian school-children","type":"article-journal","volume":"22"},"uris":["http://www.mendeley.com/documents/?uuid=8a8e85ec-1b5b-380f-ba9e-75c4e4760ed1"]}],"mendeley":{"formattedCitation":"(5)","plainTextFormattedCitation":"(5)","previouslyFormattedCitation":"(5)"},"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(28)</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4346C4E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0CFD4FE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CF007C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F67E8A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05492A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78AD78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47C0F9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670009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1D41CD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0163388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567D47E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2</w:t>
            </w:r>
          </w:p>
        </w:tc>
        <w:tc>
          <w:tcPr>
            <w:tcW w:w="1169" w:type="dxa"/>
            <w:tcBorders>
              <w:top w:val="nil"/>
              <w:left w:val="nil"/>
              <w:bottom w:val="nil"/>
              <w:right w:val="single" w:sz="4" w:space="0" w:color="auto"/>
            </w:tcBorders>
            <w:hideMark/>
          </w:tcPr>
          <w:p w14:paraId="1F3C11C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57421FB3" w14:textId="77777777" w:rsidTr="00A47688">
        <w:tc>
          <w:tcPr>
            <w:tcW w:w="2163" w:type="dxa"/>
            <w:tcBorders>
              <w:top w:val="nil"/>
              <w:left w:val="single" w:sz="4" w:space="0" w:color="auto"/>
              <w:bottom w:val="nil"/>
              <w:right w:val="nil"/>
            </w:tcBorders>
            <w:hideMark/>
          </w:tcPr>
          <w:p w14:paraId="3C0178EA"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 xml:space="preserve">Kapil et al </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{"citationItems":[{"id":"ITEM-1","itemData":{"DOI":"10.4103/2230-8210.196031","ISSN":"22309500","PMID":"28217519","abstract":"Introduction: Vitamin D is important for bone development in children. A high prevalence of Vitamin D deficiency (VDD) has been documented from different parts of India. However, limited data are available on VDD among children residing at high altitude region of country. Objectives: To assess the prevalence of VDD and associated risk factors among children in the age group of 6-18 years in Shimla, Himachal Pradesh. Methods: A community-based cross-sectional study was conducted in the year 2014-2015. A total of 626 children in the age group of 6-18 years were enrolled from 30 clusters which were identified using population proportionate to size sampling method. A minimum of 20 children in the age group of 6-18 years per cluster were selected using random number tables. The data on socioeconomic status, physical activity, sunlight exposure, and biochemical parameters of bone and mineral metabolism were assessed. Results: Ninety-three percent of school-age children were found Vitamin D deficient as per serum 25(OH) D levels of &lt;20 ng/ml. The prevalence was significantly higher among females. Conclusion: A high prevalence of VDD was found in children residing in high altitude region.","author":[{"dropping-particle":"","family":"Kapil","given":"Umesh","non-dropping-particle":"","parse-names":false,"suffix":""},{"dropping-particle":"","family":"Pandey","given":"Ravindra","non-dropping-particle":"","parse-names":false,"suffix":""},{"dropping-particle":"","family":"Goswami","given":"Ravinder","non-dropping-particle":"","parse-names":false,"suffix":""},{"dropping-particle":"","family":"Sharma","given":"Brij","non-dropping-particle":"","parse-names":false,"suffix":""},{"dropping-particle":"","family":"Sharma","given":"Neetu","non-dropping-particle":"","parse-names":false,"suffix":""},{"dropping-particle":"","family":"Ramakrishnan","given":"Lakshmy","non-dropping-particle":"","parse-names":false,"suffix":""},{"dropping-particle":"","family":"Singh","given":"Gajendra","non-dropping-particle":"","parse-names":false,"suffix":""},{"dropping-particle":"","family":"Sareen","given":"Neha","non-dropping-particle":"","parse-names":false,"suffix":""},{"dropping-particle":"","family":"Sati","given":"Hem","non-dropping-particle":"","parse-names":false,"suffix":""},{"dropping-particle":"","family":"Gupta","given":"Aakriti","non-dropping-particle":"","parse-names":false,"suffix":""},{"dropping-particle":"","family":"Sofi","given":"Nighat","non-dropping-particle":"","parse-names":false,"suffix":""}],"container-title":"Indian Journal of Endocrinology and Metabolism","id":"ITEM-1","issue":"1","issued":{"date-parts":[["2017"]]},"page":"178-183","title":"Prevalence of Vitamin D deficiency and associated risk factors among children residing at high altitude in Shimla district, Himachal Pradesh, India","type":"article-journal","volume":"21"},"uris":["http://www.mendeley.com/documents/?uuid=bd4af61c-4fef-4757-87e3-774ba485a4eb"]}],"mendeley":{"formattedCitation":"(6)","plainTextFormattedCitation":"(6)","previouslyFormattedCitation":"(6)"},"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(29)</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1F887E0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525898C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BEA054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BD844D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2D6993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DC1B9E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C05158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A18A52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E83B3D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3D96F24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62D9905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4F825D4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143CEDC3" w14:textId="77777777" w:rsidTr="00A47688">
        <w:tc>
          <w:tcPr>
            <w:tcW w:w="2163" w:type="dxa"/>
            <w:tcBorders>
              <w:top w:val="nil"/>
              <w:left w:val="single" w:sz="4" w:space="0" w:color="auto"/>
              <w:bottom w:val="nil"/>
              <w:right w:val="nil"/>
            </w:tcBorders>
            <w:hideMark/>
          </w:tcPr>
          <w:p w14:paraId="1EC6EFDE"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Basu</w:t>
            </w:r>
            <w:proofErr w:type="spellEnd"/>
            <w:r w:rsidRPr="00BD0EAD">
              <w:rPr>
                <w:rFonts w:ascii="Times New Roman" w:eastAsia="Times New Roman" w:hAnsi="Times New Roman"/>
                <w:color w:val="000000"/>
                <w:sz w:val="20"/>
                <w:szCs w:val="20"/>
              </w:rPr>
              <w:t xml:space="preserve"> et al</w:t>
            </w:r>
            <w:r w:rsidRPr="00BD0EAD">
              <w:rPr>
                <w:rFonts w:ascii="Times New Roman" w:hAnsi="Times New Roman"/>
                <w:sz w:val="20"/>
                <w:szCs w:val="20"/>
              </w:rPr>
              <w:t xml:space="preserve"> (30)</w:t>
            </w:r>
          </w:p>
        </w:tc>
        <w:tc>
          <w:tcPr>
            <w:tcW w:w="539" w:type="dxa"/>
            <w:tcBorders>
              <w:top w:val="nil"/>
              <w:left w:val="nil"/>
              <w:bottom w:val="nil"/>
              <w:right w:val="nil"/>
            </w:tcBorders>
            <w:hideMark/>
          </w:tcPr>
          <w:p w14:paraId="50ECE95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2BBFC82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776F5AE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060074F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A930D9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67DB4C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F8DC68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D053F3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D581B7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630" w:type="dxa"/>
            <w:tcBorders>
              <w:top w:val="nil"/>
              <w:left w:val="nil"/>
              <w:bottom w:val="nil"/>
              <w:right w:val="nil"/>
            </w:tcBorders>
            <w:hideMark/>
          </w:tcPr>
          <w:p w14:paraId="3821A9E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7E7EB88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3</w:t>
            </w:r>
          </w:p>
        </w:tc>
        <w:tc>
          <w:tcPr>
            <w:tcW w:w="1169" w:type="dxa"/>
            <w:tcBorders>
              <w:top w:val="nil"/>
              <w:left w:val="nil"/>
              <w:bottom w:val="nil"/>
              <w:right w:val="single" w:sz="4" w:space="0" w:color="auto"/>
            </w:tcBorders>
            <w:hideMark/>
          </w:tcPr>
          <w:p w14:paraId="5E7A488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4C0F96B5" w14:textId="77777777" w:rsidTr="00A47688">
        <w:tc>
          <w:tcPr>
            <w:tcW w:w="2163" w:type="dxa"/>
            <w:tcBorders>
              <w:top w:val="nil"/>
              <w:left w:val="single" w:sz="4" w:space="0" w:color="auto"/>
              <w:bottom w:val="nil"/>
              <w:right w:val="nil"/>
            </w:tcBorders>
            <w:hideMark/>
          </w:tcPr>
          <w:p w14:paraId="007A0459"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Puri</w:t>
            </w:r>
            <w:proofErr w:type="spellEnd"/>
            <w:r w:rsidRPr="00BD0EAD">
              <w:rPr>
                <w:rFonts w:ascii="Times New Roman" w:eastAsia="Times New Roman" w:hAnsi="Times New Roman"/>
                <w:color w:val="000000"/>
                <w:sz w:val="20"/>
                <w:szCs w:val="20"/>
              </w:rPr>
              <w:t xml:space="preserve"> et al (31)</w:t>
            </w:r>
          </w:p>
        </w:tc>
        <w:tc>
          <w:tcPr>
            <w:tcW w:w="539" w:type="dxa"/>
            <w:tcBorders>
              <w:top w:val="nil"/>
              <w:left w:val="nil"/>
              <w:bottom w:val="nil"/>
              <w:right w:val="nil"/>
            </w:tcBorders>
            <w:hideMark/>
          </w:tcPr>
          <w:p w14:paraId="640567C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3E6B25E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F99970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243193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32C407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3B28A2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36B8B8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FD3C5A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A537AA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4F96303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4FC4810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4095C0B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00CDF046" w14:textId="77777777" w:rsidTr="00A47688">
        <w:tc>
          <w:tcPr>
            <w:tcW w:w="2163" w:type="dxa"/>
            <w:tcBorders>
              <w:top w:val="nil"/>
              <w:left w:val="single" w:sz="4" w:space="0" w:color="auto"/>
              <w:bottom w:val="nil"/>
              <w:right w:val="nil"/>
            </w:tcBorders>
            <w:hideMark/>
          </w:tcPr>
          <w:p w14:paraId="0D157041"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Kadam et al</w:t>
            </w:r>
            <w:r w:rsidRPr="00BD0EAD">
              <w:rPr>
                <w:rFonts w:ascii="Times New Roman" w:hAnsi="Times New Roman"/>
                <w:sz w:val="20"/>
                <w:szCs w:val="20"/>
              </w:rPr>
              <w:t xml:space="preserve"> (32)</w:t>
            </w:r>
          </w:p>
        </w:tc>
        <w:tc>
          <w:tcPr>
            <w:tcW w:w="539" w:type="dxa"/>
            <w:tcBorders>
              <w:top w:val="nil"/>
              <w:left w:val="nil"/>
              <w:bottom w:val="nil"/>
              <w:right w:val="nil"/>
            </w:tcBorders>
            <w:hideMark/>
          </w:tcPr>
          <w:p w14:paraId="0A80209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706E21E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4C189DB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766A7C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83F6FA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4AA7AB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B3352D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AFCF19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4CC393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39BAEDD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5342E6D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3</w:t>
            </w:r>
          </w:p>
        </w:tc>
        <w:tc>
          <w:tcPr>
            <w:tcW w:w="1169" w:type="dxa"/>
            <w:tcBorders>
              <w:top w:val="nil"/>
              <w:left w:val="nil"/>
              <w:bottom w:val="nil"/>
              <w:right w:val="single" w:sz="4" w:space="0" w:color="auto"/>
            </w:tcBorders>
            <w:hideMark/>
          </w:tcPr>
          <w:p w14:paraId="489E6D2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0BDF93CF" w14:textId="77777777" w:rsidTr="00A47688">
        <w:tc>
          <w:tcPr>
            <w:tcW w:w="2163" w:type="dxa"/>
            <w:tcBorders>
              <w:top w:val="nil"/>
              <w:left w:val="single" w:sz="4" w:space="0" w:color="auto"/>
              <w:bottom w:val="nil"/>
              <w:right w:val="nil"/>
            </w:tcBorders>
            <w:hideMark/>
          </w:tcPr>
          <w:p w14:paraId="77875A02"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Khadgawat</w:t>
            </w:r>
            <w:proofErr w:type="spellEnd"/>
            <w:r w:rsidRPr="00BD0EAD">
              <w:rPr>
                <w:rFonts w:ascii="Times New Roman" w:eastAsia="Times New Roman" w:hAnsi="Times New Roman"/>
                <w:color w:val="000000"/>
                <w:sz w:val="20"/>
                <w:szCs w:val="20"/>
              </w:rPr>
              <w:t xml:space="preserve"> et al (</w:t>
            </w:r>
            <w:r w:rsidRPr="00BD0EAD">
              <w:rPr>
                <w:rFonts w:ascii="Times New Roman" w:hAnsi="Times New Roman"/>
                <w:sz w:val="20"/>
                <w:szCs w:val="20"/>
              </w:rPr>
              <w:t>33)</w:t>
            </w:r>
          </w:p>
        </w:tc>
        <w:tc>
          <w:tcPr>
            <w:tcW w:w="539" w:type="dxa"/>
            <w:tcBorders>
              <w:top w:val="nil"/>
              <w:left w:val="nil"/>
              <w:bottom w:val="nil"/>
              <w:right w:val="nil"/>
            </w:tcBorders>
            <w:hideMark/>
          </w:tcPr>
          <w:p w14:paraId="1E9501D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5574E8A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010D399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7366115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DB33F9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09C8B0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08F7F3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C0F2BE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D132F9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5416111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6D9B947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4</w:t>
            </w:r>
          </w:p>
        </w:tc>
        <w:tc>
          <w:tcPr>
            <w:tcW w:w="1169" w:type="dxa"/>
            <w:tcBorders>
              <w:top w:val="nil"/>
              <w:left w:val="nil"/>
              <w:bottom w:val="nil"/>
              <w:right w:val="single" w:sz="4" w:space="0" w:color="auto"/>
            </w:tcBorders>
            <w:hideMark/>
          </w:tcPr>
          <w:p w14:paraId="049CBBD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4C7410DC" w14:textId="77777777" w:rsidTr="00A47688">
        <w:tc>
          <w:tcPr>
            <w:tcW w:w="2163" w:type="dxa"/>
            <w:tcBorders>
              <w:top w:val="nil"/>
              <w:left w:val="single" w:sz="4" w:space="0" w:color="auto"/>
              <w:bottom w:val="nil"/>
              <w:right w:val="nil"/>
            </w:tcBorders>
            <w:hideMark/>
          </w:tcPr>
          <w:p w14:paraId="1B36181C"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Chaudhuri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{"citationItems":[{"id":"ITEM-1","itemData":{"author":[{"dropping-particle":"","family":"Article","given":"Original","non-dropping-particle":"","parse-names":false,"suffix":""}],"id":"ITEM-1","issue":"January 2007","issued":{"date-parts":[["2008"]]},"page":"205-211","title":"</w:instrText>
            </w:r>
            <w:r w:rsidRPr="00BD0EAD">
              <w:rPr>
                <w:rFonts w:ascii="MS Gothic" w:eastAsia="MS Gothic" w:hAnsi="MS Gothic" w:cs="MS Gothic" w:hint="eastAsia"/>
                <w:sz w:val="20"/>
                <w:szCs w:val="20"/>
              </w:rPr>
              <w:instrText>論</w:instrText>
            </w:r>
            <w:r w:rsidRPr="00BD0EAD">
              <w:rPr>
                <w:rFonts w:ascii="Times New Roman" w:hAnsi="Times New Roman"/>
                <w:sz w:val="20"/>
                <w:szCs w:val="20"/>
              </w:rPr>
              <w:instrText xml:space="preserve"> Original Article </w:instrText>
            </w:r>
            <w:r w:rsidRPr="00BD0EAD">
              <w:rPr>
                <w:rFonts w:ascii="MS Gothic" w:eastAsia="MS Gothic" w:hAnsi="MS Gothic" w:cs="MS Gothic" w:hint="eastAsia"/>
                <w:sz w:val="20"/>
                <w:szCs w:val="20"/>
              </w:rPr>
              <w:instrText>京都近郊部の農地形態と鳥類生息の関わりについて</w:instrText>
            </w:r>
            <w:r w:rsidRPr="00BD0EAD">
              <w:rPr>
                <w:rFonts w:ascii="Times New Roman" w:hAnsi="Times New Roman"/>
                <w:sz w:val="20"/>
                <w:szCs w:val="20"/>
              </w:rPr>
              <w:instrText>","type":"article-journal","volume":"34"},"uris":["http://www.mendeley.com/documents/?uuid=274e9aec-61a8-426d-a91d-c8548082c4ed"]}],"mendeley":{"formattedCitation":"(12)","plainTextFormattedCitation":"(12)","previouslyFormattedCitation":"(12)"},"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(34)</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0547AE9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2A015DC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11765D8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04EDCDA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1F7EE9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F89E08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777F05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F4CFEA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7D1D82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685D622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618C194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4</w:t>
            </w:r>
          </w:p>
        </w:tc>
        <w:tc>
          <w:tcPr>
            <w:tcW w:w="1169" w:type="dxa"/>
            <w:tcBorders>
              <w:top w:val="nil"/>
              <w:left w:val="nil"/>
              <w:bottom w:val="nil"/>
              <w:right w:val="single" w:sz="4" w:space="0" w:color="auto"/>
            </w:tcBorders>
            <w:hideMark/>
          </w:tcPr>
          <w:p w14:paraId="56B3D80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5BC06097" w14:textId="77777777" w:rsidTr="00A47688">
        <w:tc>
          <w:tcPr>
            <w:tcW w:w="2163" w:type="dxa"/>
            <w:tcBorders>
              <w:top w:val="nil"/>
              <w:left w:val="single" w:sz="4" w:space="0" w:color="auto"/>
              <w:bottom w:val="nil"/>
              <w:right w:val="nil"/>
            </w:tcBorders>
            <w:hideMark/>
          </w:tcPr>
          <w:p w14:paraId="1BB7B339"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Sharawat</w:t>
            </w:r>
            <w:proofErr w:type="spellEnd"/>
            <w:r w:rsidRPr="00BD0EAD">
              <w:rPr>
                <w:rFonts w:ascii="Times New Roman" w:eastAsia="Times New Roman" w:hAnsi="Times New Roman"/>
                <w:color w:val="000000"/>
                <w:sz w:val="20"/>
                <w:szCs w:val="20"/>
              </w:rPr>
              <w:t xml:space="preserve">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{"citationItems":[{"id":"ITEM-1","itemData":{"DOI":"10.1007/s11657-019-0568-3","ISSN":"18623514","abstract":"Summary: Studies on vitamin D deficiency status and its impact on bone health in a developing country are limited. We assessed the bone mineral density and vitamin D levels in healthy school-going children of Western India. Around 65% children had vitamin D deficiency and vitamin D levels had good correlation with bone mineral density. Purpose: Vitamin D is an important substrate in the metabolism of calcium homeostasis and skeletal metabolism. Epidemiological studies on vitamin D deficiency status and its impact on bone mineral metabolism in healthy children in a developing country are limited. We assessed the bone mineral density and vitamin D levels in healthy school-going children of Western India. Methods: We measured serum levels of 25-hydroxy vitamin D (25(OH)D) in healthy school-going children, aged 60 to 120 months. Dual-energy X-ray absorptiometry scan was done to assess the bone mineral density (BMD). The BMD status was compared with the levels of 25(OH)D and serum parathormone hormone in all the children. Results: A total of 100 school-going children were examined for evidence of vitamin D deficiency and 65% had deficiency (less than 50 nmol/L). The mean age was 90 months in males and 89 months in females. In the vitamin D-deficient group, the mean BMD (gm/cm 2 ) measurements for the lumbar spine was 0.439 ± 0.098 (p &lt; 0.001) and the mean BMD (gm/cm 2 ) in the normal group was 0.606 ± 0.071 (p &lt; 0.001). Pearson’s and Spearman’s rank correlation coefficients between vitamin D levels and BMD z score showed a significant positive correlation (r = 0.82, ρ = 0.924). Conclusions: We confirmed the high prevalence of vitamin D deficiency among healthy school-going children. The serum levels of vitamin 25(OH)D has a good correlation with bone mineral density.","author":[{"dropping-particle":"","family":"Sharawat","given":"Indar Kumar","non-dropping-particle":"","parse-names":false,"suffix":""},{"dropping-particle":"","family":"Dawman","given":"Lesa","non-dropping-particle":"","parse-names":false,"suffix":""}],"container-title":"Archives of Osteoporosis","id":"ITEM-1","issue":"1","issued":{"date-parts":[["2019"]]},"page":"9-14","publisher":"Archives of Osteoporosis","title":"Bone mineral density and its correlation with vitamin D status in healthy school-going children of Western India","type":"article-journal","volume":"14"},"uris":["http://www.mendeley.com/documents/?uuid=987f8db2-a71e-4faf-b066-5d4cdb9eb0c8"]}],"mendeley":{"formattedCitation":"(13)","plainTextFormattedCitation":"(13)","previouslyFormattedCitation":"(13)"},"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(35)</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7163496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0902E68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F51BBC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D9E989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851A38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EFAC8B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5F1B13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428B4C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8ABB3F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3E24191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09E38C0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2</w:t>
            </w:r>
          </w:p>
        </w:tc>
        <w:tc>
          <w:tcPr>
            <w:tcW w:w="1169" w:type="dxa"/>
            <w:tcBorders>
              <w:top w:val="nil"/>
              <w:left w:val="nil"/>
              <w:bottom w:val="nil"/>
              <w:right w:val="single" w:sz="4" w:space="0" w:color="auto"/>
            </w:tcBorders>
            <w:hideMark/>
          </w:tcPr>
          <w:p w14:paraId="7980C2D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39A8C009" w14:textId="77777777" w:rsidTr="00A47688">
        <w:tc>
          <w:tcPr>
            <w:tcW w:w="2163" w:type="dxa"/>
            <w:tcBorders>
              <w:top w:val="nil"/>
              <w:left w:val="single" w:sz="4" w:space="0" w:color="auto"/>
              <w:bottom w:val="nil"/>
              <w:right w:val="nil"/>
            </w:tcBorders>
            <w:hideMark/>
          </w:tcPr>
          <w:p w14:paraId="7E4665A1"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Marwaha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{"citationItems":[{"id":"ITEM-1","itemData":{"DOI":"10.1007/s00198-015-3427-0","ISBN":"0019801534270","ISSN":"14332965","abstract":"Summary: Evaluation of ultraviolet B index (UVBI) and its impact on vitamin D synthesis is important. We observed the maximum UVBI between 11 am and 1 pm. There was no increase in serum 25(OH)D levels following sun exposure during winter as the UVBI was significantly low, emphasizing the need for vitamin D supplementation during these months. Introduction: The amount of vitamin D3 synthesizing UVB irradiation (290–320 nm) reaching the earth’s surface at different altitudes and seasons in different parts of India and it’s impact on vitamin D synthesis has not been well studied. Methods: The hourly UVB index (UVBI) from 10 am to 3 pm everyday for 12 months was measured by a solar meter in 4 different zones (North, Northeast, West and South) of the country. To study the impact of sun light exposure on vitamin D synthesis during winter, healthy school children aged 10–15 years were exposed to sunlight for a period of 30 min per day, between 11 am to 12 noon with 10 % body surface area, for 4 weeks. The main outcome measures were serum 25(OH)D, PTH, calcium, phosphate, and alkaline phosphatase levels before and after sun exposure. Results: The mean UVBI was highest between 11 am and 1 pm throughout the year in all locations. The highest UVBI was recorded from the North zone (4.5 ± 2.7 μW/Cm2), while the least was recorded in the Northeast zone (2.1 ± 1.2 μW/Cm2). UVBI readings in the Northeast zone were consistently low throughout the year, while all the other three zones showed significant seasonal fluctuations. Surprisingly, we observed a significant decrease in serum 25(OH)D levels from baseline (6.3 ± 4.6 to 5.1 ± 2.7 ng/mL; p &lt; 0.001) despite sun exposure. Conclusion: The mean UVBI was highest between 11 am and 1 pm throughout the year in all locations. No increase in the serum 25(OH)D levels was observed following sun exposure in winter, emphasizing the need for vitamin D supplementation during these months.","author":[{"dropping-particle":"","family":"Marwaha","given":"R. K.","non-dropping-particle":"","parse-names":false,"suffix":""},{"dropping-particle":"","family":"Yenamandra","given":"V. K.","non-dropping-particle":"","parse-names":false,"suffix":""},{"dropping-particle":"","family":"Sreenivas","given":"V.","non-dropping-particle":"","parse-names":false,"suffix":""},{"dropping-particle":"","family":"Sahay","given":"R.","non-dropping-particle":"","parse-names":false,"suffix":""},{"dropping-particle":"","family":"Baruah","given":"M. P.","non-dropping-particle":"","parse-names":false,"suffix":""},{"dropping-particle":"","family":"Desai","given":"A.","non-dropping-particle":"","parse-names":false,"suffix":""},{"dropping-particle":"","family":"Kurvilla","given":"S.","non-dropping-particle":"","parse-names":false,"suffix":""},{"dropping-particle":"","family":"Joseph","given":"S.","non-dropping-particle":"","parse-names":false,"suffix":""},{"dropping-particle":"","family":"Unnikrishnan","given":"A. G.","non-dropping-particle":"","parse-names":false,"suffix":""},{"dropping-particle":"","family":"Lakshmy","given":"R.","non-dropping-particle":"","parse-names":false,"suffix":""},{"dropping-particle":"","family":"Apoorva","given":"C.","non-dropping-particle":"","parse-names":false,"suffix":""},{"dropping-particle":"","family":"Sharma","given":"V. K.","non-dropping-particle":"","parse-names":false,"suffix":""},{"dropping-particle":"","family":"Sethuraman","given":"G.","non-dropping-particle":"","parse-names":false,"suffix":""}],"container-title":"Osteoporosis International","id":"ITEM-1","issue":"4","issued":{"date-parts":[["2016"]]},"page":"1611-1617","title":"Regional and seasonal variations in ultraviolet B irradiation and vitamin D synthesis in India","type":"article-journal","volume":"27"},"uris":["http://www.mendeley.com/documents/?uuid=93f20f3f-8649-48b0-a0e2-9101711ba272"]}],"mendeley":{"formattedCitation":"(14)","plainTextFormattedCitation":"(14)","previouslyFormattedCitation":"(14)"},"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(36)</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6DB5DD7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74FD90A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3EA3CEC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2D3FABD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EB015E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444D44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F90526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EB706F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E9457F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2BFEF41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6EE72F5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4</w:t>
            </w:r>
          </w:p>
        </w:tc>
        <w:tc>
          <w:tcPr>
            <w:tcW w:w="1169" w:type="dxa"/>
            <w:tcBorders>
              <w:top w:val="nil"/>
              <w:left w:val="nil"/>
              <w:bottom w:val="nil"/>
              <w:right w:val="single" w:sz="4" w:space="0" w:color="auto"/>
            </w:tcBorders>
            <w:hideMark/>
          </w:tcPr>
          <w:p w14:paraId="3610B2D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50ADC747" w14:textId="77777777" w:rsidTr="00A47688">
        <w:tc>
          <w:tcPr>
            <w:tcW w:w="2163" w:type="dxa"/>
            <w:tcBorders>
              <w:top w:val="nil"/>
              <w:left w:val="single" w:sz="4" w:space="0" w:color="auto"/>
              <w:bottom w:val="nil"/>
              <w:right w:val="nil"/>
            </w:tcBorders>
            <w:hideMark/>
          </w:tcPr>
          <w:p w14:paraId="19DBF762"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Sarma</w:t>
            </w:r>
            <w:proofErr w:type="spellEnd"/>
            <w:r w:rsidRPr="00BD0EAD">
              <w:rPr>
                <w:rFonts w:ascii="Times New Roman" w:eastAsia="Times New Roman" w:hAnsi="Times New Roman"/>
                <w:color w:val="000000"/>
                <w:sz w:val="20"/>
                <w:szCs w:val="20"/>
              </w:rPr>
              <w:t xml:space="preserve">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{"citationItems":[{"id":"ITEM-1","itemData":{"DOI":"10.4103/ijem.IJEM","ISBN":"0021-972X","ISSN":"2230-8210","PMID":"99098037","abstract":"Intermittent fasting (IF) and high intensity interval training (HIIT) are effective lifestyle interventions for improving body composition and overall health. However, the long-term effects of IF and potential synergistic effects of combining IF with exercise are unclear. The purpose of the study was to investigate the long-term effects of IF, with or without HIIT, on body composition and markers of metabolic health in diet-induced obese mice. In a randosmised, controlled design, 8-week-old C57BL/6 mice (males (n= 39) and females (n= 49)) were fed a high fat (HF) and sugar (S) water diet (30% (w/v)) for 24-weeks but were separated into five groups at 12-weeks: (1) 'obese' baseline control (OBC); (2) no intervention (CON); (3) intermittent fasting (IF); (4) high intensity intermittent exercise (HIIT) and (5) combination of dietary and exercise intervention (IF + HIIT). Body composition, strength and blood variables were measured at 0, 10 and/or 12-weeks. Intermittent fasting with or without HIIT resulted in significantly less weight gain, fat mass accumulation and reduced serum low density lipoproteins (LDL) levels compared to HIIT and CON male mice (p&lt; 0.05). The results suggest that IF, with or without HIIT, can be an effective strategy for weight gain prevention despite concurrently consuming a high fat and sugar diet.","author":[{"dropping-particle":"","family":"Pourvaghar","given":"M J","non-dropping-particle":"","parse-names":false,"suffix":""},{"dropping-particle":"","family":"Bahram","given":"M E","non-dropping-particle":"","parse-names":false,"suffix":""},{"dropping-particle":"","family":"Sayyah","given":"M","non-dropping-particle":"","parse-names":false,"suffix":""},{"dropping-particle":"","family":"Khoshemehry","given":"Sh","non-dropping-particle":"","parse-names":false,"suffix":""},{"dropping-particle":"","family":"Wang","given":"Yeli","non-dropping-particle":"","parse-names":false,"suffix":""},{"dropping-particle":"","family":"Meng","given":"Rui-Wei","non-dropping-particle":"","parse-names":false,"suffix":""},{"dropping-particle":"","family":"Kunutsor","given":"Setor K.","non-dropping-particle":"","parse-names":false,"suffix":""},{"dropping-particle":"","family":"Chowdhury","given":"Rajiv","non-dropping-particle":"","parse-names":false,"suffix":""},{"dropping-particle":"","family":"Yuan","given":"Jian-Min","non-dropping-particle":"","parse-names":false,"suffix":""},{"dropping-particle":"","family":"Koh","given":"Woon-Puay","non-dropping-particle":"","parse-names":false,"suffix":""},{"dropping-particle":"","family":"Pan","given":"An","non-dropping-particle":"","parse-names":false,"suffix":""},{"dropping-particle":"","family":"Wilson","given":"Robin A.","non-dropping-particle":"","parse-names":false,"suffix":""},{"dropping-particle":"","family":"Deasy","given":"William","non-dropping-particle":"","parse-names":false,"suffix":""},{"dropping-particle":"","family":"Stathis","given":"Christos G.","non-dropping-particle":"","parse-names":false,"suffix":""},{"dropping-particle":"","family":"Hayes","given":"Alan","non-dropping-particle":"","parse-names":false,"suffix":""},{"dropping-particle":"","family":"Cooke","given":"Matthew B.","non-dropping-particle":"","parse-names":false,"suffix":""},{"dropping-particle":"","family":"Olczyk","given":"Paweł","non-dropping-particle":"","parse-names":false,"suffix":""},{"dropping-particle":"","family":"Koprowski","given":"Robert","non-dropping-particle":"","parse-names":false,"suffix":""},{"dropping-particle":"","family":"Komosinska-Vassev","given":"Katarzyna","non-dropping-particle":"","parse-names":false,"suffix":""},{"dropping-particle":"","family":"Jura-Półtorak","given":"Agnieszka","non-dropping-particle":"","parse-names":false,"suffix":""},{"dropping-particle":"","family":"Winsz-Szczotka","given":"Katarzyna","non-dropping-particle":"","parse-names":false,"suffix":""},{"dropping-particle":"","family":"Kuznik-Trocha","given":"Kornelia","non-dropping-particle":"","parse-names":false,"suffix":""},{"dropping-particle":"","family":"Mencner","given":"Łukasz","non-dropping-particle":"","parse-names":false,"suffix":""},{"dropping-particle":"","family":"Telega","given":"Alicja","non-dropping-particle":"","parse-names":false,"suffix":""},{"dropping-particle":"","family":"Ivanova","given":"Diana","non-dropping-particle":"","parse-names":false,"suffix":""},{"dropping-particle":"","family":"Olczyk","given":"Krystyna","non-dropping-particle":"","parse-names":false,"suffix":""},{"dropping-particle":"","family":"Kordi","given":"Mr R","non-dropping-particle":"","parse-names":false,"suffix":""},{"dropping-particle":"","family":"Choopani","given":"S","non-dropping-particle":"","parse-names":false,"suffix":""},{"dropping-particle":"","family":"Hemmatinafar","given":"M","non-dropping-particle":"","parse-names":false,"suffix":""},{"dropping-particle":"","family":"Choopani","given":"Z","non-dropping-particle":"","parse-names":false,"suffix":""},{"dropping-particle":"","family":"Gerosa-Neto","given":"José","non-dropping-particle":"","parse-names":false,"suffix":""},{"dropping-particle":"","family":"Antunes","given":"Barbara M.M.","non-dropping-particle":"","parse-names":false,"suffix":""},{"dropping-particle":"","family":"Campos","given":"Eduardo Z.","non-dropping-particle":"","parse-names":false,"suffix":""},{"dropping-particle":"","family":"Rodrigues","given":"Jhennyfer","non-dropping-particle":"","parse-names":false,"suffix":""},{"dropping-particle":"","family":"Ferrari","given":"Gustavo D.","non-dropping-particle":"","parse-names":false,"suffix":""},{"dropping-particle":"","family":"Neto","given":"José C. Rosa","non-dropping-particle":"","parse-names":false,"suffix":""},{"dropping-particle":"","family":"Bueno Junior","given":"Carlos R.","non-dropping-particle":"","parse-names":false,"suffix":""},{"dropping-particle":"","family":"Lira","given":"Fábio S.","non-dropping-particle":"","parse-names":false,"suffix":""},{"dropping-particle":"","family":"Kuo","given":"Jane Z.","non-dropping-particle":"","parse-names":false,"suffix":""},{"dropping-particle":"","family":"Guo","given":"Xiuqing","non-dropping-particle":"","parse-names":false,"suffix":""},{"dropping-particle":"","family":"Klein","given":"Ronald","non-dropping-particle":"","parse-names":false,"suffix":""},{"dropping-particle":"","family":"Klein","given":"Barbara E.","non-dropping-particle":"","parse-names":false,"suffix":""},{"dropping-particle":"","family":"Genter","given":"Pauline","non-dropping-particle":"","parse-names":false,"suffix":""},{"dropping-particle":"","family":"Roll","given":"Kathryn","non-dropping-particle":"","parse-names":false,"suffix":""},{"dropping-particle":"","family":"Hai","given":"Yang","non-dropping-particle":"","parse-names":false,"suffix":""},{"dropping-particle":"","family":"Goodarzi","given":"Mark O.","non-dropping-particle":"","parse-names":false,"suffix":""},{"dropping-particle":"","family":"Rotter","given":"Jerome I.","non-dropping-particle":"","parse-names":false,"suffix":""},{"dropping-particle":"","family":"Chen","given":"Yii Der Ida","non-dropping-particle":"","parse-names":false,"suffix":""},{"dropping-particle":"","family":"Ipp","given":"Eli","non-dropping-particle":"","parse-names":false,"suffix":""},{"dropping-particle":"","family":"Wx","given":"J R","non-dropping-particle":"","parse-names":false,"suffix":""},{"dropping-particle":"","family":"Wx","given":"J R","non-dropping-particle":"","parse-names":false,"suffix":""},{"dropping-particle":"","family":"Sheikhpour","given":"Robab","non-dropping-particle":"","parse-names":false,"suffix":""},{"dropping-particle":"","family":"Avazpor","given":"Sahar","non-dropping-particle":"","parse-names":false,"suffix":""},{"dropping-particle":"","family":"Kalkhoran","given":"Jamal Fazel","non-dropping-particle":"","parse-names":false,"suffix":""},{"dropping-particle":"","family":"Amini","given":"Hojat Allah","non-dropping-particle":"","parse-names":false,"suffix":""},{"dropping-particle":"","family":"Sandhiya Selvarajan, Vikneswaran Gunaseelan, Nishanthi Anandabaskar, Alphienes Stanley Xavier","given":"Sureshkumar Srinivasamurthy","non-dropping-particle":"","parse-names":false,"suffix":""},{"dropping-particle":"","family":"Kamalanathan","given":"Sadish Kumar","non-dropping-particle":"","parse-names":false,"suffix":""},{"dropping-particle":"","family":"Sahoo","given":"Jaya Prakash","non-dropping-particle":"","parse-names":false,"suffix":""}],"container-title":"Journal of Clinical Endocrinology and Metabolism","id":"ITEM-1","issue":"1","issued":{"date-parts":[["2016"]]},"page":"3348-3355","title":"Adiponectin, insulin sensitivity and diabetic retinopathy in latinos with type 2 diabetes","type":"article-journal","volume":"11"},"uris":["http://www.mendeley.com/documents/?uuid=6bf87a67-5a11-4153-b8c9-82480c472925"]}],"mendeley":{"formattedCitation":"(15)","plainTextFormattedCitation":"(15)","previouslyFormattedCitation":"(15)"},"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(37)</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26AE237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0193ADA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1978B6B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706009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C51871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EB88AF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8B8317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D4EBFA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11B5B9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31945A6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235C4ED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3</w:t>
            </w:r>
          </w:p>
        </w:tc>
        <w:tc>
          <w:tcPr>
            <w:tcW w:w="1169" w:type="dxa"/>
            <w:tcBorders>
              <w:top w:val="nil"/>
              <w:left w:val="nil"/>
              <w:bottom w:val="nil"/>
              <w:right w:val="single" w:sz="4" w:space="0" w:color="auto"/>
            </w:tcBorders>
            <w:hideMark/>
          </w:tcPr>
          <w:p w14:paraId="2749AE3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197037CC" w14:textId="77777777" w:rsidTr="00A47688">
        <w:tc>
          <w:tcPr>
            <w:tcW w:w="2163" w:type="dxa"/>
            <w:tcBorders>
              <w:top w:val="nil"/>
              <w:left w:val="single" w:sz="4" w:space="0" w:color="auto"/>
              <w:bottom w:val="nil"/>
              <w:right w:val="nil"/>
            </w:tcBorders>
            <w:hideMark/>
          </w:tcPr>
          <w:p w14:paraId="35C2D153"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Sanwalka</w:t>
            </w:r>
            <w:proofErr w:type="spellEnd"/>
            <w:r w:rsidRPr="00BD0EAD">
              <w:rPr>
                <w:rFonts w:ascii="Times New Roman" w:eastAsia="Times New Roman" w:hAnsi="Times New Roman"/>
                <w:color w:val="000000"/>
                <w:sz w:val="20"/>
                <w:szCs w:val="20"/>
              </w:rPr>
              <w:t xml:space="preserve">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{"citationItems":[{"id":"ITEM-1","itemData":{"DOI":"10.1007/s00774-012-0390-0","ISSN":"09148779","abstract":"To study the association between vitamin D receptor (VDR) gene polymorphisms and bone mass indices in adolescent girls, a cross-sectional study was conducted in 120 post-menarchal girls aged 15-18 years in Pune city, India. Serum levels of ionised calcium, inorganic phosphorous, parathyroid hormone and 25-hydroxy vitamin-D were measured. Bone mineral content (BMC), bone area (BA) and bone mineral density (BMD) were measured at total body (TB), lumbar spine (LS) and left femoral neck (FN) using dual energy X-ray absorptiometry. Polymorphisms of the VDR gene at the Fok1 and Bsm1 loci were detected using SYBR Green quantitative polymerase chain reaction. The overall distribution of genotypes at the Bsm1 locus in this study was 33.3 % Bb, 29.2 % bb and 37.5 % BB while that for the Fok1 locus was 44.2 % Ff, 7.5 % ff and 48.3 % FF. There were no significant differences in the blood parameters when classified according to Bsm1 or Fok1 genotypes. Subjects with BB genotype have significantly higher mean TBBMC, TBBA, TBBMD and LSBMD than Bb and bb (p &lt; 0.05) and showed a tendency for association with LSBMC and LSBA (p &lt; 0.1). Subjects with Ff genotype showed a tendency for association with left FNBMC and FNBA (p &lt; 0.1). Bsm1 genotype did not show an association with FN bone indices whereas Fok1 genotype did not show association with TB or LS bone indices. In conclusion, the present study demonstrates VDR gene polymorphism, defined by Bsm1 genotype, has an influence on total body and lumbar spine bone mass indices in post-menarchal Indian girls. © 2012 The Japanese Society for Bone and Mineral Research and Springer Japan.","author":[{"dropping-particle":"","family":"Sanwalka","given":"Neha","non-dropping-particle":"","parse-names":false,"suffix":""},{"dropping-particle":"","family":"Khadilkar","given":"Anuradha","non-dropping-particle":"","parse-names":false,"suffix":""},{"dropping-particle":"","family":"Chiplonkar","given":"Shashi","non-dropping-particle":"","parse-names":false,"suffix":""},{"dropping-particle":"","family":"Khatod","given":"Kavita","non-dropping-particle":"","parse-names":false,"suffix":""},{"dropping-particle":"","family":"Phadke","given":"Nikhil","non-dropping-particle":"","parse-names":false,"suffix":""},{"dropping-particle":"","family":"Khadilkar","given":"Vaman","non-dropping-particle":"","parse-names":false,"suffix":""}],"container-title":"Journal of Bone and Mineral Metabolism","id":"ITEM-1","issue":"1","issued":{"date-parts":[["2013"]]},"page":"108-115","title":"Vitamin D receptor gene polymorphisms and bone mass indices in post-menarchal Indian adolescent girls","type":"article-journal","volume":"31"},"uris":["http://www.mendeley.com/documents/?uuid=1454c122-508a-4062-89c5-562c95b0444f"]}],"mendeley":{"formattedCitation":"(16)","plainTextFormattedCitation":"(16)","previouslyFormattedCitation":"(16)"},"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(38)</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0DE5318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2CA9A96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3D40E4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934DFC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C78FC2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86D522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4F4BB9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BCD768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4482D3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0FFBAEF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4572EEC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653E131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21AA3397" w14:textId="77777777" w:rsidTr="00A47688">
        <w:tc>
          <w:tcPr>
            <w:tcW w:w="2163" w:type="dxa"/>
            <w:tcBorders>
              <w:top w:val="nil"/>
              <w:left w:val="single" w:sz="4" w:space="0" w:color="auto"/>
              <w:bottom w:val="nil"/>
              <w:right w:val="nil"/>
            </w:tcBorders>
            <w:hideMark/>
          </w:tcPr>
          <w:p w14:paraId="0119550B"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Mandlik</w:t>
            </w:r>
            <w:proofErr w:type="spellEnd"/>
            <w:r w:rsidRPr="00BD0EAD">
              <w:rPr>
                <w:rFonts w:ascii="Times New Roman" w:eastAsia="Times New Roman" w:hAnsi="Times New Roman"/>
                <w:color w:val="000000"/>
                <w:sz w:val="20"/>
                <w:szCs w:val="20"/>
              </w:rPr>
              <w:t xml:space="preserve">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{"citationItems":[{"id":"ITEM-1","itemData":{"DOI":"10.1016/j.jsbmb.2017.12.003","ISSN":"18791220","abstract":"The objectives of this study were to: 1) Determine the impact of varying baseline serum 25OHD on increase in vitamin D concentrations after daily supplementation with vitamin D and calcium (1000 IU + 500 mg respectively) for six months in school-children from a semi-rural setting 2) Test the efficacy of daily vitamin D-calcium supplementation on improvement in serum vitamin D concentrations to ≥75 nmol/L. Data collected from 106 subjects (58 boys, 48 girls), aged 6–12 years, included anthropometric measures like height and weight, body composition analysis, three one-day dietary recalls and sunlight exposure (by questionnaire). Blood was collected at baseline and endline and estimated for serum vitamin D by ELISA technique using standard kits. Classification of Vitamin D status was performed according to the 2011 Endocrine Society Practice Guidelines: vitamin D deficiency – &lt;50 nmol/L; insufficiency – 50.0–74.9 nmol/L; sufficiency – ≥75 nmol/L. Statistical analysis was performed using SPSS software. Mean baseline serum vitamin D concentration was 59.7 ± 11.2 nmol/L; this rose to 79.8 ± 23.3 nmol/L with no significant differences between genders at the two time-points. Inverse relationship was obtained between baseline serum 25(OH)D concentrations and change in serum concentrations after supplementation, implying that with increasing baseline serum concentrations of 25(OH)D, increase in vitamin D levels post supplementation were significantly lower (r = − 0.96, p &lt; 0.0001). Greatest benefit of change in serum vitamin D concentrations after supplementation was experienced by children with basal concentrations of &lt;45 nmol/L. Daily vitamin D supplementation was effective in improving serum 25(OH)D to ≥75 nmol/L in 44% of children. Significantly higher percentage of children who were deficient at baseline (64%) were able to attain serum concentrations of ≥75 nmol/L as compared to children who were vitamin D insufficient (43%) (p &lt; 0.001). Thus, daily supplementation with 1000 IU of vitamin D along with 500 mg of calcium helped in improving serum vitamin D concentrations to ≥75 nmol/L. Children who were vitamin D deficient particularly experienced these benefits.","author":[{"dropping-particle":"","family":"Mandlik","given":"Rubina","non-dropping-particle":"","parse-names":false,"suffix":""},{"dropping-particle":"","family":"Khadilkar","given":"Anuradha","non-dropping-particle":"","parse-names":false,"suffix":""},{"dropping-particle":"","family":"Kajale","given":"Neha","non-dropping-particle":"","parse-names":false,"suffix":""},{"dropping-particle":"","family":"Ekbote","given":"Veena","non-dropping-particle":"","parse-names":false,"suffix":""},{"dropping-particle":"","family":"Patwardhan","given":"Vivek","non-dropping-particle":"","parse-names":false,"suffix":""},{"dropping-particle":"","family":"Mistry","given":"Sejal","non-dropping-particle":"","parse-names":false,"suffix":""},{"dropping-particle":"","family":"Khadilkar","given":"Vaman","non-dropping-particle":"","parse-names":false,"suffix":""},{"dropping-particle":"","family":"Chiplonkar","given":"Shashi","non-dropping-particle":"","parse-names":false,"suffix":""}],"container-title":"Journal of Steroid Biochemistry and Molecular Biology","id":"ITEM-1","issue":"December 2017","issued":{"date-parts":[["2018"]]},"page":"35-40","publisher":"Elsevier","title":"Response of serum 25(OH)D to Vitamin D and calcium supplementation in school-children from a semi-rural setting in India","type":"article-journal","volume":"180"},"uris":["http://www.mendeley.com/documents/?uuid=8bcb0e3f-b575-410b-a576-febb5d083d5a"]}],"mendeley":{"formattedCitation":"(17)","plainTextFormattedCitation":"(17)","previouslyFormattedCitation":"(17)"},"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(39)</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43E048D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0E57ECC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E24415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FEBDB1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6418A9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B6F101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EC8E32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BBFFE4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F89D35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057D6E4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37FC39B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2</w:t>
            </w:r>
          </w:p>
        </w:tc>
        <w:tc>
          <w:tcPr>
            <w:tcW w:w="1169" w:type="dxa"/>
            <w:tcBorders>
              <w:top w:val="nil"/>
              <w:left w:val="nil"/>
              <w:bottom w:val="nil"/>
              <w:right w:val="single" w:sz="4" w:space="0" w:color="auto"/>
            </w:tcBorders>
            <w:hideMark/>
          </w:tcPr>
          <w:p w14:paraId="623EE37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19D45E61" w14:textId="77777777" w:rsidTr="00A47688">
        <w:tc>
          <w:tcPr>
            <w:tcW w:w="2163" w:type="dxa"/>
            <w:tcBorders>
              <w:top w:val="nil"/>
              <w:left w:val="single" w:sz="4" w:space="0" w:color="auto"/>
              <w:bottom w:val="nil"/>
              <w:right w:val="nil"/>
            </w:tcBorders>
            <w:hideMark/>
          </w:tcPr>
          <w:p w14:paraId="1989E107"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Borker</w:t>
            </w:r>
            <w:proofErr w:type="spellEnd"/>
            <w:r w:rsidRPr="00BD0EAD">
              <w:rPr>
                <w:rFonts w:ascii="Times New Roman" w:eastAsia="Times New Roman" w:hAnsi="Times New Roman"/>
                <w:color w:val="000000"/>
                <w:sz w:val="20"/>
                <w:szCs w:val="20"/>
              </w:rPr>
              <w:t xml:space="preserve">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{"citationItems":[{"id":"ITEM-1","itemData":{"DOI":"10.1111/j.1399-5448.2009.00589.x","ISSN":"13995448","abstract":"Background: To find out whether vitamin D levels are lower in children with newly diagnosed type 1 diabetes (T1D) as compared to non-diabetic subjects. Methods: Plasma levels of vitamin D (25-OHD) were measured by high performance liquid chromatography (HPLC) in 50 children aged between 6 and 12 yr within a week of diagnosis of T1D, and in 50 healthy children.Results: The mean levels of vitamin D were significantly lower in patients as compared to their controls [20.02 ± 10.63 ng/mL (50.05 ± 26.57 mmol/L) vs. 26.16 ± 12.28 ng/mL (65.4 ± 30.7 mmol/L), p-value 0.009]. Twenty-nine (58%) children in the study group were vitamin D deficient (25-OHD level &lt; 20 ng/mL or &lt; 50 mmol/L) as compared to only 16 (32%) in the control group. Overall, 43 (86%) diabetic and 38 (76%) healthy children were either vitamin D deficient or insufficient.Conclusion: These results suggest that vitamin D levels are low at the onset of T1D, and they strongly support the need for further clinical studies to prospectively evaluate the effect of vitamin D supplementation on T1D rates in this patient population. © 2009 John Wiley &amp; Sons A/S.","author":[{"dropping-particle":"V.","family":"Borkar","given":"Vibhor","non-dropping-particle":"","parse-names":false,"suffix":""},{"dropping-particle":"","family":"Devidayal","given":"Verma S.","non-dropping-particle":"","parse-names":false,"suffix":""},{"dropping-particle":"","family":"Bhalla","given":"A. K.","non-dropping-particle":"","parse-names":false,"suffix":""}],"container-title":"Pediatric Diabetes","id":"ITEM-1","issue":"5","issued":{"date-parts":[["2010"]]},"page":"345-350","title":"Low levels of vitamin D in North Indian children with newly diagnosed type 1 diabetes","type":"article-journal","volume":"11"},"uris":["http://www.mendeley.com/documents/?uuid=11b80414-1d6d-4a7f-adbf-790ad76d6a1a"]}],"mendeley":{"formattedCitation":"(18)","plainTextFormattedCitation":"(18)","previouslyFormattedCitation":"(18)"},"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(40)</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598A93B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3451F34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46EFBBA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75FF822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6304B9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5D08F6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D1B7C4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27B794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5E939B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5F580AE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4FA72F8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4</w:t>
            </w:r>
          </w:p>
        </w:tc>
        <w:tc>
          <w:tcPr>
            <w:tcW w:w="1169" w:type="dxa"/>
            <w:tcBorders>
              <w:top w:val="nil"/>
              <w:left w:val="nil"/>
              <w:bottom w:val="nil"/>
              <w:right w:val="single" w:sz="4" w:space="0" w:color="auto"/>
            </w:tcBorders>
            <w:hideMark/>
          </w:tcPr>
          <w:p w14:paraId="5BD8738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00738850" w14:textId="77777777" w:rsidTr="00A47688">
        <w:tc>
          <w:tcPr>
            <w:tcW w:w="2163" w:type="dxa"/>
            <w:tcBorders>
              <w:top w:val="nil"/>
              <w:left w:val="single" w:sz="4" w:space="0" w:color="auto"/>
              <w:bottom w:val="nil"/>
              <w:right w:val="nil"/>
            </w:tcBorders>
            <w:hideMark/>
          </w:tcPr>
          <w:p w14:paraId="03357766"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Garg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{"citationItems":[{"id":"ITEM-1","itemData":{"DOI":"10.1111/cen.12248","author":[{"dropping-particle":"","family":"Garg","given":"M K","non-dropping-particle":"","parse-names":false,"suffix":""},{"dropping-particle":"","family":"Tandon","given":"N","non-dropping-particle":"","parse-names":false,"suffix":""},{"dropping-particle":"","family":"Marwaha","given":"R K","non-dropping-particle":"","parse-names":false,"suffix":""},{"dropping-particle":"","family":"Menon","given":"A S","non-dropping-particle":"","parse-names":false,"suffix":""},{"dropping-particle":"","family":"Mahalle","given":"N","non-dropping-particle":"","parse-names":false,"suffix":""}],"id":"ITEM-1","issue":"17","issued":{"date-parts":[["2014"]]},"page":"41-46","title":"The relationship between serum 25-hydroxy vitamin D , parathormone and bone mineral density in Indian population","type":"article-journal"},"uris":["http://www.mendeley.com/documents/?uuid=0fd5b20e-1c89-40ec-aecf-4ccb37dd89d1"]}],"mendeley":{"formattedCitation":"(19)","plainTextFormattedCitation":"(19)","previouslyFormattedCitation":"(19)"},"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(41)</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3532347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6213536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1A72B02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3CDC313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659DB0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034B50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110747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F513DF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AC412A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0F0CD1F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79E07C4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4</w:t>
            </w:r>
          </w:p>
        </w:tc>
        <w:tc>
          <w:tcPr>
            <w:tcW w:w="1169" w:type="dxa"/>
            <w:tcBorders>
              <w:top w:val="nil"/>
              <w:left w:val="nil"/>
              <w:bottom w:val="nil"/>
              <w:right w:val="single" w:sz="4" w:space="0" w:color="auto"/>
            </w:tcBorders>
            <w:hideMark/>
          </w:tcPr>
          <w:p w14:paraId="340D61F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165B8B08" w14:textId="77777777" w:rsidTr="00A47688">
        <w:tc>
          <w:tcPr>
            <w:tcW w:w="2163" w:type="dxa"/>
            <w:tcBorders>
              <w:top w:val="nil"/>
              <w:left w:val="single" w:sz="4" w:space="0" w:color="auto"/>
              <w:bottom w:val="nil"/>
              <w:right w:val="nil"/>
            </w:tcBorders>
            <w:hideMark/>
          </w:tcPr>
          <w:p w14:paraId="6B412127"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Khadilkar</w:t>
            </w:r>
            <w:proofErr w:type="spellEnd"/>
            <w:r w:rsidRPr="00BD0EAD">
              <w:rPr>
                <w:rFonts w:ascii="Times New Roman" w:eastAsia="Times New Roman" w:hAnsi="Times New Roman"/>
                <w:color w:val="000000"/>
                <w:sz w:val="20"/>
                <w:szCs w:val="20"/>
              </w:rPr>
              <w:t xml:space="preserve"> et al </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{"citationItems":[{"id":"ITEM-1","itemData":{"DOI":"10.1016/j.bone.2012.03.029","ISSN":"87563282","abstract":"Low adult bone mass is linked to osteoporosis and fractures and is dependent on the extent of childhood and adolescent bone mineralization. The aim of the study was to investigate the effect of 1-year supplementation of calcium, multivitamin with zinc along with vitamin-D on bone mass accrual of school-going premenarchal girls from low income groups in Pune, India. Double-blind, matched-pair, cluster, randomization study was carried out in 214 premenarchal girls (8-12. years) from 2 schools in Pune, India. The two schools together formed 3 classes with 3 clusters each of age-matched girls of which one cluster was allocated to either one of the intervention groups (Ca-group:500. mg/d calcium, Ca + MZ-group:500. mg/d calcium + multivitamin tablet containing 15. mg/d zinc) or control group (C-group: multivitamin tablet without any minerals); all subjects received vitamin-D supplementation. Anthropometry, biochemical parameters, total body bone mineral content (TBBMC) and bone mineral density (TBBMD) (Dual energy X-ray absorptiometry) were assessed at baseline and endline. Post supplementation, mean percent increase in TBBMC was significantly higher in Ca-group (22.3%) and Ca + MZ-group (20.8%) compared to C-group (17.6%) (p &lt; 0.05) with no significant differences observed between Ca + MZ and Ca groups (p &gt; 0.1). Improvement in TBBMC-for-age Z-scores was higher in the two calcium supplemented groups (13.6%-22%) compared to the C-group (no improvement). Calcium supplementation, with or without multivitamins and zinc, showed a promising improvement in bone health especially with regards to improvement in bone related Z-scores in our population of underprivileged premenarchal girls. © 2012 Elsevier Inc.","author":[{"dropping-particle":"","family":"Khadilkar","given":"Anuradha","non-dropping-particle":"","parse-names":false,"suffix":""},{"dropping-particle":"","family":"Kadam","given":"Nidhi","non-dropping-particle":"","parse-names":false,"suffix":""},{"dropping-particle":"","family":"Chiplonkar","given":"Shashi","non-dropping-particle":"","parse-names":false,"suffix":""},{"dropping-particle":"","family":"Fischer","given":"Philip R.","non-dropping-particle":"","parse-names":false,"suffix":""},{"dropping-particle":"","family":"Khadilkar","given":"Vaman","non-dropping-particle":"","parse-names":false,"suffix":""}],"container-title":"Bone","id":"ITEM-1","issue":"1","issued":{"date-parts":[["2012"]]},"page":"1-7","publisher":"Elsevier Inc.","title":"School-based calcium-vitamin D with micronutrient supplementation enhances bone mass in underprivileged Indian premenarchal girls","type":"article-journal","volume":"51"},"uris":["http://www.mendeley.com/documents/?uuid=efea2d8f-5d0b-4586-82cd-777e35bd3bd0"]}],"mendeley":{"formattedCitation":"(20)","plainTextFormattedCitation":"(20)","previouslyFormattedCitation":"(20)"},"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(42)</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3CA1C8E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25A6504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862199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67BB9D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395A28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E88258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815614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741861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7C2A52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0147BAB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37D2D2A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2</w:t>
            </w:r>
          </w:p>
        </w:tc>
        <w:tc>
          <w:tcPr>
            <w:tcW w:w="1169" w:type="dxa"/>
            <w:tcBorders>
              <w:top w:val="nil"/>
              <w:left w:val="nil"/>
              <w:bottom w:val="nil"/>
              <w:right w:val="single" w:sz="4" w:space="0" w:color="auto"/>
            </w:tcBorders>
            <w:hideMark/>
          </w:tcPr>
          <w:p w14:paraId="2DE71D4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16AEB4FD" w14:textId="77777777" w:rsidTr="00A47688">
        <w:tc>
          <w:tcPr>
            <w:tcW w:w="2163" w:type="dxa"/>
            <w:tcBorders>
              <w:top w:val="nil"/>
              <w:left w:val="single" w:sz="4" w:space="0" w:color="auto"/>
              <w:bottom w:val="nil"/>
              <w:right w:val="nil"/>
            </w:tcBorders>
            <w:hideMark/>
          </w:tcPr>
          <w:p w14:paraId="50F18201"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Patel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{"citationItems":[{"id":"ITEM-1","itemData":{"DOI":"10.1136/archdischild-2015-308985","ISSN":"14682044","PMID":"26359508","abstract":"Objectives To investigate whether dietary calcium intake will modify the relationship between serum 25-hydroxyvitamin D3 (25OHD) with intact serum parathyroid hormone (PTH) concentrations in apparently healthy Indian adolescents. Study design Cross-sectional study. Setting and participants Apparently healthy adolescents aged 10-14 years (n=181), from Gujarat, western India. Study conducted from January 2012 to March 2014. Methods Serum 25OHD concentrations and intact serum PTH concentrations (both using chemiluminescent microparticle immunoassay) were measured. Diet was recorded through 24 h diet recall and calcium intake was computed (C-diet V.2.1). To assess relationship between 25OHD and PTH, data were dichotomised according to median calcium intakes (520 mg/day) and relationship between serum 25OHD and PTH in the two subgroups was plotted. Results Subjects with calcium intakes above median (&gt;520 mg/day) had lower intact serum PTH values for given serum 25OHD concentration while those with calcium intakes below median (&lt;520 mg/day) had higher intact serum PTH values for given serum 25OHD concentration. Serum 25OHD concentration was negatively correlated with intact serum PTH concentration at lower as well as higher calcium intakes (r=-0.606 and-0.483, respectively, p&lt;0.01 for both). Using a regression analysis, predicted values for intact serum PTH concentration for the given serum 25OHD concentrations were plotted. The plot revealed a negative shift with increasing calcium intake. Conclusions Dietary calcium intake modifies the relationship between serum 25OHD concentrations and intact serum PTH concentrations. Thus, dietary calcium intake should be taken into account when assessing an individual's vitamin D status.","author":[{"dropping-particle":"","family":"Patel","given":"Prerna","non-dropping-particle":"","parse-names":false,"suffix":""},{"dropping-particle":"","family":"Zulf Mughal","given":"M.","non-dropping-particle":"","parse-names":false,"suffix":""},{"dropping-particle":"","family":"Patel","given":"Pinal","non-dropping-particle":"","parse-names":false,"suffix":""},{"dropping-particle":"","family":"Yagnik","given":"Bhrugu","non-dropping-particle":"","parse-names":false,"suffix":""},{"dropping-particle":"","family":"Kajale","given":"Neha","non-dropping-particle":"","parse-names":false,"suffix":""},{"dropping-particle":"","family":"Mandlik","given":"Rubina","non-dropping-particle":"","parse-names":false,"suffix":""},{"dropping-particle":"","family":"Khadilkar","given":"Vaman","non-dropping-particle":"","parse-names":false,"suffix":""},{"dropping-particle":"","family":"Chiplonkar","given":"Shashi A.","non-dropping-particle":"","parse-names":false,"suffix":""},{"dropping-particle":"","family":"Phanse","given":"Supriya","non-dropping-particle":"","parse-names":false,"suffix":""},{"dropping-particle":"","family":"Patwardhan","given":"Vivek","non-dropping-particle":"","parse-names":false,"suffix":""},{"dropping-particle":"","family":"Patel","given":"Ashish","non-dropping-particle":"","parse-names":false,"suffix":""},{"dropping-particle":"","family":"Khadilkar","given":"Anuradha","non-dropping-particle":"","parse-names":false,"suffix":""}],"container-title":"Archives of Disease in Childhood","id":"ITEM-1","issue":"4","issued":{"date-parts":[["2016"]]},"page":"316-319","title":"Dietary calcium intake influences the relationship between serum 25-hydroxyvitamin D3 (25OHD) concentration and parathyroid hormone (PTH) concentration","type":"article-journal","volume":"101"},"uris":["http://www.mendeley.com/documents/?uuid=0d79127f-480d-432c-bcdc-71c87b40eff4"]}],"mendeley":{"formattedCitation":"(21)","plainTextFormattedCitation":"(21)","previouslyFormattedCitation":"(21)"},"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(43)</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5C1540D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3666830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5BE73F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673E0A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67E9EF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2A649D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06AC51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B171DD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0E0232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71B0B66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235177B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076A5E4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6A4C5919" w14:textId="77777777" w:rsidTr="00A47688">
        <w:tc>
          <w:tcPr>
            <w:tcW w:w="2163" w:type="dxa"/>
            <w:tcBorders>
              <w:top w:val="nil"/>
              <w:left w:val="single" w:sz="4" w:space="0" w:color="auto"/>
              <w:bottom w:val="nil"/>
              <w:right w:val="nil"/>
            </w:tcBorders>
            <w:hideMark/>
          </w:tcPr>
          <w:p w14:paraId="47620B6D"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Marwaha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{"citationItems":[{"id":"ITEM-1","itemData":{"DOI":"10.1515/jpem-2017-0275","ISSN":"21910251","abstract":"There is a high prevalence of vitamin D deficiency (VDD) in India. Molecular mechanisms suggest a strong relationship between vitamin D and growth factors. However, there is a paucity of literature with regard to a relationship between insulin-like growth factor-1 (IGF-1), insulin-like growth factor binding protein-3 (IGFBP-3) and vitamin D particularly in subjects with VDD. The objective of the study was to assess the relationship between growth factors and serum vitamin D-parathormone (PTH) status in school girls and study the impact of vitamin D supplementation on growth factors in pre-pubertal girls with VDD. Our study subjects were apparently healthy school girls aged 6-18 years. The baseline height, weight, body mass index (BMI), pubertal status, serum 25-hydroxy vitamin D (25OHD), PTH, IGF-1 and IGFBP-3 were assessed in 847 girls aged 6-18 years and in 190 pre-pubertal girls with VDD following supplementation. The mean age, BMI and serum 25OHD of girls were 11.5±3.2 years, 18.7±4.8 kg/m2 and 9.9±5.6 ng/mL, respectively. VDD was observed in 94.6% of girls. Unadjusted serum IGF-1 levels and IGF-1/IGFBP-3 molar ratio were significantly higher in girls with severe VDD as compared to girls with mild-to-moderate VDD. However, these differences disappeared when adjusted for age, height or sexual maturation. The serum IGF-1 and IGFBP-3 levels increased significantly post supplementation with vitamin D. There were no differences in serum IGF-1 levels and the IGF-1/IGFBP-3 molar ratio among VDD categories when adjusted for age, height and sexual maturation in girls. Vitamin D supplementation resulted in a significant increase in serum IGF-1 levels in VDD pre-pubertal girls.","author":[{"dropping-particle":"","family":"Marwaha","given":"Ramank K.","non-dropping-particle":"","parse-names":false,"suffix":""},{"dropping-particle":"","family":"Garg","given":"M. K.","non-dropping-particle":"","parse-names":false,"suffix":""},{"dropping-particle":"","family":"Gupta","given":"Sushil","non-dropping-particle":"","parse-names":false,"suffix":""},{"dropping-particle":"","family":"Ganie","given":"Mohd Ashraf","non-dropping-particle":"","parse-names":false,"suffix":""},{"dropping-particle":"","family":"Gupta","given":"Nandita","non-dropping-particle":"","parse-names":false,"suffix":""},{"dropping-particle":"","family":"Narang","given":"Archna","non-dropping-particle":"","parse-names":false,"suffix":""},{"dropping-particle":"","family":"Shukla","given":"Manoj","non-dropping-particle":"","parse-names":false,"suffix":""},{"dropping-particle":"","family":"Arora","given":"Preeti","non-dropping-particle":"","parse-names":false,"suffix":""},{"dropping-particle":"","family":"Singh","given":"Annie","non-dropping-particle":"","parse-names":false,"suffix":""},{"dropping-particle":"","family":"Chadha","given":"Aditi","non-dropping-particle":"","parse-names":false,"suffix":""},{"dropping-particle":"","family":"Mithal","given":"Ambrish","non-dropping-particle":"","parse-names":false,"suffix":""}],"container-title":"Journal of Pediatric Endocrinology and Metabolism","id":"ITEM-1","issue":"3","issued":{"date-parts":[["2018"]]},"page":"289-295","title":"Association of insulin-like growth factor-1 and IGF binding protein-3 with 25-hydroxy Vitamin D in pre-pubertal and adolescent Indian girls","type":"article-journal","volume":"31"},"uris":["http://www.mendeley.com/documents/?uuid=db5852aa-8285-4e78-9bd9-c97f5dbd3de1"]}],"mendeley":{"formattedCitation":"(22)","plainTextFormattedCitation":"(22)","previouslyFormattedCitation":"(22)"},"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(44)</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175D334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6D8627F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EB795B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3F7011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5F2B6D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B5E038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0BABB5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6B2F71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ABEF7F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4B3A9B5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22651FD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1C830B1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7C8244D0" w14:textId="77777777" w:rsidTr="00A47688">
        <w:tc>
          <w:tcPr>
            <w:tcW w:w="2163" w:type="dxa"/>
            <w:tcBorders>
              <w:top w:val="nil"/>
              <w:left w:val="single" w:sz="4" w:space="0" w:color="auto"/>
              <w:bottom w:val="nil"/>
              <w:right w:val="nil"/>
            </w:tcBorders>
            <w:vAlign w:val="center"/>
            <w:hideMark/>
          </w:tcPr>
          <w:p w14:paraId="0E0310B1"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Prasad et al</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{"citationItems":[{"id":"ITEM-1","itemData":{"DOI":"10.7860/JCDR/2016/17318.7287","ISSN":"0973709X","abstract":"Introduction: Early childhood wheezing is a heterogeneous condition, which has several phenotypic expressions and a complex relationship with the development of asthma later in life. New studies indicate the prevalence of recurrent wheeze to be associated with Vitamin D deficiency. This has not been explored in Indian settings widely, mandating this exploration. Aim: To determine the severity of Vitamin D deficiency and its association with recurrent wheeze in children less than 3 years of age. Materials and Methods: Consecutive type of non-probability sampling was followed for selection of study subjects with a total sample size to be 122 children in the Hospital setting. A pre- formed, pre- tested, structured interview schedule was used to obtain information. Estimation of 25 (OH) Vitamin D was done using ELISA method. Kit used for estimation was DLD Diagnostika GMBH 25(OH) Vitamin D ELISA from Germany. Standard statistical tools were used including Logistic regression analysis, and ROC curve, p value &lt;0.05 was considered to be statistically significant. SPSS software version 17.0 was used. Results: Each 10ng/ml decrease in Vitamin D level is associated with 7.25% greater odds of wheezing. Our study also suggests, exclusive breast feeding and delaying of complementary feeding beyond 6 months of age are significant predictors of Vitamin D deficiency and have indirect association with increased incidence of wheezing in children. Conclusion: The study concluded that Vitamin D deficiency is associated with increased risk of recurrent wheezing.","author":[{"dropping-particle":"","family":"Prasad","given":"Santosh","non-dropping-particle":"","parse-names":false,"suffix":""},{"dropping-particle":"","family":"Rana","given":"Rishabh Kumar","non-dropping-particle":"","parse-names":false,"suffix":""},{"dropping-particle":"","family":"Seth","given":"Ronak","non-dropping-particle":"","parse-names":false,"suffix":""},{"dropping-particle":"V.","family":"Mauskar","given":"Anupama","non-dropping-particle":"","parse-names":false,"suffix":""}],"container-title":"Journal of Clinical and Diagnostic Research","id":"ITEM-1","issue":"2","issued":{"date-parts":[["2016"]]},"page":"SC18-SC21","title":"A hospital based study to establish the correlation between recurrent wheeze and vitamin D deficiency among children of age group less than 3 years in Indian scenario","type":"article-journal","volume":"10"},"uris":["http://www.mendeley.com/documents/?uuid=71c949cc-61ec-4bc4-b81c-965ea71fd01e"]}],"mendeley":{"formattedCitation":"(23)","plainTextFormattedCitation":"(23)","previouslyFormattedCitation":"(23)"},"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(45)</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26A40C6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7E7C846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09F19F4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1578DB9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88CCD1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CA44BF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602F21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A0E080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7573D7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68DF377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810" w:type="dxa"/>
            <w:tcBorders>
              <w:top w:val="nil"/>
              <w:left w:val="nil"/>
              <w:bottom w:val="nil"/>
              <w:right w:val="nil"/>
            </w:tcBorders>
            <w:hideMark/>
          </w:tcPr>
          <w:p w14:paraId="56605DB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5</w:t>
            </w:r>
          </w:p>
        </w:tc>
        <w:tc>
          <w:tcPr>
            <w:tcW w:w="1169" w:type="dxa"/>
            <w:tcBorders>
              <w:top w:val="nil"/>
              <w:left w:val="nil"/>
              <w:bottom w:val="nil"/>
              <w:right w:val="single" w:sz="4" w:space="0" w:color="auto"/>
            </w:tcBorders>
            <w:hideMark/>
          </w:tcPr>
          <w:p w14:paraId="49F9501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1A64BCB5" w14:textId="77777777" w:rsidTr="00A47688">
        <w:tc>
          <w:tcPr>
            <w:tcW w:w="2163" w:type="dxa"/>
            <w:tcBorders>
              <w:top w:val="nil"/>
              <w:left w:val="single" w:sz="4" w:space="0" w:color="auto"/>
              <w:bottom w:val="nil"/>
              <w:right w:val="nil"/>
            </w:tcBorders>
            <w:vAlign w:val="center"/>
            <w:hideMark/>
          </w:tcPr>
          <w:p w14:paraId="2C96E430"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Agarwal et al</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{"citationItems":[{"id":"ITEM-1","itemData":{"DOI":"10.1093/tropej/fms013","ISSN":"01426338","abstract":"Objective: To evaluate vitamin D status of preterm and term low birthweight (LBW) and term normal birth weight (NBW; weight ≥ 2500 g) infants at birth and in early infancy.Methods: We enrolled 220 LBW and 119 NBW infants along with their mothers. Blood samples of both infants and mothers were taken within 48 h of birth, and that of infants were repeated at 3 months. Serum levels of calcium, phosphate, alkaline phosphatase, 25 hydroxyvitamin D (25OHD) and parathormone (PTH) were estimated using standard tests. Our primary outcome was vitamin D deficiency (VDD; serum 25OHD &lt;20 ng/ml in mothers and &lt;15 ng/ml in infants). Other outcomes were raised PTH (&gt;46 pg/ml), raised AlkP (&gt;120 U/l in mothers and 420 U/l in infants), and clinical rickets.Findings: VDD was present in 186 (87.3%) of LBW and 103 (88.6%) of NBW infants at birth, and in 77 (60.6%) of LBW and 55 (71.6%) of NBW infants at a median corrected age of 12 and 15 weeks, respectively. VDD was almost universal (93-97%) among mothers of both groups. Raised PTH was present in 138 (63.6%) of LBW and 48 (41.4%) of NBW infants at birth, and in 58 (45.7%) of LBW and 38 (49.3%) of NBW infants at follow-up. Clinical rickets was present in 17 (13.4%) of LBW and 4 (4.9%) of NBW infants at 12-14 weeks of corrected age.Conclusions: High prevalence of VDD in LBW as well as NBW infants with clinical rickets at an early age underlines the need to study the effect of various vitamin D supplementation regimens in these infants to identify the optimal dose. © The Author [2012]. Published by Oxford University Press. All rights reserved.","author":[{"dropping-particle":"","family":"Agarwal","given":"Ramesh","non-dropping-particle":"","parse-names":false,"suffix":""},{"dropping-particle":"","family":"Virmani","given":"Deenanath","non-dropping-particle":"","parse-names":false,"suffix":""},{"dropping-particle":"","family":"Jaipal","given":"Munna Lal","non-dropping-particle":"","parse-names":false,"suffix":""},{"dropping-particle":"","family":"Gupta","given":"Shuchita","non-dropping-particle":"","parse-names":false,"suffix":""},{"dropping-particle":"","family":"Gupta","given":"Nandita","non-dropping-particle":"","parse-names":false,"suffix":""},{"dropping-particle":"","family":"Sankar","given":"M. Jeeva","non-dropping-particle":"","parse-names":false,"suffix":""},{"dropping-particle":"","family":"Bhatia","given":"Sunita","non-dropping-particle":"","parse-names":false,"suffix":""},{"dropping-particle":"","family":"Agarwal","given":"Anand","non-dropping-particle":"","parse-names":false,"suffix":""},{"dropping-particle":"","family":"Devgan","given":"Veena","non-dropping-particle":"","parse-names":false,"suffix":""},{"dropping-particle":"","family":"Deorari","given":"Ashok","non-dropping-particle":"","parse-names":false,"suffix":""},{"dropping-particle":"","family":"Paul","given":"Vinod K.","non-dropping-particle":"","parse-names":false,"suffix":""}],"container-title":"Journal of Tropical Pediatrics","id":"ITEM-1","issue":"6","issued":{"date-parts":[["2012"]]},"page":"446-450","title":"Vitamin D status of low birth weight infants in Delhi: A comparative study","type":"article-journal","volume":"58"},"uris":["http://www.mendeley.com/documents/?uuid=2c099724-c753-4a7a-a4bd-a48254b7bcd3"]}],"mendeley":{"formattedCitation":"(24)","plainTextFormattedCitation":"(24)","previouslyFormattedCitation":"(24)"},"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(46)</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33BCCC6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6CFA190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51A00A2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03B31CF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96B078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A0D5B3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D70AF7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70805F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9DA25E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630" w:type="dxa"/>
            <w:tcBorders>
              <w:top w:val="nil"/>
              <w:left w:val="nil"/>
              <w:bottom w:val="nil"/>
              <w:right w:val="nil"/>
            </w:tcBorders>
            <w:hideMark/>
          </w:tcPr>
          <w:p w14:paraId="20EDFAB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64B7535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3</w:t>
            </w:r>
          </w:p>
        </w:tc>
        <w:tc>
          <w:tcPr>
            <w:tcW w:w="1169" w:type="dxa"/>
            <w:tcBorders>
              <w:top w:val="nil"/>
              <w:left w:val="nil"/>
              <w:bottom w:val="nil"/>
              <w:right w:val="single" w:sz="4" w:space="0" w:color="auto"/>
            </w:tcBorders>
            <w:hideMark/>
          </w:tcPr>
          <w:p w14:paraId="6804C77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21EF9815" w14:textId="77777777" w:rsidTr="00A47688">
        <w:tc>
          <w:tcPr>
            <w:tcW w:w="2163" w:type="dxa"/>
            <w:tcBorders>
              <w:top w:val="nil"/>
              <w:left w:val="single" w:sz="4" w:space="0" w:color="auto"/>
              <w:bottom w:val="nil"/>
              <w:right w:val="nil"/>
            </w:tcBorders>
            <w:vAlign w:val="center"/>
            <w:hideMark/>
          </w:tcPr>
          <w:p w14:paraId="25A82021"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Wayse</w:t>
            </w:r>
            <w:proofErr w:type="spellEnd"/>
            <w:r w:rsidRPr="00BD0EAD">
              <w:rPr>
                <w:rFonts w:ascii="Times New Roman" w:eastAsia="Times New Roman" w:hAnsi="Times New Roman"/>
                <w:color w:val="000000"/>
                <w:sz w:val="20"/>
                <w:szCs w:val="20"/>
              </w:rPr>
              <w:t xml:space="preserve"> et al</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{"citationItems":[{"id":"ITEM-1","itemData":{"DOI":"10.1038/sj.ejcn.1601845","ISSN":"09543007","abstract":"Objectives: To determine whether subclinical vitamin D deficiency in Indian children under 5 y of age is a risk factor for severe acute lower respiratory infection (ALRI). Design: A hospital-based case-control study. Setting: Sanjeevani Paediatrics Hospital, a private hospital in Indapur, India. Participants: A total of 150 children including 80 cases and 70 controls, aged 2-60 months, were enrolled. Case definition of severe ALRI as given by the World Health Organization was used for cases. Controls were healthy children attending outpatients' service for immunization. Main outcome measure: Association of serum 25-hydroxyvitamin D3 (25OHD3) with severe ALRI, controlling for demographic and other potential risk factors. Results: Serum 25OHD3 increased with age. Factors significantly associated with decreased risk of severe ALRI in univariate analysis were: exclusive breastfeeding in the first 4 months (cases 35/78 (45%), controls 41/64 (64%); P= 0.02); introduction of other dietary liquids than milk only after 6 months (cases 46/70 (66%), controls 31/66 (47%); P=0.03); use of liquid petroleum cooking fuel (cases 32/80 (40%), controls 40/70 (57%); P=0.04); infant not covered in swaddling cloths when exposed to sunlight before crawling (cases 11/52 (21%), controls 25/54 (46%); P=0.006); and serum 25OHD3 &gt; 22.5 nmol/l (cases 16/80 (20%), controls 48/70 (69%); P&lt;0.001). In multivariate analysis, factors associated with significantly lower odds ratio for having severe ALRI were: serum 25OHD3 &gt; 22.5nmol/l (OR: 0.09; 95% CI 0.03-0.24; P&lt;0.001) and exclusive breastfeeding in the first 4 months of life (OR 0.42; 95% CI 0.18-0.99; P=0.046) with age and height/age as significant covariates. Conclusion: Subclinical vitamin D deficiency and nonexclusive breastfeeding in the first 4 months of life were significant risk factors for severe ALRI in Indian children. © 2004 Nature Publishing Group. All rights reserved.","author":[{"dropping-particle":"","family":"Wayse","given":"V.","non-dropping-particle":"","parse-names":false,"suffix":""},{"dropping-particle":"","family":"Yousafzai","given":"A.","non-dropping-particle":"","parse-names":false,"suffix":""},{"dropping-particle":"","family":"Mogale","given":"K.","non-dropping-particle":"","parse-names":false,"suffix":""},{"dropping-particle":"","family":"Filteau","given":"S.","non-dropping-particle":"","parse-names":false,"suffix":""}],"container-title":"European Journal of Clinical Nutrition","id":"ITEM-1","issue":"4","issued":{"date-parts":[["2004"]]},"page":"563-567","title":"Association of subclinical vitamin D deficiency with severe acute lower respiratory infection in Indian children under 5 y","type":"article-journal","volume":"58"},"uris":["http://www.mendeley.com/documents/?uuid=3864d3b2-1f1f-49c9-ac29-659e0554ca91"]}],"mendeley":{"formattedCitation":"(25)","plainTextFormattedCitation":"(25)","previouslyFormattedCitation":"(25)"},"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(47)</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3DE56A8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253597E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1410B23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5F90A34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AD5558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53E06D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79A0D5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BFDF61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8D7323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630" w:type="dxa"/>
            <w:tcBorders>
              <w:top w:val="nil"/>
              <w:left w:val="nil"/>
              <w:bottom w:val="nil"/>
              <w:right w:val="nil"/>
            </w:tcBorders>
            <w:hideMark/>
          </w:tcPr>
          <w:p w14:paraId="72AD471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7C8DD7C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3</w:t>
            </w:r>
          </w:p>
        </w:tc>
        <w:tc>
          <w:tcPr>
            <w:tcW w:w="1169" w:type="dxa"/>
            <w:tcBorders>
              <w:top w:val="nil"/>
              <w:left w:val="nil"/>
              <w:bottom w:val="nil"/>
              <w:right w:val="single" w:sz="4" w:space="0" w:color="auto"/>
            </w:tcBorders>
            <w:hideMark/>
          </w:tcPr>
          <w:p w14:paraId="689B1E8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773F5F4E" w14:textId="77777777" w:rsidTr="00A47688">
        <w:tc>
          <w:tcPr>
            <w:tcW w:w="2163" w:type="dxa"/>
            <w:tcBorders>
              <w:top w:val="nil"/>
              <w:left w:val="single" w:sz="4" w:space="0" w:color="auto"/>
              <w:bottom w:val="nil"/>
              <w:right w:val="nil"/>
            </w:tcBorders>
            <w:vAlign w:val="bottom"/>
            <w:hideMark/>
          </w:tcPr>
          <w:p w14:paraId="7FAA3272"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Filteau</w:t>
            </w:r>
            <w:proofErr w:type="spellEnd"/>
            <w:r w:rsidRPr="00BD0EAD">
              <w:rPr>
                <w:rFonts w:ascii="Times New Roman" w:eastAsia="Times New Roman" w:hAnsi="Times New Roman"/>
                <w:color w:val="000000"/>
                <w:sz w:val="20"/>
                <w:szCs w:val="20"/>
              </w:rPr>
              <w:t xml:space="preserve"> et al </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{"citationItems":[{"id":"ITEM-1","itemData":{"DOI":"10.1136/bmjopen-2015-009268","ISSN":"20446055","abstract":"Objectives: There is little information regarding motor development of children born at term with low birth weight (LBW), a group that constitutes a large proportion of children in South Asia. We used data from infancy and at school age from a LBW cohort to investigate children's motor performance using causal inference. Design: Cross-sectional follow-up study. Setting: Delhi, India. Participants: We recruited 912 children aged 5 years who had participated in a trial of Vitamin D for term LBW infants in the first 6 months of life. Outcome measures: We focused on gross motor development, using the Ages and Stages Questionnaire (ASQ) gross motor scale and several measures of motor performance. We examined the effects on these of current anthropometry, Vitamin D status and bone health, controlling for age, sex, season of interview, socioeconomic variables, early growth, recent morbidity, sun exposure and animal food intake. Results: In adjusted analyses, stunted children (height-for-age Z (HAZ) &gt;-2) took longer to run 20 m (0.52 s, 95% CI 0.35 to 0.70; p&gt;0.001) and had greater odds of a failing score on the ASQ (OR 3.00, 95% CI 1.41 to 6.38, p=0.004). Greater arm muscle area was associated with faster run time, and the ability to perform more stands and squats in 15 s. Poorer Vitamin D status was associated with the ability to perform more stands and squats. Lower tibia ultrasound Z score was associated with greater hand grip strength. Early growth and current body mass index had no associations with motor outcomes. Conclusions: Current HAZ and arm muscle area showed the strongest associations with gross motor outcomes, likely due to a combination of simple physics and factors associated with stunting. The counterintuitive inverse associations of tibia health and Vitamin D status with outcomes may require further research.","author":[{"dropping-particle":"","family":"Filteau","given":"Suzanne","non-dropping-particle":"","parse-names":false,"suffix":""},{"dropping-particle":"","family":"Rehman","given":"Andrea M.","non-dropping-particle":"","parse-names":false,"suffix":""},{"dropping-particle":"","family":"Yousafzai","given":"Aisha","non-dropping-particle":"","parse-names":false,"suffix":""},{"dropping-particle":"","family":"Chugh","given":"Reema","non-dropping-particle":"","parse-names":false,"suffix":""},{"dropping-particle":"","family":"Kaur","given":"Manpreet","non-dropping-particle":"","parse-names":false,"suffix":""},{"dropping-particle":"","family":"Sachdev","given":"H. P.S.","non-dropping-particle":"","parse-names":false,"suffix":""},{"dropping-particle":"","family":"Trilok-Kumar","given":"Geeta","non-dropping-particle":"","parse-names":false,"suffix":""}],"container-title":"BMJ Open","id":"ITEM-1","issue":"1","issued":{"date-parts":[["2016"]]},"title":"Associations of Vitamin D status, bone health and anthropometry, with gross motor development and performance of school-aged Indian children who were born at term with low birth weight","type":"article-journal","volume":"6"},"uris":["http://www.mendeley.com/documents/?uuid=6c16f71d-a964-46e7-a6dc-6870df52cdab"]}],"mendeley":{"formattedCitation":"(26)","plainTextFormattedCitation":"(26)","previouslyFormattedCitation":"(26)"},"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(48)</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3F5E30E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1B87FB7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4AC7F33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73CAEBD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AC63C9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20E7FF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150C34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4261829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1DBD36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594A6D5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810" w:type="dxa"/>
            <w:tcBorders>
              <w:top w:val="nil"/>
              <w:left w:val="nil"/>
              <w:bottom w:val="nil"/>
              <w:right w:val="nil"/>
            </w:tcBorders>
            <w:hideMark/>
          </w:tcPr>
          <w:p w14:paraId="17506DC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5</w:t>
            </w:r>
          </w:p>
        </w:tc>
        <w:tc>
          <w:tcPr>
            <w:tcW w:w="1169" w:type="dxa"/>
            <w:tcBorders>
              <w:top w:val="nil"/>
              <w:left w:val="nil"/>
              <w:bottom w:val="nil"/>
              <w:right w:val="single" w:sz="4" w:space="0" w:color="auto"/>
            </w:tcBorders>
            <w:hideMark/>
          </w:tcPr>
          <w:p w14:paraId="0391463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59D6A750" w14:textId="77777777" w:rsidTr="00A47688">
        <w:tc>
          <w:tcPr>
            <w:tcW w:w="2163" w:type="dxa"/>
            <w:tcBorders>
              <w:top w:val="nil"/>
              <w:left w:val="single" w:sz="4" w:space="0" w:color="auto"/>
              <w:bottom w:val="nil"/>
              <w:right w:val="nil"/>
            </w:tcBorders>
            <w:vAlign w:val="bottom"/>
            <w:hideMark/>
          </w:tcPr>
          <w:p w14:paraId="55381D6F"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Taru</w:t>
            </w:r>
            <w:proofErr w:type="spellEnd"/>
            <w:r w:rsidRPr="00BD0EAD">
              <w:rPr>
                <w:rFonts w:ascii="Times New Roman" w:eastAsia="Times New Roman" w:hAnsi="Times New Roman"/>
                <w:color w:val="000000"/>
                <w:sz w:val="20"/>
                <w:szCs w:val="20"/>
              </w:rPr>
              <w:t xml:space="preserve"> et al </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{"citationItems":[{"id":"ITEM-1","itemData":{"DOI":"10.1007/s13224-014-0663-8","ISSN":"09756434","abstract":"Objective: To evaluate maternal vitamin D levels in term normotensive and preeclamptic patients in labor and to assess additional factors such as maternal and cord blood levels of calcium, phosphorus, parathormone, and alkaline phosphatase and associated factors such as BMI, birth weight, and mode of delivery. Method: This was a case control study carried out in Department of Obstetrics and Gynaecology, ESIC-PGIMSR, New Delhi, India from August 2012–April 2014. A total of 100 patients were divided into two equal groups (control and study groups of 50 each). Control group had women with singleton uncomplicated, term normotensive pregnant women in labor while the study group composed of term preeclamptic women in labor. Blood samples were drawn for vitamin D, serum calcium, serum phosphorus, serum alkaline phosphatase, and serum parathormone levels during first stage of labor, and subsequently, their levels were evaluated in cord blood also. Results: All the enrolled patients had vitamin D deficiency pointing toward a universal prevalence of this micronutrient deficiency in antenatal patients. We found more incidence of severe vitamin D deficiency (90 %) in preeclamptic patients as compared to normotensive patients (62 %). Also preeclamptic group had lower median vitamin D levels (3.9 ng/ml) when compared to normotensive group (9 ng/ml). Similarly, all the neonates were found to be vitamin D deficient as assessed by their cord blood levels. Neonates born to preeclamptic mothers had lower median cord blood vitamin D levels (4.4 ng/ml) when compared to those born to normotensive mothers (7.25 ng/ml). The mean maternal calcium levels followed trends observed in vitamin D levels with preeclamptic patients having consistently lower calcium levels (mean value of 8.50 ± 0.80 mg/dl) when compared to normotensive patients (mean value of 8.89 ± 0.56 mg/dl). Preeclamptic group was found to have more number of patients (58 %) with higher BMI when compared to normotensive group (32 % of patients). A slightly more incidence (36 %) of low birth weight babies is being born to preeclamptic mothers as compared to normotensive mothers (34 %). Significantly a more number of patients (36 %) with vitamin D levels below 15 ng/ml underwent cesarean section when compared to only 9 % of patients having vitamin D level above this level. Conclusion: Preeclampsia is indeed associated with lower vitamin D levels, and its pathophysiology involves vitamin D and calcium metabolism.","author":[{"dropping-particle":"","family":"Gupta","given":"Taru","non-dropping-particle":"","parse-names":false,"suffix":""},{"dropping-particle":"","family":"Wahi","given":"Sonika","non-dropping-particle":"","parse-names":false,"suffix":""},{"dropping-particle":"","family":"Gupta","given":"Nupur","non-dropping-particle":"","parse-names":false,"suffix":""},{"dropping-particle":"","family":"Arora","given":"Sarika","non-dropping-particle":"","parse-names":false,"suffix":""},{"dropping-particle":"","family":"Gupta","given":"Sangeeta","non-dropping-particle":"","parse-names":false,"suffix":""},{"dropping-particle":"","family":"Bhatia","given":"Pushpa","non-dropping-particle":"","parse-names":false,"suffix":""}],"container-title":"Journal of Obstetrics and Gynecology of India","id":"ITEM-1","issue":"3","issued":{"date-parts":[["2016"]]},"page":"154-159","publisher":"Springer India","title":"Correlation of Vitamin D Levels in Term Normotensive and Pre-eclamptic Patients in Labor","type":"article-journal","volume":"66"},"uris":["http://www.mendeley.com/documents/?uuid=a8b0398f-e543-4cfd-81fb-593b93d51dc6"]}],"mendeley":{"formattedCitation":"(27)","plainTextFormattedCitation":"(27)","previouslyFormattedCitation":"(27)"},"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(49)</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64CE0CF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4FD3E07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0E57A17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52DABA8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C31EA5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1F8C32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F63B96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FCCCFD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F4ECEC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3D60DBB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47D94FA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4</w:t>
            </w:r>
          </w:p>
        </w:tc>
        <w:tc>
          <w:tcPr>
            <w:tcW w:w="1169" w:type="dxa"/>
            <w:tcBorders>
              <w:top w:val="nil"/>
              <w:left w:val="nil"/>
              <w:bottom w:val="nil"/>
              <w:right w:val="single" w:sz="4" w:space="0" w:color="auto"/>
            </w:tcBorders>
            <w:hideMark/>
          </w:tcPr>
          <w:p w14:paraId="76D1632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6B268527" w14:textId="77777777" w:rsidTr="00A47688">
        <w:tc>
          <w:tcPr>
            <w:tcW w:w="2163" w:type="dxa"/>
            <w:tcBorders>
              <w:top w:val="nil"/>
              <w:left w:val="single" w:sz="4" w:space="0" w:color="auto"/>
              <w:bottom w:val="nil"/>
              <w:right w:val="nil"/>
            </w:tcBorders>
            <w:vAlign w:val="bottom"/>
            <w:hideMark/>
          </w:tcPr>
          <w:p w14:paraId="1ADD8C8B"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Sreedharan</w:t>
            </w:r>
            <w:proofErr w:type="spellEnd"/>
            <w:r w:rsidRPr="00BD0EAD">
              <w:rPr>
                <w:rFonts w:ascii="Times New Roman" w:eastAsia="Times New Roman" w:hAnsi="Times New Roman"/>
                <w:color w:val="000000"/>
                <w:sz w:val="20"/>
                <w:szCs w:val="20"/>
              </w:rPr>
              <w:t xml:space="preserve"> et al </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{"citationItems":[{"id":"ITEM-1","itemData":{"DOI":"10.1007/s13312-018-1273-9","ISBN":"0974755916001","ISSN":"09747559","PMID":"29428922","abstract":"Objective: To assess the effect of monotherapy with Carbamazepine (CBZ) and Sodium valproate (VPA) on serum 25-OH vitamin D levels in children with epilepsy compared to controls. Design: Cross-sectional study. Setting: Outpatient department of a tertiary-care Pediatric Neurology centre, and a nearby day-care centre and school. Study period: June 2012 to May 2013 Participants: Children with epilepsy aged 2 to 13 years on monotherapy with CBZ (n=28) or VPA (n=28) for at least 6 months; 109 age-matched controls from a nearby day-care centre and school. Results: The median (IQR) values of 25 (OH) vitamin D was 18.0 ng/mL (13.7-27.3), 21.35 ng/mL (16.4 -25.2) and 30.5 ng/mL (19.1-43.7) in CBZ, VPA and control group, respectively (P=0.008). 60.7% of patients in CBZ group and 35.7 % in VPA group had low 25 (OH) D levels (&lt;20 ng/mL) compared to 27.8% in controls (P=0.001).The serum alkaline phosphatase level was higher in children on carbamazepine therapy (P=0.001) than controls. Conclusion: This study identifies significant risk of vitamin D deficiency in ambulant children with epilepsy on monotherapy with CBZ or VPA.","author":[{"dropping-particle":"","family":"Sreedharan","given":"Mini","non-dropping-particle":"","parse-names":false,"suffix":""},{"dropping-particle":"","family":"Devadathan","given":"Kalpana","non-dropping-particle":"","parse-names":false,"suffix":""},{"dropping-particle":"","family":"Kunju","given":"P. A.Mohammed","non-dropping-particle":"","parse-names":false,"suffix":""},{"dropping-particle":"","family":"Sasidharan","given":"Bindusha","non-dropping-particle":"","parse-names":false,"suffix":""},{"dropping-particle":"","family":"Pillai","given":"Jayakumar Parameswaran","non-dropping-particle":"","parse-names":false,"suffix":""},{"dropping-particle":"","family":"Amma","given":"Minikumari Amma Vasumathy","non-dropping-particle":"","parse-names":false,"suffix":""},{"dropping-particle":"","family":"MuthuBeevi","given":"Saboorabeegum","non-dropping-particle":"","parse-names":false,"suffix":""}],"container-title":"Indian Pediatrics","id":"ITEM-1","issue":"4","issued":{"date-parts":[["2018"]]},"page":"307-310","title":"Vitamin D Deficiency in Ambulant Children on Carbamazepine or Sodium Valproate Monotherapy","type":"article-journal","volume":"55"},"uris":["http://www.mendeley.com/documents/?uuid=7ed331ab-15af-477c-9081-ec21e341499b"]}],"mendeley":{"formattedCitation":"(10)","plainTextFormattedCitation":"(10)","previouslyFormattedCitation":"(10)"},"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(50)</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40657A3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100ED2B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23B6B9E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3406C3B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28DF89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B85FDB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E64096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ECAECF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9F2CE4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62E032E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810" w:type="dxa"/>
            <w:tcBorders>
              <w:top w:val="nil"/>
              <w:left w:val="nil"/>
              <w:bottom w:val="nil"/>
              <w:right w:val="nil"/>
            </w:tcBorders>
            <w:hideMark/>
          </w:tcPr>
          <w:p w14:paraId="4E0D180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5</w:t>
            </w:r>
          </w:p>
        </w:tc>
        <w:tc>
          <w:tcPr>
            <w:tcW w:w="1169" w:type="dxa"/>
            <w:tcBorders>
              <w:top w:val="nil"/>
              <w:left w:val="nil"/>
              <w:bottom w:val="nil"/>
              <w:right w:val="single" w:sz="4" w:space="0" w:color="auto"/>
            </w:tcBorders>
            <w:hideMark/>
          </w:tcPr>
          <w:p w14:paraId="67600ED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0B0CABF0" w14:textId="77777777" w:rsidTr="00A47688">
        <w:tc>
          <w:tcPr>
            <w:tcW w:w="2163" w:type="dxa"/>
            <w:tcBorders>
              <w:top w:val="nil"/>
              <w:left w:val="single" w:sz="4" w:space="0" w:color="auto"/>
              <w:bottom w:val="nil"/>
              <w:right w:val="nil"/>
            </w:tcBorders>
            <w:vAlign w:val="bottom"/>
            <w:hideMark/>
          </w:tcPr>
          <w:p w14:paraId="3FCF1FB4"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 xml:space="preserve">Agarwal et al </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{"citationItems":[{"id":"ITEM-1","itemData":{"DOI":"10.1111/j.1651-2227.2010.01912.x","ISSN":"08035253","abstract":"Objectives: (i) To measure 25-OH vitamin D levels in term infants at 10 weeks and 6 months and to correlate with maternal vitamin D levels at 10-week postpartum (ii) To evaluate infants at 6 months for rickets. Patients and methods: A total of 179 exclusively breastfed infant-mother pairs 96 appropriate-for-gestational age (Group 1) and 83 small- for- gestational age infants (Group 2) recruited at 10 weeks. At 6 months, 52 in group 1 and 45 in group 2 were evaluated. Venous blood sample were collected at 10 weeks and 6 months in infants and at 10 weeks in mothers for calcium, phosphorus, alkaline phosphatase and 25-OH vitamin D estimation. Results: Mean 25-OH vitamin D levels of infants (n = 97) were 11.55 ± 7.17 ng /mL at 10 weeks and 16.96 ± 13.33 ng /mL at 6 months (p &lt; 0.001). Mean vitamin D levels of infants in group 1 and group 2 did not differ at recruitment and 6 months (p &gt; 0.05)). Maternal vitamin D levels in group 1 and group 2 were 8.89 ± 5.97 and 9.87 ± 6.44 ng / mL, respectively (p = 0.44). Significant correlation was observed between 25-OH vitamin D of infants and mothers (p &lt; 0.05). At 10 weeks, 55.67% infants, 70% mothers and at 6 months, 44.33% infants had vitamin D &lt; 11 ng / mL. At 6 months, 16.49% infants developed rickets. Conclusion: Exclusively breastfed infants and their mothers are Vitamin D deficient, hence the need to improve vitamin D status. © 2010 The Author(s)/Journal Compilation.","author":[{"dropping-particle":"","family":"Agarwal","given":"N.","non-dropping-particle":"","parse-names":false,"suffix":""},{"dropping-particle":"","family":"Faridi","given":"M. M.A.","non-dropping-particle":"","parse-names":false,"suffix":""},{"dropping-particle":"","family":"Aggarwal","given":"A.","non-dropping-particle":"","parse-names":false,"suffix":""},{"dropping-particle":"","family":"Singh","given":"O.","non-dropping-particle":"","parse-names":false,"suffix":""}],"container-title":"Acta Paediatrica, International Journal of Paediatrics","id":"ITEM-1","issue":"11","issued":{"date-parts":[["2010"]]},"page":"1671-1674","title":"Vitamin D status of term exclusively breastfed infants and their mothers from India","type":"article-journal","volume":"99"},"uris":["http://www.mendeley.com/documents/?uuid=cbe4f5ca-941a-4fbc-972d-8efc20776d39"]}],"mendeley":{"formattedCitation":"(28)","plainTextFormattedCitation":"(28)","previouslyFormattedCitation":"(28)"},"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(51)</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0800240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08728F5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2DF0AC1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0506681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1D2FDC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65DF46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D76406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C927F2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B25923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1B6698D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4A02B37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4</w:t>
            </w:r>
          </w:p>
        </w:tc>
        <w:tc>
          <w:tcPr>
            <w:tcW w:w="1169" w:type="dxa"/>
            <w:tcBorders>
              <w:top w:val="nil"/>
              <w:left w:val="nil"/>
              <w:bottom w:val="nil"/>
              <w:right w:val="single" w:sz="4" w:space="0" w:color="auto"/>
            </w:tcBorders>
            <w:hideMark/>
          </w:tcPr>
          <w:p w14:paraId="64AAE47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5644ABD3" w14:textId="77777777" w:rsidTr="00A47688">
        <w:tc>
          <w:tcPr>
            <w:tcW w:w="2163" w:type="dxa"/>
            <w:tcBorders>
              <w:top w:val="nil"/>
              <w:left w:val="single" w:sz="4" w:space="0" w:color="auto"/>
              <w:bottom w:val="nil"/>
              <w:right w:val="nil"/>
            </w:tcBorders>
            <w:vAlign w:val="bottom"/>
            <w:hideMark/>
          </w:tcPr>
          <w:p w14:paraId="002CDAD3"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 xml:space="preserve">Mathur et al </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{"citationItems":[{"id":"ITEM-1","itemData":{"DOI":"10.1093/tropej/fmv110","ISSN":"14653664","abstract":"Objectives: To compare the effect of 400 IU and 1000 IU vitamin D for 6 weeks in very low birth weight preterm neonates. Design: Randomized, double-blinded controlled trial in a teaching hospital. Participants: Fifty very low birth weight preterm neonates. Intervention: Vitamin D 400 IU/day (Group 1) or 1000 IU/day (Group 2). Outcome measures: Change in serum calcium, phosphate, alkaline phosphatase (ALP), 25-hydroxy vitamin D (25-OHD), parathormone, incidence of skeletal hypomineralization and growth. Results: After 6 weeks of supplementation, the mean serum calcium and 25-OHD levels were significantly higher (p &lt;0.001 each), while ALP and parathormone levels significantly lower (p &lt;0.001 each) in group 2. Skeletal hypomineralization was lesser and growth better in group 2. Conclusion: Vitamin D supplementation in a dose of 1000 IU/day is more effective in maintaining serum calcium, phosphate, ALP, 25-OHD and parathormone levels with lower incidence of skeletal hypomineralization and better growth.","author":[{"dropping-particle":"","family":"Mathur","given":"N. B.","non-dropping-particle":"","parse-names":false,"suffix":""},{"dropping-particle":"","family":"Saini","given":"Ashish","non-dropping-particle":"","parse-names":false,"suffix":""},{"dropping-particle":"","family":"Mishra","given":"T. K.","non-dropping-particle":"","parse-names":false,"suffix":""}],"container-title":"Journal of Tropical Pediatrics","id":"ITEM-1","issue":"6","issued":{"date-parts":[["2016"]]},"page":"429-435","title":"Assessment of adequacy of supplementation of vitamin D in very low birth weight preterm neonates: A randomized controlled trial","type":"article-journal","volume":"62"},"uris":["http://www.mendeley.com/documents/?uuid=490fbb85-df79-4243-bd98-590a29feb544"]}],"mendeley":{"formattedCitation":"(29)","plainTextFormattedCitation":"(29)","previouslyFormattedCitation":"(29)"},"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(52)</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53D392D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76B41E5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6FBC8B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450E73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EC3A3E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2742DE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E121EA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82FEDA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1BCDD7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630" w:type="dxa"/>
            <w:tcBorders>
              <w:top w:val="nil"/>
              <w:left w:val="nil"/>
              <w:bottom w:val="nil"/>
              <w:right w:val="nil"/>
            </w:tcBorders>
            <w:hideMark/>
          </w:tcPr>
          <w:p w14:paraId="5589B24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1E88BAD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7E747F4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4533928B" w14:textId="77777777" w:rsidTr="00A47688">
        <w:tc>
          <w:tcPr>
            <w:tcW w:w="2163" w:type="dxa"/>
            <w:tcBorders>
              <w:top w:val="nil"/>
              <w:left w:val="single" w:sz="4" w:space="0" w:color="auto"/>
              <w:bottom w:val="nil"/>
              <w:right w:val="nil"/>
            </w:tcBorders>
            <w:vAlign w:val="bottom"/>
            <w:hideMark/>
          </w:tcPr>
          <w:p w14:paraId="2380AB6D"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 xml:space="preserve">Kumar et al </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{"citationItems":[{"id":"ITEM-1","itemData":{"DOI":"10.1136/bmj.d2975","ISSN":"17561833","PMID":"21628364","abstract":"Objective: To investigate whether vitamin D supplementation can decrease the mortality and morbidity of low birthweight infants in low income countries. Design: Randomised controlled trial. Setting: Large government hospital in New Delhi, India. Participants: 2079 low birthweight infants born at term (&gt;37 weeks' gestation). Main outcome measures: Primary outcome was admission to hospital or death during the first six months of life. Main secondary outcome was growth. Interventions: Weekly vitamin D supplements for six months at a dose of one recommended nutrient intake per day (35 μg/week). Infants were visited weekly at home for observed supplementation and were brought to the clinic monthly for clinical examination and anthropometric measurements. Results: Between group differences were not significant for death or hospital admissions (92 among 1039 infants in the vitamin D group v 99 among 1040 infants in the placebo group; adjusted rate ratio 0.93, 95% confidence interval 0.68 to 1.29; P=0.68), or referral to the outpatient clinic for moderate morbidity. Vitamin D supplementation resulted in better vitamin D status as assessed by plasma calcidiol levels at six months. In adjusted analyses, vitamin D treatment significantly increased standard deviation (z) scores at six months for weight, length, and arm circumference and decreased the proportion of children with stunted growth (length for age z score ≤2) or with arm circumference z scores of 2 or less. Conclusion: A weekly dose of vitamin D resulted in better vitamin D status and benefited the classic vitamin D function of bone growth but did not decrease the incidence of severe morbidity or death among young low birthweight infants. Trial registration ClinicalTrials.gov NCT00415402.","author":[{"dropping-particle":"","family":"Kumar","given":"Geeta Trilok","non-dropping-particle":"","parse-names":false,"suffix":""},{"dropping-particle":"","family":"Sachdev","given":"Harshpal Singh","non-dropping-particle":"","parse-names":false,"suffix":""},{"dropping-particle":"","family":"Chellani","given":"Harish","non-dropping-particle":"","parse-names":false,"suffix":""},{"dropping-particle":"","family":"Rehman","given":"Andrea M.","non-dropping-particle":"","parse-names":false,"suffix":""},{"dropping-particle":"","family":"Singh","given":"Vini","non-dropping-particle":"","parse-names":false,"suffix":""},{"dropping-particle":"","family":"Arora","given":"Harsh","non-dropping-particle":"","parse-names":false,"suffix":""},{"dropping-particle":"","family":"Filteau","given":"Suzanne","non-dropping-particle":"","parse-names":false,"suffix":""}],"container-title":"Bmj","id":"ITEM-1","issue":"7810","issued":{"date-parts":[["2011"]]},"title":"Effect of weekly vitamin D supplements on mortality, morbidity, and growth of low birthweight term infants in India up to age 6 months: Randomised controlled trial","type":"article-journal","volume":"342"},"uris":["http://www.mendeley.com/documents/?uuid=b38fbb43-f72f-4f1e-8a57-a56e93e9f82e"]}],"mendeley":{"formattedCitation":"(30)","plainTextFormattedCitation":"(30)","previouslyFormattedCitation":"(30)"},"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(53)</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1A3D2C0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37CF8BB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02FF70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B2376B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A8E41C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E7DDCA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D862A4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F1120E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F2793A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630" w:type="dxa"/>
            <w:tcBorders>
              <w:top w:val="nil"/>
              <w:left w:val="nil"/>
              <w:bottom w:val="nil"/>
              <w:right w:val="nil"/>
            </w:tcBorders>
            <w:hideMark/>
          </w:tcPr>
          <w:p w14:paraId="3C58832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2AAC30F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2ADEECE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501BF6F9" w14:textId="77777777" w:rsidTr="00A47688">
        <w:tc>
          <w:tcPr>
            <w:tcW w:w="2163" w:type="dxa"/>
            <w:tcBorders>
              <w:top w:val="nil"/>
              <w:left w:val="single" w:sz="4" w:space="0" w:color="auto"/>
              <w:bottom w:val="nil"/>
              <w:right w:val="nil"/>
            </w:tcBorders>
            <w:vAlign w:val="bottom"/>
            <w:hideMark/>
          </w:tcPr>
          <w:p w14:paraId="6689A78D"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Marwaha et al</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{"citationItems":[{"id":"ITEM-1","itemData":{"DOI":"10.1017/S000711451100170X","ISSN":"00071145","abstract":"The present cross-sectional study was conducted to determine the vitamin D status of pregnant Indian women and their breast-fed infants. Subjects were recruited from the Department of Obstetrics, Armed Forces Clinic and Army Hospital (Research and Referral), Delhi. A total of 541 apparently healthy women with uncomplicated, single, intra-uterine gestation reporting in any trimester were consecutively recruited. Of these 541 women, 299 (first trimester, ninety-seven; second trimester, 125; third trimester, seventy-seven) were recruited in summer (April-October) and 242 (first trimester, fifty-nine, second trimester, ninety-three; third trimester, ninety) were recruited in winter (November-March) to study seasonal variations in vitamin D status. Clinical, dietary, biochemical and hormonal evaluations for the Ca-vitamin D-parathormone axis were performed. A subset of 342 mother-infant pairs was re-evaluated 6 weeks postpartum. Mean serum 25-hydroxyvitamin D (25(OH)D) of pregnant women was 23•2 (sd 12•2) nmol/l. Hypovitaminosis D (25(OH)D &lt; 50 nmol/l) was observed in 96•3 % of the subjects. Serum 25(OH)D levels were significantly lower in winter in the second and third trimesters, while serum intact parathormone (iPTH) and alkaline phosphatase levels were significantly higher in winter in all three trimesters. A significant negative correlation was found between serum 25(OH)D and iPTH in mothers (r-0•367, P = 0•0001) and infants (r-0•56, P = 0•0001). A strong positive correlation was observed between 25(OH)D levels of mother-infant pairs (r 0•779, P = 0•0001). A high prevalence of hypovitaminosis D was observed in pregnancy, lactation and infancy with no significant inter-trimester differences in serum 25(OH)D levels. © 2011 The Authors.","author":[{"dropping-particle":"","family":"Marwaha","given":"R. K.","non-dropping-particle":"","parse-names":false,"suffix":""},{"dropping-particle":"","family":"Tandon","given":"N.","non-dropping-particle":"","parse-names":false,"suffix":""},{"dropping-particle":"","family":"Chopra","given":"S.","non-dropping-particle":"","parse-names":false,"suffix":""},{"dropping-particle":"","family":"Agarwal","given":"N.","non-dropping-particle":"","parse-names":false,"suffix":""},{"dropping-particle":"","family":"Garg","given":"M. K.","non-dropping-particle":"","parse-names":false,"suffix":""},{"dropping-particle":"","family":"Sharma","given":"B.","non-dropping-particle":"","parse-names":false,"suffix":""},{"dropping-particle":"","family":"Kanwar","given":"R. S.","non-dropping-particle":"","parse-names":false,"suffix":""},{"dropping-particle":"","family":"Bhadra","given":"K.","non-dropping-particle":"","parse-names":false,"suffix":""},{"dropping-particle":"","family":"Singh","given":"S.","non-dropping-particle":"","parse-names":false,"suffix":""},{"dropping-particle":"","family":"Mani","given":"K.","non-dropping-particle":"","parse-names":false,"suffix":""},{"dropping-particle":"","family":"Puri","given":"S.","non-dropping-particle":"","parse-names":false,"suffix":""}],"container-title":"British Journal of Nutrition","id":"ITEM-1","issue":"9","issued":{"date-parts":[["2011"]]},"page":"1383-1389","title":"Vitamin D status in pregnant Indian women across trimesters and different seasons and its correlation with neonatal serum 25-hydroxyvitamin D levels","type":"article-journal","volume":"106"},"uris":["http://www.mendeley.com/documents/?uuid=058dbf40-dfb5-4521-a202-7396d43cfe35"]}],"mendeley":{"formattedCitation":"(31)","plainTextFormattedCitation":"(31)","previouslyFormattedCitation":"(31)"},"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(54)</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49EDA9E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3D9B1EE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02FCD7D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38F1F44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534399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F91DD0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9D9FFF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0B3E2C3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B33AA6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381DED0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810" w:type="dxa"/>
            <w:tcBorders>
              <w:top w:val="nil"/>
              <w:left w:val="nil"/>
              <w:bottom w:val="nil"/>
              <w:right w:val="nil"/>
            </w:tcBorders>
            <w:hideMark/>
          </w:tcPr>
          <w:p w14:paraId="6F1A8EF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6</w:t>
            </w:r>
          </w:p>
        </w:tc>
        <w:tc>
          <w:tcPr>
            <w:tcW w:w="1169" w:type="dxa"/>
            <w:tcBorders>
              <w:top w:val="nil"/>
              <w:left w:val="nil"/>
              <w:bottom w:val="nil"/>
              <w:right w:val="single" w:sz="4" w:space="0" w:color="auto"/>
            </w:tcBorders>
            <w:hideMark/>
          </w:tcPr>
          <w:p w14:paraId="68EC664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1D40A7F9" w14:textId="77777777" w:rsidTr="00A47688">
        <w:tc>
          <w:tcPr>
            <w:tcW w:w="2163" w:type="dxa"/>
            <w:tcBorders>
              <w:top w:val="nil"/>
              <w:left w:val="single" w:sz="4" w:space="0" w:color="auto"/>
              <w:bottom w:val="nil"/>
              <w:right w:val="nil"/>
            </w:tcBorders>
            <w:vAlign w:val="bottom"/>
            <w:hideMark/>
          </w:tcPr>
          <w:p w14:paraId="5BDE981B"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Agrawal et al</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{"citationItems":[{"id":"ITEM-1","itemData":{"DOI":"10.1093/tropej/fmz021","ISSN":"14653664","abstract":"To find the relationship between vitamin-D levels and late-onset sepsis (LOS) in term neonates. Methods: This case-control study was conducted in neonatal intensive care unit of a tertiary care teaching institution in central India. Full-term neonates with culture-proven LOS were taken as cases. Maternal and neonatal demography, clinical examination and investigations were recorded. Correlation of vitamin-D deficiency (&lt;20 ng/ml) with LOS was assessed. Results: Total 225 term neonates including 175 cases and 50 controls were included. Maternal and neonatal demographic profile was comparable. The mean vitamin-D level in cases (12.28 ± 6.11 ng/ml) was significantly lower than that in controls (14.88 ± 7.2 ng/ml) (p = 0.002). Total 151 (86.29%) neonates out of 175 cases and 37 (74%) out of 50 controls had the vitamin-D deficiency (p = 0.00003). On multiple regression analysis, neonatal sepsis (p = 0.00003) was found to be significantly associated with vitamin-D deficiency. Conclusion: This study shows that vitamin-D deficiency in term neonates may predispose them to LOS.","author":[{"dropping-particle":"","family":"Agrawal","given":"Amit","non-dropping-particle":"","parse-names":false,"suffix":""},{"dropping-particle":"","family":"Gupta","given":"Aekta","non-dropping-particle":"","parse-names":false,"suffix":""},{"dropping-particle":"","family":"Shrivastava","given":"Jyotsna","non-dropping-particle":"","parse-names":false,"suffix":""}],"container-title":"Journal of Tropical Pediatrics","id":"ITEM-1","issue":"6","issued":{"date-parts":[["2019"]]},"page":"609-616","title":"Role of Vitamin-D Deficiency in Term Neonates with Late-Onset Sepsis: A Case-Control Study","type":"article-journal","volume":"65"},"uris":["http://www.mendeley.com/documents/?uuid=d8f68c1c-a518-4047-90ab-2d220df8ecd0"]}],"mendeley":{"formattedCitation":"(32)","plainTextFormattedCitation":"(32)","previouslyFormattedCitation":"(32)"},"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(55)</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057E21F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52EAF37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1A8B5FD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6FE9AB9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269189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4E2785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F2F365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1454D5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AB4443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60A8D9E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810" w:type="dxa"/>
            <w:tcBorders>
              <w:top w:val="nil"/>
              <w:left w:val="nil"/>
              <w:bottom w:val="nil"/>
              <w:right w:val="nil"/>
            </w:tcBorders>
            <w:hideMark/>
          </w:tcPr>
          <w:p w14:paraId="48BB4A8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5</w:t>
            </w:r>
          </w:p>
        </w:tc>
        <w:tc>
          <w:tcPr>
            <w:tcW w:w="1169" w:type="dxa"/>
            <w:tcBorders>
              <w:top w:val="nil"/>
              <w:left w:val="nil"/>
              <w:bottom w:val="nil"/>
              <w:right w:val="single" w:sz="4" w:space="0" w:color="auto"/>
            </w:tcBorders>
            <w:hideMark/>
          </w:tcPr>
          <w:p w14:paraId="5427FDC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77C843B9" w14:textId="77777777" w:rsidTr="00A47688">
        <w:tc>
          <w:tcPr>
            <w:tcW w:w="2163" w:type="dxa"/>
            <w:tcBorders>
              <w:top w:val="nil"/>
              <w:left w:val="single" w:sz="4" w:space="0" w:color="auto"/>
              <w:bottom w:val="nil"/>
              <w:right w:val="nil"/>
            </w:tcBorders>
            <w:vAlign w:val="bottom"/>
            <w:hideMark/>
          </w:tcPr>
          <w:p w14:paraId="5478B0A8"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Shukla et al</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10.1007/s12291-016-0552-2","author":[{"dropping-particle":"","family":"Shukla","given":"Kirtikar","non-dropping-particle":"","parse-names":false,"suffix":""},{"dropping-particle":"","family":"Sharma","given":"Shikha","non-dropping-particle":"","parse-names":false,"suffix":""},{"dropping-particle":"","family":"Gupta","given":"Aditi","non-dropping-particle":"","parse-names":false,"suffix":""},{"dropping-particle":"","family":"Raizada","given":"Arun","non-dropping-particle":"","parse-names":false,"suffix":""}],"id":"ITEM-1","issue":"4","issued":{"date-parts":[["2016"]]},"page":"452-457","publisher":"Springer India","title":"Current Scenario of Prevalence of Vitamin D Deficiency in Ostensibly Healthy Indian Population : A Hospital Based Retrospective Study","type":"article-journal","volume":"31"},"uris":["http://www.mendeley.com/documents/?uuid=0c372d10-caf4-4d65-ae1b-fd60328b61da"]}],"mendeley":{"formattedCitation":"(33)","plainTextFormattedCitation":"(33)","previouslyFormattedCitation":"(33)"},"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(56)</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351DF58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5960DD0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740B92E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7B10A24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82F6F4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ECC50F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F4A84E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48D9206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CBC054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630" w:type="dxa"/>
            <w:tcBorders>
              <w:top w:val="nil"/>
              <w:left w:val="nil"/>
              <w:bottom w:val="nil"/>
              <w:right w:val="nil"/>
            </w:tcBorders>
            <w:hideMark/>
          </w:tcPr>
          <w:p w14:paraId="6422442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119EBA6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3</w:t>
            </w:r>
          </w:p>
        </w:tc>
        <w:tc>
          <w:tcPr>
            <w:tcW w:w="1169" w:type="dxa"/>
            <w:tcBorders>
              <w:top w:val="nil"/>
              <w:left w:val="nil"/>
              <w:bottom w:val="nil"/>
              <w:right w:val="single" w:sz="4" w:space="0" w:color="auto"/>
            </w:tcBorders>
            <w:hideMark/>
          </w:tcPr>
          <w:p w14:paraId="116200E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1AE02963" w14:textId="77777777" w:rsidTr="00A47688">
        <w:tc>
          <w:tcPr>
            <w:tcW w:w="2163" w:type="dxa"/>
            <w:tcBorders>
              <w:top w:val="nil"/>
              <w:left w:val="single" w:sz="4" w:space="0" w:color="auto"/>
              <w:bottom w:val="nil"/>
              <w:right w:val="nil"/>
            </w:tcBorders>
            <w:hideMark/>
          </w:tcPr>
          <w:p w14:paraId="58DB12CE" w14:textId="77777777" w:rsidR="00BD0EAD" w:rsidRPr="00BD0EAD" w:rsidRDefault="00BD0EAD" w:rsidP="00A47688">
            <w:pPr>
              <w:spacing w:line="276" w:lineRule="auto"/>
              <w:jc w:val="both"/>
              <w:rPr>
                <w:rFonts w:ascii="Times New Roman" w:hAnsi="Times New Roman"/>
                <w:b/>
                <w:sz w:val="20"/>
                <w:szCs w:val="20"/>
              </w:rPr>
            </w:pPr>
            <w:r w:rsidRPr="00BD0EAD">
              <w:rPr>
                <w:rFonts w:ascii="Times New Roman" w:eastAsia="Times New Roman" w:hAnsi="Times New Roman"/>
                <w:color w:val="000000"/>
                <w:sz w:val="20"/>
                <w:szCs w:val="20"/>
              </w:rPr>
              <w:t xml:space="preserve">Schulze et al </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{"citationItems":[{"id":"ITEM-1","itemData":{"DOI":"10.3945/jn.114.192336","ISSN":"0022-3166","PMID":"24744314","abstract":"Subclinical micronutrient deficiencies remain a hidden aspect of malnutrition for which comprehensive data are lacking in school-aged children. We assessed the micronutrient status of Nepalese children, aged 6 to 8 y, born to mothers who participated in a community-based antenatal micronutrient supplementation trial from 1999 to 2001. Of 3305 participants, plasma indicators were assessed in a random sample of 1000 children. Results revealed deficiencies of vitamins A (retinol &lt;0.70 μmol/L, 8.5%), D (25-hydroxyvitamin D &lt;50 nmol/L, 17.2%), E (α-tocopherol &lt;9.3 μmol/L, 17.9%), K (decarboxy prothombin &gt;2 μg/L, 20%), B-12 (cobalamin &lt;150 pmol/L, 18.1%), B-6 [pyridoxal-5'-phosphate (PLP) &lt;20 nmol/L, 43.1%], and β-carotene (41.5% &lt;0.09 μmol/L), with little folate deficiency (6.2% &lt;13.6 nmol/L). Deficiencies of iron [ferritin &lt;15 μg/L, 10.7%; transferrin receptor (TfR) &gt;8.3 mg/L, 40.1%; TfR:ferritin &gt;500 μg/μg, 14.3%], iodine (thyroglobulin &gt;40 μg/L, 11.4%), and selenium (plasma selenium &lt;0.89 μmol/L, 59.0%) were observed, whereas copper deficiency was nearly absent (plasma copper &lt;11.8 μmol/L, 0.7%). Hemoglobin was not assessed. Among all children, 91.7% experienced at least 1 micronutrient deficiency, and 64.7% experienced multiple deficiencies. Inflammation (α-1 acid glycoprotein &gt;1 g/L, C-reactive protein &gt;5 mg/L, or both) was present in 31.6% of children, affecting the prevalence of deficiency as assessed by retinol, β-carotene, PLP, ferritin, TfR, selenium, copper, or having any or multiple deficiencies. For any nutrient, population deficiency prevalence estimates were altered by ≤5.4% by the presence of inflammation, suggesting that the majority of deficiencies exist regardless of inflammation. Multiple micronutrient deficiencies coexist in school-aged children in rural Nepal, meriting more comprehensive strategies for their assessment and prevention.","author":[{"dropping-particle":"","family":"Schulze","given":"Kerry J.","non-dropping-particle":"","parse-names":false,"suffix":""},{"dropping-particle":"","family":"Christian","given":"Parul","non-dropping-particle":"","parse-names":false,"suffix":""},{"dropping-particle":"","family":"Wu","given":"Lee S.-F.","non-dropping-particle":"","parse-names":false,"suffix":""},{"dropping-particle":"","family":"Arguello","given":"Margia","non-dropping-particle":"","parse-names":false,"suffix":""},{"dropping-particle":"","family":"Cui","given":"Hongjie","non-dropping-particle":"","parse-names":false,"suffix":""},{"dropping-particle":"","family":"Nanayakkara-Bind","given":"Ashika","non-dropping-particle":"","parse-names":false,"suffix":""},{"dropping-particle":"","family":"Stewart","given":"Christine P.","non-dropping-particle":"","parse-names":false,"suffix":""},{"dropping-particle":"","family":"Khatry","given":"Subarna K.","non-dropping-particle":"","parse-names":false,"suffix":""},{"dropping-particle":"","family":"LeClerq","given":"Steven","non-dropping-particle":"","parse-names":false,"suffix":""},{"dropping-particle":"","family":"West","given":"Keith P.","non-dropping-particle":"","parse-names":false,"suffix":""}],"container-title":"The Journal of Nutrition","id":"ITEM-1","issue":"6","issued":{"date-parts":[["2014"]]},"page":"979-987","title":"Micronutrient Deficiencies Are Common in 6- to 8-Year-Old Children of Rural Nepal, with Prevalence Estimates Modestly Affected by Inflammation","type":"article-journal","volume":"144"},"uris":["http://www.mendeley.com/documents/?uuid=afd9cda0-0a71-4d50-ada0-81e263d570c3"]}],"mendeley":{"formattedCitation":"(34)","plainTextFormattedCitation":"(34)","previouslyFormattedCitation":"(34)"},"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(57)</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676D59C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691910A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1A2060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FCE2F6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3FE769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41845D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23B16E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FEB5E2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38913F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0CD0550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2F5AED5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4E512AB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73CB5A9C" w14:textId="77777777" w:rsidTr="00A47688">
        <w:tc>
          <w:tcPr>
            <w:tcW w:w="2163" w:type="dxa"/>
            <w:tcBorders>
              <w:top w:val="nil"/>
              <w:left w:val="single" w:sz="4" w:space="0" w:color="auto"/>
              <w:bottom w:val="nil"/>
              <w:right w:val="nil"/>
            </w:tcBorders>
            <w:hideMark/>
          </w:tcPr>
          <w:p w14:paraId="24A08752"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Haugen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{"citationItems":[{"id":"ITEM-1","itemData":{"DOI":"10.3390/nu8120825","abstract":"Background: Describing vitamin D status and its predictors in various populations is important in order to target public health measures. Objectives: To describe the status and predictors of vitamin D status in healthy Nepalese mothers and infants. Methods: 500 randomly selected Nepalese mother and infant pairs were included in a cross-sectional study. Plasma 25(OH)D concentrations were measured by LC-MS/MS and multiple linear regression analyses were used to identify predictors of vitamin D status. Results: Among the infants, the prevalence of vitamin D insufficiency (25(OH)D &lt;50 nmol/L) and deficiency (&lt;30 nmol/L) were 3.6% and 0.6%, respectively, in contrast to 59.8% and 14.0% among their mothers. Infant 25(OH)D concentrations were negatively associated with infant age and positively associated with maternal vitamin D status and body mass index (BMI), explaining 22% of the variability in 25(OH)D concentration. Global solar radiation, maternal age and BMI predicted maternal 25(OH)D concentration, explaining 9.7% of its variability. Conclusion: Age and maternal vitamin D status are the main predictors of vitamin D status in infants in Bhaktapur, Nepal, who have adequate vitamin D status despite poor vitamin D status in their mothers.","author":[{"dropping-particle":"","family":"Thorne-lyman","given":"Andrew L","non-dropping-particle":"","parse-names":false,"suffix":""},{"dropping-particle":"","family":"Ueland","given":"Per Magne","non-dropping-particle":"","parse-names":false,"suffix":""},{"dropping-particle":"","family":"Midtun","given":"Øivind","non-dropping-particle":"","parse-names":false,"suffix":""},{"dropping-particle":"","family":"Shrestha","given":"Prakash S","non-dropping-particle":"","parse-names":false,"suffix":""}],"id":"ITEM-1","issued":{"date-parts":[["2016"]]},"page":"1-12","title":"Low Prevalence of Vitamin D Insufficiency among Nepalese Infants Despite High Prevalence of Vitamin D Insufficiency among Their Mothers","type":"article-journal"},"uris":["http://www.mendeley.com/documents/?uuid=d019f9fa-5bf7-4ddd-8441-fa40f65c0809"]}],"mendeley":{"formattedCitation":"(35)","plainTextFormattedCitation":"(35)","previouslyFormattedCitation":"(35)"},"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(58)</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3D740BC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27F5044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DB2AF1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AF53E7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D69F4A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4DAB46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548C80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42EE69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6505F0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245B8B2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810" w:type="dxa"/>
            <w:tcBorders>
              <w:top w:val="nil"/>
              <w:left w:val="nil"/>
              <w:bottom w:val="nil"/>
              <w:right w:val="nil"/>
            </w:tcBorders>
            <w:hideMark/>
          </w:tcPr>
          <w:p w14:paraId="66F5522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2</w:t>
            </w:r>
          </w:p>
        </w:tc>
        <w:tc>
          <w:tcPr>
            <w:tcW w:w="1169" w:type="dxa"/>
            <w:tcBorders>
              <w:top w:val="nil"/>
              <w:left w:val="nil"/>
              <w:bottom w:val="nil"/>
              <w:right w:val="single" w:sz="4" w:space="0" w:color="auto"/>
            </w:tcBorders>
            <w:hideMark/>
          </w:tcPr>
          <w:p w14:paraId="6C5E2C0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6B9E32DD" w14:textId="77777777" w:rsidTr="00A47688">
        <w:tc>
          <w:tcPr>
            <w:tcW w:w="2163" w:type="dxa"/>
            <w:tcBorders>
              <w:top w:val="nil"/>
              <w:left w:val="single" w:sz="4" w:space="0" w:color="auto"/>
              <w:bottom w:val="nil"/>
              <w:right w:val="nil"/>
            </w:tcBorders>
            <w:hideMark/>
          </w:tcPr>
          <w:p w14:paraId="5B6005AF"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Avagyan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{"citationItems":[{"id":"ITEM-1","itemData":{"DOI":"10.1017/S136898001500083X","ISBN":"1368980015","ISSN":"14752727","abstract":"Objective Vitamin D plays a major role in Ca and bone metabolism, and its extraskeletal functions are being appraised. Although inadequate vitamin D concentrations have been reported in populations worldwide, too little is known about vitamin D status and its determinants among children in developing countries. We aimed to determine vitamin D status and its determinants in Nepalese children of pre-school age. Design A community-based, cross-sectional study. Setting Rural Nepal at latitude 27·39°N. Subjects Healthy children (n 280) aged 12-60 months, selected randomly from the records of a vitamin A supplementation programme. Blood samples were collected using the dried blood spot technique and analysed for serum 25-hydroxyvitamin D (s-25(OH)D) concentration using liquid chromatography-tandem mass spectrometry. Ca intake and background variables were assessed with a structured questionnaire. Results Hypovitaminosis D, defined as s-25(OH)D concentration less than 50 nmol/l, was found in 91·1 % of the children. S-25(OH)D concentration was not related to gender, socio-economic indicators, sun exposure or nutritional status. Currently breast-fed children had higher s-25(OH)D concentrations (36·4 (sd 13·2) nmol/l) than those who were not (28·6 (sd 9·8) nmol/l, P&lt;0·001). Adjustment for sociodemographic factors did not alter the results. Conclusion There is widespread vitamin D deficiency among pre-school children in a rural area of Nepal. In our sample, sociodemographic factors did not affect the vitamin D status of children, but prolonged breast-feeding was associated with higher s-25(OH)D concentrations. Further research is required to investigate the health consequences of poor vitamin D status for this population.","author":[{"dropping-particle":"","family":"Avagyan","given":"Diana","non-dropping-particle":"","parse-names":false,"suffix":""},{"dropping-particle":"","family":"Neupane","given":"Sudan Prasad","non-dropping-particle":"","parse-names":false,"suffix":""},{"dropping-particle":"","family":"Gundersen","given":"Thomas E.","non-dropping-particle":"","parse-names":false,"suffix":""},{"dropping-particle":"","family":"Madar","given":"Ahmed A.","non-dropping-particle":"","parse-names":false,"suffix":""}],"container-title":"Public Health Nutrition","id":"ITEM-1","issue":"3","issued":{"date-parts":[["2016"]]},"page":"470-476","title":"Vitamin D status in pre-school children in rural Nepal","type":"article-journal","volume":"19"},"uris":["http://www.mendeley.com/documents/?uuid=3f454f74-0823-44f4-8bd6-fba4932f281f"]}],"mendeley":{"formattedCitation":"(36)","plainTextFormattedCitation":"(36)","previouslyFormattedCitation":"(36)"},"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(59)</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0DC703E3"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26ECD1DD"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63BE02D"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21416D6"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7BCC636"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00D07D8"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EF2B79F"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07B138C"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CA9B1F4"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151CE484"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10774DA2"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2</w:t>
            </w:r>
          </w:p>
        </w:tc>
        <w:tc>
          <w:tcPr>
            <w:tcW w:w="1169" w:type="dxa"/>
            <w:tcBorders>
              <w:top w:val="nil"/>
              <w:left w:val="nil"/>
              <w:bottom w:val="nil"/>
              <w:right w:val="single" w:sz="4" w:space="0" w:color="auto"/>
            </w:tcBorders>
            <w:hideMark/>
          </w:tcPr>
          <w:p w14:paraId="4BEA03BC" w14:textId="77777777" w:rsidR="00BD0EAD" w:rsidRPr="00BD0EAD" w:rsidRDefault="00BD0EAD" w:rsidP="00A47688">
            <w:pPr>
              <w:spacing w:line="276" w:lineRule="auto"/>
              <w:rPr>
                <w:rFonts w:ascii="Times New Roman" w:hAnsi="Times New Roman"/>
                <w:b/>
                <w:sz w:val="20"/>
                <w:szCs w:val="20"/>
              </w:rPr>
            </w:pPr>
            <w:r w:rsidRPr="00BD0EAD">
              <w:rPr>
                <w:rFonts w:ascii="Times New Roman" w:hAnsi="Times New Roman"/>
                <w:sz w:val="20"/>
                <w:szCs w:val="20"/>
              </w:rPr>
              <w:t>Low</w:t>
            </w:r>
          </w:p>
        </w:tc>
      </w:tr>
      <w:tr w:rsidR="00BD0EAD" w:rsidRPr="00BD0EAD" w14:paraId="1AD7143D" w14:textId="77777777" w:rsidTr="00A47688">
        <w:tc>
          <w:tcPr>
            <w:tcW w:w="2163" w:type="dxa"/>
            <w:tcBorders>
              <w:top w:val="nil"/>
              <w:left w:val="single" w:sz="4" w:space="0" w:color="auto"/>
              <w:bottom w:val="nil"/>
              <w:right w:val="nil"/>
            </w:tcBorders>
            <w:hideMark/>
          </w:tcPr>
          <w:p w14:paraId="2F1233E2" w14:textId="77777777" w:rsidR="00BD0EAD" w:rsidRPr="00BD0EAD" w:rsidRDefault="00BD0EAD" w:rsidP="00A47688">
            <w:pPr>
              <w:spacing w:line="276" w:lineRule="auto"/>
              <w:jc w:val="both"/>
              <w:rPr>
                <w:rFonts w:ascii="Times New Roman" w:eastAsia="Times New Roman" w:hAnsi="Times New Roman"/>
                <w:color w:val="000000"/>
                <w:sz w:val="20"/>
                <w:szCs w:val="20"/>
              </w:rPr>
            </w:pPr>
            <w:proofErr w:type="spellStart"/>
            <w:r w:rsidRPr="00BD0EAD">
              <w:rPr>
                <w:rFonts w:ascii="Times New Roman" w:eastAsia="Times New Roman" w:hAnsi="Times New Roman"/>
                <w:color w:val="000000"/>
                <w:sz w:val="20"/>
                <w:szCs w:val="20"/>
              </w:rPr>
              <w:t>Marasinghe</w:t>
            </w:r>
            <w:proofErr w:type="spellEnd"/>
            <w:r w:rsidRPr="00BD0EAD">
              <w:rPr>
                <w:rFonts w:ascii="Times New Roman" w:eastAsia="Times New Roman" w:hAnsi="Times New Roman"/>
                <w:color w:val="000000"/>
                <w:sz w:val="20"/>
                <w:szCs w:val="20"/>
              </w:rPr>
              <w:t xml:space="preserve">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{"citationItems":[{"id":"ITEM-1","itemData":{"DOI":"10.6133/apjcn.2015.24.1.17","ISSN":"09647058","abstract":"Objective: To assess the micronutrient status and its relationship with nutritional status in preschool children. Methods: In a cross sectional study, anthropometric data and fasting blood samples were obtained from 340 children attending preschool in urban Sri Lanka. Serum concentrations of vitamin D, parathyroid hormone, vitamin A, zinc and haemoglobin were measured. Z-scores of anthropometric indices of height-for-age, weight-for-age and weight-for-height were computed to evaluate the nutritional status. Results: Prevalence of stunting, underweight, wasting and anaemia among children were 7.1%, 16.9%, 21.2% and 7.4%, respectively. Deficiencies of zinc and vitamin A occurred among 67% and 38% of children, respectively. Vitamin D deficiency (&lt;10 ng/mL) and insufficiency (10-20 ng/mL) occurred in 5.0% and 29.1% of children, respectively, and12% had parathyroid hormone levels indicative of hypocalcaemia. Nutritional status was significantly correlated (p&lt;0.05) with vitamin D status [height-for-age (r=0.10), weight-for-age (r=-0.18), weight-for-height (r=-0.12)], and with haemoglobin status [weight-for-age (r=0.11)]. Zinc and vitamin A levels were lower in severe stunting compared with normal height (p&lt;0.05). Significant correlations (p&lt;0.05) were observed between vitamin D and parathyroid hormone (r=-0.12) and between haemoglobin and vitamin A (r=0.01), zinc (r=0.02) and vitamin D (r=0.02) levels. Conclusions: In the surveyed population, zinc deficiency was high and to a lesser degree vitamin A deficiency and vitamin D insufficiency prevailed. The nutritional status of the children was related to vitamin D status and with haemoglobin status. Zinc and vitamin A levels were low in children with severe stunting. Vitamins A, D and zinc levels were associated with haemoglobin status.","author":[{"dropping-particle":"","family":"Marasinghe","given":"Eshani","non-dropping-particle":"","parse-names":false,"suffix":""},{"dropping-particle":"","family":"Chackrewarthy","given":"Sureka","non-dropping-particle":"","parse-names":false,"suffix":""},{"dropping-particle":"","family":"Abeysena","given":"Chrishantha","non-dropping-particle":"","parse-names":false,"suffix":""},{"dropping-particle":"","family":"Rajindrajith","given":"Shaman","non-dropping-particle":"","parse-names":false,"suffix":""}],"container-title":"Asia Pacific Journal of Clinical Nutrition","id":"ITEM-1","issue":"1","issued":{"date-parts":[["2015"]]},"page":"144-151","title":"Micronutrient status and its relationship with nutritional status in preschool children in urban Sri Lanka","type":"article-journal","volume":"24"},"uris":["http://www.mendeley.com/documents/?uuid=35900955-96c5-49a7-a333-48cb4fd17b3f"]}],"mendeley":{"formattedCitation":"(37)","plainTextFormattedCitation":"(37)","previouslyFormattedCitation":"(37)"},"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(60)</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685D38A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5B53001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A37264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0C46D4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AA0FD7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D2841F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C77F0C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05DF8A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0184AF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4F01106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76DFAA2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7D90108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652E7C2F" w14:textId="77777777" w:rsidTr="00A47688">
        <w:tc>
          <w:tcPr>
            <w:tcW w:w="2163" w:type="dxa"/>
            <w:tcBorders>
              <w:top w:val="nil"/>
              <w:left w:val="single" w:sz="4" w:space="0" w:color="auto"/>
              <w:bottom w:val="nil"/>
              <w:right w:val="nil"/>
            </w:tcBorders>
            <w:hideMark/>
          </w:tcPr>
          <w:p w14:paraId="4830321D"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Hettiarachchi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{"citationItems":[{"id":"ITEM-1","itemData":{"DOI":"10.1111/j.1740-8709.2010.00290.x","ISSN":"17408695","PMID":"21166995","abstract":"Assessing micronutrient status in children may also have the benefit of addressing the problems of various micronutrient deficiencies with a unified programmatic approach on a public health scale. A cross-sectional survey in the Galle district of the micronutrient and anthropometric status of 248 children of ages 3-5 years was performed to determine the prevalence of micronutrient deficiencies [iron, zinc (Zn), folate, calcium, caeruloplasmin, iodine, vitamin A and vitamin D] and the extent to which multiple micronutrient deficiencies coexist. The prevalence of anaemia [haemogbolin (Hb)&lt;110.0gL -1] was 34.0% in males and 33.0% in females (overall 33.5%, gender difference, P=0.92). In anaemic children, 7.0% of males and 15.0% of females were iron deficient (serum ferritin&lt;15.0μgL -1). Folate deficiency (&lt;3.00ngmL -1) was found in 41.0% and 33.0% of male and female, respectively, whereas Zn deficiency (&lt;9.95μmolL -1) occurred in 57.0% and 50.0% of male and female, respectively. Serum vitamin D deficiency (&lt;35.0nmolL -1) was found in 26% and 25% of male and female, respectively. Anaemic males had a 3.0-fold (95% confidence interval (CI) 1.1-8.3) and 2.3-fold (95% CI 0.8-6.6) greater risk of being underweight and thin, whereas the risk among anaemic females was 0.7-fold (95% CI 0.3-1.8) and 0.9-fold (95% CI 0.3-2.6) for being underweight and thin. Only 7.3% of the subjects did not have any micronutrient deficiency, 38.3% were deficient in two micronutrients, 17.7% had three micronutrient deficiencies and 6.0% had four or more micronutrient deficiencies. Multiple micronutrient deficiencies are prevalent in Sri Lankan pre-school children and established baseline data for future studies. © 2010 Blackwell Publishing Ltd.","author":[{"dropping-particle":"","family":"Hettiarachchi","given":"Manjula","non-dropping-particle":"","parse-names":false,"suffix":""},{"dropping-particle":"","family":"Liyanage","given":"Chandrani","non-dropping-particle":"","parse-names":false,"suffix":""}],"container-title":"Maternal and Child Nutrition","id":"ITEM-1","issue":"2","issued":{"date-parts":[["2012"]]},"page":"259-266","title":"Coexisting micronutrient deficiencies among Sri Lankan pre-school children: A community-based study","type":"article-journal","volume":"8"},"uris":["http://www.mendeley.com/documents/?uuid=6cbd752a-be94-482e-8cc5-e7611d6a4f68"]}],"mendeley":{"formattedCitation":"(38)","plainTextFormattedCitation":"(38)","previouslyFormattedCitation":"(38)"},"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(61)</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7BFF671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1022AE0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D7C1AB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D18B65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81810B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E46A9B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7E93B3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991FBE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07ACDD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5236F4D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810" w:type="dxa"/>
            <w:tcBorders>
              <w:top w:val="nil"/>
              <w:left w:val="nil"/>
              <w:bottom w:val="nil"/>
              <w:right w:val="nil"/>
            </w:tcBorders>
            <w:hideMark/>
          </w:tcPr>
          <w:p w14:paraId="215C9AA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2</w:t>
            </w:r>
          </w:p>
        </w:tc>
        <w:tc>
          <w:tcPr>
            <w:tcW w:w="1169" w:type="dxa"/>
            <w:tcBorders>
              <w:top w:val="nil"/>
              <w:left w:val="nil"/>
              <w:bottom w:val="nil"/>
              <w:right w:val="single" w:sz="4" w:space="0" w:color="auto"/>
            </w:tcBorders>
            <w:hideMark/>
          </w:tcPr>
          <w:p w14:paraId="78A4CBE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5FC7F0E5" w14:textId="77777777" w:rsidTr="00A47688">
        <w:tc>
          <w:tcPr>
            <w:tcW w:w="2163" w:type="dxa"/>
            <w:tcBorders>
              <w:top w:val="nil"/>
              <w:left w:val="single" w:sz="4" w:space="0" w:color="auto"/>
              <w:bottom w:val="nil"/>
              <w:right w:val="nil"/>
            </w:tcBorders>
            <w:hideMark/>
          </w:tcPr>
          <w:p w14:paraId="435F043F"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Hettiarachchi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{"citationItems":[{"id":"ITEM-1","itemData":{"DOI":"10.5812/kowsar.1726913x.2385","ISSN":"17269148","abstract":"Background: We wished to assess bone mineral density (BMD) values and factors that contribute to bone mineral accrual among preschool children in Sri Lanka. Currently, this information is not available. Objectives: To measure BMDs of spine and hip, using a central-type DXA, in a representative sample of preschool children in Southern Sri Lanka and to study their anthropometry and micronutrient status in order to study the associations of such measurements with bone mineral status. Patients and Methods: We measured BMD of the spine and hip using dual-energy absorptiometry in 105 preschool children (52 boys) aged 3-5 years in Southern Sri Lanka. We also studied their anthropometric characteristics and micronutrient status (iron, zinc, calcium, ceruloplasmin, free thyroxine, and vitamins A and D). Results: Although spine BMD showed no sex difference (mean BMD 0.451 g/cm2 and 0.447 g/cm2 in boys and girls, respectively; p = 0.70), proximal femur BMD values were significantly higher (p = 0.02) among boys (0.594 g/cm2) than among girls (0.557 g/cm2). Boys had significantly higher bone area in the spine, compared to girls (mean 25.58 vs. 24.05 cm2; p = 0.02). After controlling for other independent variables studied (anthropometry and biochemistry), weight and serum calcium accounted for 26% of the BMD variation (R2 = 0.26). One unit change in body weight (1 kg) or serum calcium level (1 mmol/L) was associated with a change in spine BMD of 0.051 g/cm2 or 0.016 g/cm2, respectively. Conclusions: In addition to higher BMD in the proximal femur boys have broader bones, particularly in the spine. Among different indices of body measurements and multiple nutritional factors, body weight and serum calcium appear to be the main determinants of BMD accrual. © 2011 Kowsar M.P.Co.","author":[{"dropping-particle":"","family":"Hettiarachchi","given":"Manjula","non-dropping-particle":"","parse-names":false,"suffix":""},{"dropping-particle":"","family":"Lekamwasam","given":"Sarath","non-dropping-particle":"","parse-names":false,"suffix":""},{"dropping-particle":"","family":"Liyanage","given":"Chandrani","non-dropping-particle":"","parse-names":false,"suffix":""}],"container-title":"International Journal of Endocrinology and Metabolism","id":"ITEM-1","issue":"2","issued":{"date-parts":[["2011"]]},"page":"335-340","title":"Bone mineral density and nutritional status of healthy Sri Lankan preschool children","type":"article-journal","volume":"9"},"uris":["http://www.mendeley.com/documents/?uuid=9fd4f0c6-a22b-4aaa-a508-add60f7d8924"]}],"mendeley":{"formattedCitation":"(39)","plainTextFormattedCitation":"(39)","previouslyFormattedCitation":"(39)"},"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(62)</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2F32B15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46C92E6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2F05947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41E30F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548438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05256F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1DE6CC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0CFF4F6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996F99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6FF1EC6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810" w:type="dxa"/>
            <w:tcBorders>
              <w:top w:val="nil"/>
              <w:left w:val="nil"/>
              <w:bottom w:val="nil"/>
              <w:right w:val="nil"/>
            </w:tcBorders>
            <w:hideMark/>
          </w:tcPr>
          <w:p w14:paraId="2F06D70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4</w:t>
            </w:r>
          </w:p>
        </w:tc>
        <w:tc>
          <w:tcPr>
            <w:tcW w:w="1169" w:type="dxa"/>
            <w:tcBorders>
              <w:top w:val="nil"/>
              <w:left w:val="nil"/>
              <w:bottom w:val="nil"/>
              <w:right w:val="single" w:sz="4" w:space="0" w:color="auto"/>
            </w:tcBorders>
            <w:hideMark/>
          </w:tcPr>
          <w:p w14:paraId="3473F69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43406B63" w14:textId="77777777" w:rsidTr="00A47688">
        <w:tc>
          <w:tcPr>
            <w:tcW w:w="2163" w:type="dxa"/>
            <w:tcBorders>
              <w:top w:val="nil"/>
              <w:left w:val="single" w:sz="4" w:space="0" w:color="auto"/>
              <w:bottom w:val="nil"/>
              <w:right w:val="nil"/>
            </w:tcBorders>
            <w:vAlign w:val="center"/>
            <w:hideMark/>
          </w:tcPr>
          <w:p w14:paraId="14716C91"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Anwar et al</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{"citationItems":[{"id":"ITEM-1","itemData":{"DOI":"10.3109/01443615.2015.1050647","ISSN":"13646893","abstract":"We undertook a cross-sectional study in rural Jehlum and urban Karachi to evaluate the prevalence of vitamin D deficiency in Pakistani pregnant women and neonates and to assess any association of serum 25(OH) vitamin D [25(OH)D] concentration with vitamin D binding protein (Gc) genotypes. Altogether, 390 women and 266 neonates were recruited from urban and rural sites, respectively. Serum 25(OH)D was measured by an immunoassay, while Gc genotypes were identified using polymerase chain reaction followed by restriction fragment length polymorphism or PCR-RFLP. One-way analysis of variance or ANOVA and linear regression were used for statistical analysis. In urban Karachi, 99.5% of women and 97.3% of neonates were vitamin D deficient (&lt; 50 nmol/L), while 89% of women and 82% of neonates were deficient in rural Jehlum. Gc genotypes were not associated with serum 25(OH)D concentrations in both women and their neonates. We conclude that vitamin D deficiency is highly prevalent in Pakistani women and their neonates, and Gc genotypes are not associated with serum 25(OH)D concentrations.","author":[{"dropping-particle":"","family":"Anwar","given":"S.","non-dropping-particle":"","parse-names":false,"suffix":""},{"dropping-particle":"","family":"Iqbal","given":"M. P.","non-dropping-particle":"","parse-names":false,"suffix":""},{"dropping-particle":"","family":"Azam","given":"I.","non-dropping-particle":"","parse-names":false,"suffix":""},{"dropping-particle":"","family":"Habib","given":"A.","non-dropping-particle":"","parse-names":false,"suffix":""},{"dropping-particle":"","family":"Bhutta","given":"S.","non-dropping-particle":"","parse-names":false,"suffix":""},{"dropping-particle":"","family":"Soofi","given":"S. B.","non-dropping-particle":"","parse-names":false,"suffix":""},{"dropping-particle":"","family":"Bhutta","given":"Z. A.","non-dropping-particle":"","parse-names":false,"suffix":""}],"container-title":"Journal of Obstetrics and Gynaecology","id":"ITEM-1","issue":"3","issued":{"date-parts":[["2016"]]},"page":"318-323","title":"Urban and rural comparison of Vitamin D status in Pakistani pregnant women and neonates","type":"article-journal","volume":"36"},"uris":["http://www.mendeley.com/documents/?uuid=efdc4a91-f114-4a7a-989e-90115b97d121"]}],"mendeley":{"formattedCitation":"(40)","plainTextFormattedCitation":"(40)","previouslyFormattedCitation":"(40)"},"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(63)</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5E5EB55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725EB89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36DB9234"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40" w:type="dxa"/>
            <w:tcBorders>
              <w:top w:val="nil"/>
              <w:left w:val="nil"/>
              <w:bottom w:val="nil"/>
              <w:right w:val="nil"/>
            </w:tcBorders>
            <w:hideMark/>
          </w:tcPr>
          <w:p w14:paraId="2084B4B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E16034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D87E3F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140CD7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E177FE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691F4B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6865F4B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2A6AAB7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4</w:t>
            </w:r>
          </w:p>
        </w:tc>
        <w:tc>
          <w:tcPr>
            <w:tcW w:w="1169" w:type="dxa"/>
            <w:tcBorders>
              <w:top w:val="nil"/>
              <w:left w:val="nil"/>
              <w:bottom w:val="nil"/>
              <w:right w:val="single" w:sz="4" w:space="0" w:color="auto"/>
            </w:tcBorders>
            <w:hideMark/>
          </w:tcPr>
          <w:p w14:paraId="5941900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Moderate</w:t>
            </w:r>
          </w:p>
        </w:tc>
      </w:tr>
      <w:tr w:rsidR="00BD0EAD" w:rsidRPr="00BD0EAD" w14:paraId="458D9CDD" w14:textId="77777777" w:rsidTr="00A47688">
        <w:tc>
          <w:tcPr>
            <w:tcW w:w="2163" w:type="dxa"/>
            <w:tcBorders>
              <w:top w:val="nil"/>
              <w:left w:val="single" w:sz="4" w:space="0" w:color="auto"/>
              <w:bottom w:val="nil"/>
              <w:right w:val="nil"/>
            </w:tcBorders>
            <w:vAlign w:val="bottom"/>
            <w:hideMark/>
          </w:tcPr>
          <w:p w14:paraId="196489F0"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 xml:space="preserve">Karim et al </w:t>
            </w:r>
            <w:r w:rsidRPr="00BD0EAD">
              <w:rPr>
                <w:rFonts w:ascii="Times New Roman" w:eastAsia="Times New Roman" w:hAnsi="Times New Roman"/>
                <w:color w:val="000000"/>
                <w:sz w:val="20"/>
                <w:szCs w:val="20"/>
              </w:rPr>
              <w:fldChar w:fldCharType="begin" w:fldLock="1"/>
            </w:r>
            <w:r w:rsidRPr="00BD0EAD">
              <w:rPr>
                <w:rFonts w:ascii="Times New Roman" w:eastAsia="Times New Roman" w:hAnsi="Times New Roman"/>
                <w:color w:val="000000"/>
                <w:sz w:val="20"/>
                <w:szCs w:val="20"/>
              </w:rPr>
              <w:instrText>ADDIN CSL_CITATION {"citationItems":[{"id":"ITEM-1","itemData":{"DOI":"10.1016/j.ijgo.2010.07.034","ISSN":"00207292","abstract":"Objective: To estimate the prevalence of vitamin D deficiency among pregnant women in Karachi, Pakistan; correlate maternal and cord blood vitamin D deficiency; and assess possible predictors of vitamin D deficiency. Methods: This observational, analytical, cross-sectional study was conducted with 50 consecutive women in labor presenting with a singleton term pregnancy at a large tertiary center in Karachi. Data were recorded on a special form, maternal blood was taken before delivery and cord blood was taken at delivery. All blood samples were analyzed for 25-hydroxy vitamin D levels. Comparisons were made using the Χ2 test. Results: The mean vitamin D levels were 24 ng/mL for the participants and 20 ng/mL for the newborns. Vitamin D sufficiency was noted in 11 (22%), insufficiency in 16 (32%), and deficiency in 23 (46%) of the 50 participants whereas sufficiency and deficiency, respectively, were noted in 6 (12%) and 44 (88%) of the newborns. There was a positive correlation between the vitamin D levels in maternal and cord blood (r = 0.03; P &lt; 0.003). Maternal vitamin D levels were significantly affected by sunlight exposure (P &lt; 0.007) and quality of diet P &lt; 0.01). Conclusion: Vitamin D deficiency is high among pregnant urban Pakistani women and their newborns. This public health problem needs urgent attention. © 2010 International Federation of Gynecology and Obstetrics Published by Elsevier Ireland Ltd. All rights reserved.","author":[{"dropping-particle":"","family":"Karim","given":"Saadiya A.","non-dropping-particle":"","parse-names":false,"suffix":""},{"dropping-particle":"","family":"Nusrat","given":"Uzma","non-dropping-particle":"","parse-names":false,"suffix":""},{"dropping-particle":"","family":"Aziz","given":"Sina","non-dropping-particle":"","parse-names":false,"suffix":""}],"container-title":"International Journal of Gynecology and Obstetrics","id":"ITEM-1","issue":"1","issued":{"date-parts":[["2011"]]},"page":"59-62","publisher":"International Federation of Gynecology and Obstetrics","title":"Vitamin D deficiency in pregnant women and their newborns as seen at a tertiary-care center in Karachi, Pakistan","type":"article-journal","volume":"112"},"uris":["http://www.mendeley.com/documents/?uuid=9ee7e65c-dbd4-44bb-8a80-106e29e7e3c6"]}],"mendeley":{"formattedCitation":"(41)","plainTextFormattedCitation":"(41)","previouslyFormattedCitation":"(41)"},"properties":{"noteIndex":0},"schema":"https://github.com/citation-style-language/schema/raw/master/csl-citation.json"}</w:instrText>
            </w:r>
            <w:r w:rsidRPr="00BD0EAD">
              <w:rPr>
                <w:rFonts w:ascii="Times New Roman" w:eastAsia="Times New Roman" w:hAnsi="Times New Roman"/>
                <w:color w:val="000000"/>
                <w:sz w:val="20"/>
                <w:szCs w:val="20"/>
              </w:rPr>
              <w:fldChar w:fldCharType="separate"/>
            </w:r>
            <w:r w:rsidRPr="00BD0EAD">
              <w:rPr>
                <w:rFonts w:ascii="Times New Roman" w:eastAsia="Times New Roman" w:hAnsi="Times New Roman"/>
                <w:noProof/>
                <w:color w:val="000000"/>
                <w:sz w:val="20"/>
                <w:szCs w:val="20"/>
              </w:rPr>
              <w:t>(64)</w:t>
            </w:r>
            <w:r w:rsidRPr="00BD0EAD">
              <w:rPr>
                <w:rFonts w:ascii="Times New Roman" w:eastAsia="Times New Roman" w:hAnsi="Times New Roman"/>
                <w:color w:val="000000"/>
                <w:sz w:val="20"/>
                <w:szCs w:val="20"/>
              </w:rPr>
              <w:fldChar w:fldCharType="end"/>
            </w:r>
          </w:p>
        </w:tc>
        <w:tc>
          <w:tcPr>
            <w:tcW w:w="539" w:type="dxa"/>
            <w:tcBorders>
              <w:top w:val="nil"/>
              <w:left w:val="nil"/>
              <w:bottom w:val="nil"/>
              <w:right w:val="nil"/>
            </w:tcBorders>
            <w:hideMark/>
          </w:tcPr>
          <w:p w14:paraId="410C6EE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nil"/>
              <w:right w:val="nil"/>
            </w:tcBorders>
            <w:hideMark/>
          </w:tcPr>
          <w:p w14:paraId="1507DFBA"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A1E987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2CB17E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346074C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736D905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D468E4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6CE0B3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990543B"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nil"/>
              <w:right w:val="nil"/>
            </w:tcBorders>
            <w:hideMark/>
          </w:tcPr>
          <w:p w14:paraId="40FC37D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26F64BB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51C31F1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517F951C" w14:textId="77777777" w:rsidTr="00A47688">
        <w:tc>
          <w:tcPr>
            <w:tcW w:w="2163" w:type="dxa"/>
            <w:tcBorders>
              <w:top w:val="nil"/>
              <w:left w:val="single" w:sz="4" w:space="0" w:color="auto"/>
              <w:bottom w:val="nil"/>
              <w:right w:val="nil"/>
            </w:tcBorders>
            <w:hideMark/>
          </w:tcPr>
          <w:p w14:paraId="64C79164"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Ahmed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{"citationItems":[{"id":"ITEM-1","itemData":{"DOI":"10.1017/S1368980015003353","ISBN":"1368980015","ISSN":"14752727","PMID":"29125452","abstract":"Objective We quantified the prevalence of vitamin D status in 6-24-month-old underweight and normal-weight children and identified the socio-economic and dietary predictors for status. Design Cross-sectional, baseline data from a nutritional intervention study were analysed. Multinomial logistic regression was used to estimate the odds of being vitamin D deficient or insufficient with the reference being vitamin D sufficient. Setting Urban slum area of Mirpur field site, Dhaka, Bangladesh. Subjects Underweight (weight-for-age Z-score &lt;-2·00) and normal-weight (weight-for-age Z-score ≥-1·00) children aged 6-24 months. Results Among 468 underweight children, 23·1 % were sufficient, 42·3 % insufficient, 31·2 % deficient and 3·4 % severely vitamin D deficient. Among 445 normal-weight children, 14·8 % were sufficient, 39·6 % insufficient and 40·0 % deficient and 5·6 % severely deficient. With adjusted multinominal regression analysis, risk factors (OR (95 % CI)) for vitamin D deficiency in underweight children were: older age group (18-24 months old; 2·9 (1·5-5·7)); measurement of vitamin D status during winter (3·0 (1·4-6·4)) and spring (6·9 (3·0-16·1)); and maternal education (≥6 years of institutional education; 2·2 (1·0-4·9)). In normal-weight children, older age group (3·6 (1·2-10·6)) and living in the richest quintile (3·7 (1·1-12·5)) were found to be significantly associated with vitamin D insufficiency. Conclusions The study demonstrates a significant burden of vitamin D insufficiency and deficiency in both underweight and normal-weight children &lt;2 years of age from an urban slum of Bangladesh. Identification of risk factors may help in mitigating the important burden in such children.","author":[{"dropping-particle":"","family":"Ahmed","given":"Am Shamsir","non-dropping-particle":"","parse-names":false,"suffix":""},{"dropping-particle":"","family":"Ahmed","given":"Tahmeed","non-dropping-particle":"","parse-names":false,"suffix":""},{"dropping-particle":"","family":"Long","given":"Kurt Z.","non-dropping-particle":"","parse-names":false,"suffix":""},{"dropping-particle":"","family":"Magalhaes","given":"Ricardo J.Soares","non-dropping-particle":"","parse-names":false,"suffix":""},{"dropping-particle":"","family":"Hossain","given":"Md Iqbal","non-dropping-particle":"","parse-names":false,"suffix":""},{"dropping-particle":"","family":"Islam","given":"Md Munirul","non-dropping-particle":"","parse-names":false,"suffix":""},{"dropping-particle":"","family":"Mahfuz","given":"Mustafa","non-dropping-particle":"","parse-names":false,"suffix":""},{"dropping-particle":"","family":"Gaffar","given":"Sm Abdul","non-dropping-particle":"","parse-names":false,"suffix":""},{"dropping-particle":"","family":"Sharmeen","given":"Atiya","non-dropping-particle":"","parse-names":false,"suffix":""},{"dropping-particle":"","family":"Haque","given":"Rashidul","non-dropping-particle":"","parse-names":false,"suffix":""},{"dropping-particle":"","family":"Guerrant","given":"Richard L.","non-dropping-particle":"","parse-names":false,"suffix":""},{"dropping-particle":"","family":"Petri","given":"William A.","non-dropping-particle":"","parse-names":false,"suffix":""},{"dropping-particle":"Al","family":"Mamun","given":"Abdullah","non-dropping-particle":"","parse-names":false,"suffix":""}],"container-title":"Public Health Nutrition","id":"ITEM-1","issue":"10","issued":{"date-parts":[["2017"]]},"page":"1718-1728","title":"Prevalence and risk factors of vitamin D insufficiency and deficiency among 6-24-month-old underweight and normal-weight children living in an urban slum of Bangladesh","type":"article-journal","volume":"20"},"uris":["http://www.mendeley.com/documents/?uuid=9dccdeb8-3b40-41d7-9906-4c7def72e168"]}],"mendeley":{"formattedCitation":"(42)","plainTextFormattedCitation":"(42)","previouslyFormattedCitation":"(42)"},"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(65)</w:t>
            </w:r>
            <w:r w:rsidRPr="00BD0EAD">
              <w:rPr>
                <w:rFonts w:ascii="Times New Roman" w:hAnsi="Times New Roman"/>
                <w:sz w:val="20"/>
                <w:szCs w:val="20"/>
              </w:rPr>
              <w:fldChar w:fldCharType="end"/>
            </w:r>
          </w:p>
        </w:tc>
        <w:tc>
          <w:tcPr>
            <w:tcW w:w="539" w:type="dxa"/>
            <w:tcBorders>
              <w:top w:val="nil"/>
              <w:left w:val="nil"/>
              <w:bottom w:val="nil"/>
              <w:right w:val="nil"/>
            </w:tcBorders>
            <w:hideMark/>
          </w:tcPr>
          <w:p w14:paraId="572191A1"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539" w:type="dxa"/>
            <w:tcBorders>
              <w:top w:val="nil"/>
              <w:left w:val="nil"/>
              <w:bottom w:val="nil"/>
              <w:right w:val="nil"/>
            </w:tcBorders>
            <w:hideMark/>
          </w:tcPr>
          <w:p w14:paraId="3DDCA15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4261D8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5547DA9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0991005"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4B0868C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1CA7A54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667B9317"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nil"/>
              <w:right w:val="nil"/>
            </w:tcBorders>
            <w:hideMark/>
          </w:tcPr>
          <w:p w14:paraId="2DC6C973"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630" w:type="dxa"/>
            <w:tcBorders>
              <w:top w:val="nil"/>
              <w:left w:val="nil"/>
              <w:bottom w:val="nil"/>
              <w:right w:val="nil"/>
            </w:tcBorders>
            <w:hideMark/>
          </w:tcPr>
          <w:p w14:paraId="3E2B106D"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810" w:type="dxa"/>
            <w:tcBorders>
              <w:top w:val="nil"/>
              <w:left w:val="nil"/>
              <w:bottom w:val="nil"/>
              <w:right w:val="nil"/>
            </w:tcBorders>
            <w:hideMark/>
          </w:tcPr>
          <w:p w14:paraId="152202A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1169" w:type="dxa"/>
            <w:tcBorders>
              <w:top w:val="nil"/>
              <w:left w:val="nil"/>
              <w:bottom w:val="nil"/>
              <w:right w:val="single" w:sz="4" w:space="0" w:color="auto"/>
            </w:tcBorders>
            <w:hideMark/>
          </w:tcPr>
          <w:p w14:paraId="54CCD7C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r w:rsidR="00BD0EAD" w:rsidRPr="00BD0EAD" w14:paraId="7F303E6B" w14:textId="77777777" w:rsidTr="00A47688">
        <w:tc>
          <w:tcPr>
            <w:tcW w:w="2163" w:type="dxa"/>
            <w:tcBorders>
              <w:top w:val="nil"/>
              <w:left w:val="single" w:sz="4" w:space="0" w:color="auto"/>
              <w:bottom w:val="single" w:sz="4" w:space="0" w:color="auto"/>
              <w:right w:val="nil"/>
            </w:tcBorders>
            <w:hideMark/>
          </w:tcPr>
          <w:p w14:paraId="26883182" w14:textId="77777777" w:rsidR="00BD0EAD" w:rsidRPr="00BD0EAD" w:rsidRDefault="00BD0EAD" w:rsidP="00A47688">
            <w:pPr>
              <w:spacing w:line="276" w:lineRule="auto"/>
              <w:jc w:val="both"/>
              <w:rPr>
                <w:rFonts w:ascii="Times New Roman" w:eastAsia="Times New Roman" w:hAnsi="Times New Roman"/>
                <w:color w:val="000000"/>
                <w:sz w:val="20"/>
                <w:szCs w:val="20"/>
              </w:rPr>
            </w:pPr>
            <w:r w:rsidRPr="00BD0EAD">
              <w:rPr>
                <w:rFonts w:ascii="Times New Roman" w:eastAsia="Times New Roman" w:hAnsi="Times New Roman"/>
                <w:color w:val="000000"/>
                <w:sz w:val="20"/>
                <w:szCs w:val="20"/>
              </w:rPr>
              <w:t>Holland et al</w:t>
            </w:r>
            <w:r w:rsidRPr="00BD0EAD">
              <w:rPr>
                <w:rFonts w:ascii="Times New Roman" w:hAnsi="Times New Roman"/>
                <w:sz w:val="20"/>
                <w:szCs w:val="20"/>
              </w:rPr>
              <w:fldChar w:fldCharType="begin" w:fldLock="1"/>
            </w:r>
            <w:r w:rsidRPr="00BD0EAD">
              <w:rPr>
                <w:rFonts w:ascii="Times New Roman" w:hAnsi="Times New Roman"/>
                <w:sz w:val="20"/>
                <w:szCs w:val="20"/>
              </w:rPr>
              <w:instrText>ADDIN CSL_CITATION {"citationItems":[{"id":"ITEM-1","itemData":{"DOI":"10.1024/0300-9831.78.1.16","ISSN":"03009831","abstract":"Background: Cultural, environmental, and diet-related factors were postulated to lead to a high prevalence of vitamin D deficiency in Kabul's socioeconomically deprived children under 5 years of age. We investigated the prevalence of plasma 25-hydroxyvitamin D (25-OHD) deficiency in such a group. Methods: Children between 6 months and up to 5 years of age were randomly sampled in the Chindawal area of Kabul in January 2005. Plasma samples were frozen to below -20° C and 25(OH)D3 concentrations estimated by high-pressure liquid chromatography. Results: For all 107 children tested, the median plasma 25(OH)D concentration was 5 ng/mL with a range of 2-24 ng/mL; 73% had concentrations of &lt; 8 ng/mL; 13 other samples were not analyzed due to insufficiency of plasma, staff, or technical problems. About 35 others approached either did not give consent or blood could not be obtained. Conclusions: This study was conducted in a high-risk population at a peak season for vitamin D deficiency. We conclude that this population of children living in Kabul to be at great risk of developing vitamin D deficiency, rickets, and other possible immunological effects of deficiency. © Hogrefe &amp; Huber Publishers.","author":[{"dropping-particle":"","family":"Manaseki-Holland","given":"Semira","non-dropping-particle":"","parse-names":false,"suffix":""},{"dropping-particle":"","family":"Mughal","given":"M. Zulf","non-dropping-particle":"","parse-names":false,"suffix":""},{"dropping-particle":"","family":"Bhutta","given":"Zulfiqar","non-dropping-particle":"","parse-names":false,"suffix":""},{"dropping-particle":"","family":"Shams","given":"M. Qasem","non-dropping-particle":"","parse-names":false,"suffix":""}],"container-title":"International Journal for Vitamin and Nutrition Research","id":"ITEM-1","issue":"1","issued":{"date-parts":[["2008"]]},"page":"16-20","title":"Vitamin D status of socioeconomically deprived children in Kabul, Afghanistan","type":"article-journal","volume":"78"},"uris":["http://www.mendeley.com/documents/?uuid=39f5322f-0620-46e4-a430-22096bd912ae"]}],"mendeley":{"formattedCitation":"(43)","plainTextFormattedCitation":"(43)","previouslyFormattedCitation":"(43)"},"properties":{"noteIndex":0},"schema":"https://github.com/citation-style-language/schema/raw/master/csl-citation.json"}</w:instrText>
            </w:r>
            <w:r w:rsidRPr="00BD0EAD">
              <w:rPr>
                <w:rFonts w:ascii="Times New Roman" w:hAnsi="Times New Roman"/>
                <w:sz w:val="20"/>
                <w:szCs w:val="20"/>
              </w:rPr>
              <w:fldChar w:fldCharType="separate"/>
            </w:r>
            <w:r w:rsidRPr="00BD0EAD">
              <w:rPr>
                <w:rFonts w:ascii="Times New Roman" w:hAnsi="Times New Roman"/>
                <w:noProof/>
                <w:sz w:val="20"/>
                <w:szCs w:val="20"/>
              </w:rPr>
              <w:t>(66)</w:t>
            </w:r>
            <w:r w:rsidRPr="00BD0EAD">
              <w:rPr>
                <w:rFonts w:ascii="Times New Roman" w:hAnsi="Times New Roman"/>
                <w:sz w:val="20"/>
                <w:szCs w:val="20"/>
              </w:rPr>
              <w:fldChar w:fldCharType="end"/>
            </w:r>
          </w:p>
        </w:tc>
        <w:tc>
          <w:tcPr>
            <w:tcW w:w="539" w:type="dxa"/>
            <w:tcBorders>
              <w:top w:val="nil"/>
              <w:left w:val="nil"/>
              <w:bottom w:val="single" w:sz="4" w:space="0" w:color="auto"/>
              <w:right w:val="nil"/>
            </w:tcBorders>
            <w:hideMark/>
          </w:tcPr>
          <w:p w14:paraId="51E01600"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39" w:type="dxa"/>
            <w:tcBorders>
              <w:top w:val="nil"/>
              <w:left w:val="nil"/>
              <w:bottom w:val="single" w:sz="4" w:space="0" w:color="auto"/>
              <w:right w:val="nil"/>
            </w:tcBorders>
            <w:hideMark/>
          </w:tcPr>
          <w:p w14:paraId="1CB8ECAC"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single" w:sz="4" w:space="0" w:color="auto"/>
              <w:right w:val="nil"/>
            </w:tcBorders>
            <w:hideMark/>
          </w:tcPr>
          <w:p w14:paraId="7D5C40D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single" w:sz="4" w:space="0" w:color="auto"/>
              <w:right w:val="nil"/>
            </w:tcBorders>
            <w:hideMark/>
          </w:tcPr>
          <w:p w14:paraId="572FBD4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single" w:sz="4" w:space="0" w:color="auto"/>
              <w:right w:val="nil"/>
            </w:tcBorders>
            <w:hideMark/>
          </w:tcPr>
          <w:p w14:paraId="5D7D833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single" w:sz="4" w:space="0" w:color="auto"/>
              <w:right w:val="nil"/>
            </w:tcBorders>
            <w:hideMark/>
          </w:tcPr>
          <w:p w14:paraId="3320C6AE"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single" w:sz="4" w:space="0" w:color="auto"/>
              <w:right w:val="nil"/>
            </w:tcBorders>
            <w:hideMark/>
          </w:tcPr>
          <w:p w14:paraId="0B72BCEF"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single" w:sz="4" w:space="0" w:color="auto"/>
              <w:right w:val="nil"/>
            </w:tcBorders>
            <w:hideMark/>
          </w:tcPr>
          <w:p w14:paraId="4BC6C762"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0</w:t>
            </w:r>
          </w:p>
        </w:tc>
        <w:tc>
          <w:tcPr>
            <w:tcW w:w="540" w:type="dxa"/>
            <w:tcBorders>
              <w:top w:val="nil"/>
              <w:left w:val="nil"/>
              <w:bottom w:val="single" w:sz="4" w:space="0" w:color="auto"/>
              <w:right w:val="nil"/>
            </w:tcBorders>
            <w:hideMark/>
          </w:tcPr>
          <w:p w14:paraId="23DBDB0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630" w:type="dxa"/>
            <w:tcBorders>
              <w:top w:val="nil"/>
              <w:left w:val="nil"/>
              <w:bottom w:val="single" w:sz="4" w:space="0" w:color="auto"/>
              <w:right w:val="nil"/>
            </w:tcBorders>
            <w:hideMark/>
          </w:tcPr>
          <w:p w14:paraId="446EB958"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1</w:t>
            </w:r>
          </w:p>
        </w:tc>
        <w:tc>
          <w:tcPr>
            <w:tcW w:w="810" w:type="dxa"/>
            <w:tcBorders>
              <w:top w:val="nil"/>
              <w:left w:val="nil"/>
              <w:bottom w:val="single" w:sz="4" w:space="0" w:color="auto"/>
              <w:right w:val="nil"/>
            </w:tcBorders>
            <w:hideMark/>
          </w:tcPr>
          <w:p w14:paraId="66C92CF9"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2</w:t>
            </w:r>
          </w:p>
        </w:tc>
        <w:tc>
          <w:tcPr>
            <w:tcW w:w="1169" w:type="dxa"/>
            <w:tcBorders>
              <w:top w:val="nil"/>
              <w:left w:val="nil"/>
              <w:bottom w:val="single" w:sz="4" w:space="0" w:color="auto"/>
              <w:right w:val="single" w:sz="4" w:space="0" w:color="auto"/>
            </w:tcBorders>
            <w:hideMark/>
          </w:tcPr>
          <w:p w14:paraId="4ECF3BA6" w14:textId="77777777" w:rsidR="00BD0EAD" w:rsidRPr="00BD0EAD" w:rsidRDefault="00BD0EAD" w:rsidP="00A47688">
            <w:pPr>
              <w:spacing w:line="276" w:lineRule="auto"/>
              <w:rPr>
                <w:rFonts w:ascii="Times New Roman" w:hAnsi="Times New Roman"/>
                <w:sz w:val="20"/>
                <w:szCs w:val="20"/>
              </w:rPr>
            </w:pPr>
            <w:r w:rsidRPr="00BD0EAD">
              <w:rPr>
                <w:rFonts w:ascii="Times New Roman" w:hAnsi="Times New Roman"/>
                <w:sz w:val="20"/>
                <w:szCs w:val="20"/>
              </w:rPr>
              <w:t>Low</w:t>
            </w:r>
          </w:p>
        </w:tc>
      </w:tr>
    </w:tbl>
    <w:p w14:paraId="6ACCBC8D" w14:textId="77777777" w:rsidR="00BD0EAD" w:rsidRPr="00BD0EAD" w:rsidRDefault="00BD0EAD" w:rsidP="00BD0EAD">
      <w:pPr>
        <w:spacing w:after="200" w:line="276" w:lineRule="auto"/>
        <w:rPr>
          <w:rFonts w:ascii="Times New Roman" w:eastAsia="Calibri" w:hAnsi="Times New Roman" w:cs="Times New Roman"/>
          <w:sz w:val="20"/>
          <w:lang w:val="en-GB"/>
        </w:rPr>
      </w:pPr>
    </w:p>
    <w:p w14:paraId="4FEFB52A" w14:textId="77777777" w:rsidR="00BD0EAD" w:rsidRPr="00BD0EAD" w:rsidRDefault="00BD0EAD" w:rsidP="00BD0EAD">
      <w:pPr>
        <w:spacing w:after="200" w:line="276" w:lineRule="auto"/>
        <w:jc w:val="center"/>
        <w:rPr>
          <w:rFonts w:ascii="Calibri" w:eastAsia="Calibri" w:hAnsi="Calibri" w:cs="Calibri"/>
          <w:lang w:val="en-GB"/>
        </w:rPr>
      </w:pPr>
    </w:p>
    <w:p w14:paraId="5D706BB9" w14:textId="4A1A450A" w:rsidR="00590C69" w:rsidRDefault="00590C69" w:rsidP="00483398">
      <w:pPr>
        <w:jc w:val="both"/>
      </w:pPr>
    </w:p>
    <w:p w14:paraId="6CD75E8F" w14:textId="1D53780E" w:rsidR="00A47688" w:rsidRDefault="00A47688" w:rsidP="00483398">
      <w:pPr>
        <w:jc w:val="both"/>
      </w:pPr>
    </w:p>
    <w:p w14:paraId="53C88D7F" w14:textId="77777777" w:rsidR="00A47688" w:rsidRPr="00BD0EAD" w:rsidRDefault="00A47688" w:rsidP="00A47688">
      <w:pPr>
        <w:tabs>
          <w:tab w:val="left" w:pos="3555"/>
        </w:tabs>
        <w:spacing w:after="200" w:line="276" w:lineRule="auto"/>
        <w:jc w:val="center"/>
        <w:rPr>
          <w:rFonts w:ascii="Times New Roman" w:eastAsia="Calibri" w:hAnsi="Times New Roman" w:cs="Times New Roman"/>
          <w:b/>
          <w:sz w:val="20"/>
          <w:szCs w:val="20"/>
          <w:lang w:val="en-GB"/>
        </w:rPr>
      </w:pPr>
      <w:r w:rsidRPr="00BD0EAD">
        <w:rPr>
          <w:rFonts w:ascii="Times New Roman" w:eastAsia="Calibri" w:hAnsi="Times New Roman" w:cs="Times New Roman"/>
          <w:b/>
          <w:noProof/>
          <w:sz w:val="20"/>
          <w:szCs w:val="20"/>
        </w:rPr>
        <w:drawing>
          <wp:inline distT="0" distB="0" distL="0" distR="0" wp14:anchorId="548DBF24" wp14:editId="5CEAB758">
            <wp:extent cx="4143375" cy="4229100"/>
            <wp:effectExtent l="0" t="0" r="9525" b="0"/>
            <wp:docPr id="5"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4143375" cy="4229100"/>
                    </a:xfrm>
                    <a:prstGeom prst="rect">
                      <a:avLst/>
                    </a:prstGeom>
                    <a:noFill/>
                    <a:ln>
                      <a:noFill/>
                    </a:ln>
                  </pic:spPr>
                </pic:pic>
              </a:graphicData>
            </a:graphic>
          </wp:inline>
        </w:drawing>
      </w:r>
    </w:p>
    <w:p w14:paraId="4FE91C53" w14:textId="77777777" w:rsidR="00A47688" w:rsidRPr="0024009B" w:rsidRDefault="00A47688" w:rsidP="00A47688">
      <w:pPr>
        <w:spacing w:after="0" w:line="276" w:lineRule="auto"/>
        <w:jc w:val="both"/>
        <w:rPr>
          <w:rFonts w:ascii="Times New Roman" w:eastAsia="Calibri" w:hAnsi="Times New Roman" w:cs="Times New Roman"/>
          <w:sz w:val="28"/>
          <w:szCs w:val="28"/>
          <w:lang w:val="en-GB"/>
        </w:rPr>
      </w:pPr>
      <w:r w:rsidRPr="0024009B">
        <w:rPr>
          <w:rFonts w:ascii="Times New Roman" w:eastAsia="Calibri" w:hAnsi="Times New Roman" w:cs="Times New Roman"/>
          <w:b/>
          <w:sz w:val="24"/>
          <w:szCs w:val="24"/>
          <w:lang w:val="en-GB"/>
        </w:rPr>
        <w:t>Figure S1:</w:t>
      </w:r>
      <w:r w:rsidRPr="0024009B">
        <w:rPr>
          <w:rFonts w:ascii="Times New Roman" w:eastAsia="Calibri" w:hAnsi="Times New Roman" w:cs="Times New Roman"/>
          <w:bCs/>
          <w:color w:val="131413"/>
          <w:sz w:val="24"/>
          <w:szCs w:val="24"/>
          <w:lang w:val="en-GB"/>
        </w:rPr>
        <w:t xml:space="preserve"> Weighted mean level of serum vitamin D (ng/mL) among South Asian children (on the Y-axis). X-axis represent the name of the South Asian countries. Error bars represent the weighted standard deviations.</w:t>
      </w:r>
    </w:p>
    <w:p w14:paraId="3CF0782A" w14:textId="77777777" w:rsidR="00A47688" w:rsidRPr="00BD0EAD" w:rsidRDefault="00A47688" w:rsidP="00A47688">
      <w:pPr>
        <w:tabs>
          <w:tab w:val="left" w:pos="3555"/>
        </w:tabs>
        <w:spacing w:after="200" w:line="276" w:lineRule="auto"/>
        <w:jc w:val="center"/>
        <w:rPr>
          <w:rFonts w:ascii="Times New Roman" w:eastAsia="Calibri" w:hAnsi="Times New Roman" w:cs="Times New Roman"/>
          <w:bCs/>
          <w:color w:val="131413"/>
          <w:sz w:val="20"/>
          <w:szCs w:val="20"/>
          <w:lang w:val="en-GB"/>
        </w:rPr>
      </w:pPr>
    </w:p>
    <w:p w14:paraId="703EBF31" w14:textId="77777777" w:rsidR="00A47688" w:rsidRPr="00BD0EAD" w:rsidRDefault="00A47688" w:rsidP="00A47688">
      <w:pPr>
        <w:tabs>
          <w:tab w:val="left" w:pos="3555"/>
        </w:tabs>
        <w:spacing w:after="200" w:line="276" w:lineRule="auto"/>
        <w:jc w:val="center"/>
        <w:rPr>
          <w:rFonts w:ascii="Times New Roman" w:eastAsia="Calibri" w:hAnsi="Times New Roman" w:cs="Times New Roman"/>
          <w:b/>
          <w:bCs/>
          <w:color w:val="131413"/>
          <w:lang w:val="en-GB"/>
        </w:rPr>
      </w:pPr>
    </w:p>
    <w:p w14:paraId="3239B622" w14:textId="77777777" w:rsidR="00A47688" w:rsidRPr="00BD0EAD" w:rsidRDefault="00A47688" w:rsidP="00A47688">
      <w:pPr>
        <w:tabs>
          <w:tab w:val="left" w:pos="3555"/>
        </w:tabs>
        <w:spacing w:after="200" w:line="276" w:lineRule="auto"/>
        <w:jc w:val="center"/>
        <w:rPr>
          <w:rFonts w:ascii="Times New Roman" w:eastAsia="Calibri" w:hAnsi="Times New Roman" w:cs="Times New Roman"/>
          <w:b/>
          <w:bCs/>
          <w:color w:val="131413"/>
          <w:lang w:val="en-GB"/>
        </w:rPr>
      </w:pPr>
    </w:p>
    <w:p w14:paraId="6B0D0F97" w14:textId="77777777" w:rsidR="00A47688" w:rsidRPr="00BD0EAD" w:rsidRDefault="00A47688" w:rsidP="00A47688">
      <w:pPr>
        <w:tabs>
          <w:tab w:val="left" w:pos="3555"/>
        </w:tabs>
        <w:spacing w:after="200" w:line="276" w:lineRule="auto"/>
        <w:jc w:val="center"/>
        <w:rPr>
          <w:rFonts w:ascii="Times New Roman" w:eastAsia="Calibri" w:hAnsi="Times New Roman" w:cs="Times New Roman"/>
          <w:b/>
          <w:bCs/>
          <w:color w:val="131413"/>
          <w:lang w:val="en-GB"/>
        </w:rPr>
      </w:pPr>
    </w:p>
    <w:p w14:paraId="6F1BFA81" w14:textId="77777777" w:rsidR="00A47688" w:rsidRPr="00BD0EAD" w:rsidRDefault="00A47688" w:rsidP="00A47688">
      <w:pPr>
        <w:tabs>
          <w:tab w:val="left" w:pos="3555"/>
        </w:tabs>
        <w:spacing w:after="200" w:line="276" w:lineRule="auto"/>
        <w:jc w:val="center"/>
        <w:rPr>
          <w:rFonts w:ascii="Times New Roman" w:eastAsia="Calibri" w:hAnsi="Times New Roman" w:cs="Times New Roman"/>
          <w:b/>
          <w:lang w:val="en-GB"/>
        </w:rPr>
      </w:pPr>
    </w:p>
    <w:p w14:paraId="1F662160" w14:textId="77777777" w:rsidR="00A47688" w:rsidRPr="00BD0EAD" w:rsidRDefault="00A47688" w:rsidP="00A47688">
      <w:pPr>
        <w:spacing w:after="200" w:line="276" w:lineRule="auto"/>
        <w:jc w:val="center"/>
        <w:rPr>
          <w:rFonts w:ascii="Times New Roman" w:eastAsia="Calibri" w:hAnsi="Times New Roman" w:cs="Times New Roman"/>
          <w:b/>
          <w:lang w:val="en-GB"/>
        </w:rPr>
      </w:pPr>
    </w:p>
    <w:p w14:paraId="2C1B12C1" w14:textId="77777777" w:rsidR="00A47688" w:rsidRPr="00BD0EAD" w:rsidRDefault="00A47688" w:rsidP="00A47688">
      <w:pPr>
        <w:tabs>
          <w:tab w:val="left" w:pos="3555"/>
        </w:tabs>
        <w:spacing w:after="200" w:line="276" w:lineRule="auto"/>
        <w:jc w:val="center"/>
        <w:rPr>
          <w:rFonts w:ascii="Times New Roman" w:eastAsia="Calibri" w:hAnsi="Times New Roman" w:cs="Times New Roman"/>
          <w:b/>
          <w:lang w:val="en-GB"/>
        </w:rPr>
      </w:pPr>
    </w:p>
    <w:p w14:paraId="25AB3667" w14:textId="77777777" w:rsidR="00A47688" w:rsidRPr="00BD0EAD" w:rsidRDefault="00A47688" w:rsidP="00A47688">
      <w:pPr>
        <w:tabs>
          <w:tab w:val="left" w:pos="3555"/>
        </w:tabs>
        <w:spacing w:after="200" w:line="276" w:lineRule="auto"/>
        <w:jc w:val="center"/>
        <w:rPr>
          <w:rFonts w:ascii="Times New Roman" w:eastAsia="Calibri" w:hAnsi="Times New Roman" w:cs="Times New Roman"/>
          <w:b/>
          <w:lang w:val="en-GB"/>
        </w:rPr>
      </w:pPr>
    </w:p>
    <w:p w14:paraId="3452E16A" w14:textId="77777777" w:rsidR="00A47688" w:rsidRPr="00BD0EAD" w:rsidRDefault="00A47688" w:rsidP="00A47688">
      <w:pPr>
        <w:tabs>
          <w:tab w:val="left" w:pos="3555"/>
        </w:tabs>
        <w:spacing w:after="0" w:line="276" w:lineRule="auto"/>
        <w:rPr>
          <w:rFonts w:ascii="Times New Roman" w:eastAsia="Calibri" w:hAnsi="Times New Roman" w:cs="Times New Roman"/>
          <w:b/>
          <w:lang w:val="en-GB"/>
        </w:rPr>
      </w:pPr>
    </w:p>
    <w:p w14:paraId="6A9E6ABC" w14:textId="77777777" w:rsidR="00A47688" w:rsidRPr="00BD0EAD" w:rsidRDefault="00A47688" w:rsidP="00A47688">
      <w:pPr>
        <w:spacing w:after="0" w:line="276" w:lineRule="auto"/>
        <w:jc w:val="both"/>
        <w:rPr>
          <w:rFonts w:ascii="Times New Roman" w:eastAsia="Calibri" w:hAnsi="Times New Roman" w:cs="Times New Roman"/>
          <w:sz w:val="20"/>
          <w:szCs w:val="20"/>
          <w:lang w:val="en-GB"/>
        </w:rPr>
      </w:pPr>
    </w:p>
    <w:p w14:paraId="5A719639" w14:textId="77777777" w:rsidR="00A47688" w:rsidRPr="00BD0EAD" w:rsidRDefault="00A47688" w:rsidP="00A47688">
      <w:pPr>
        <w:tabs>
          <w:tab w:val="left" w:pos="3555"/>
        </w:tabs>
        <w:spacing w:after="200" w:line="276" w:lineRule="auto"/>
        <w:jc w:val="center"/>
        <w:rPr>
          <w:rFonts w:ascii="Times New Roman" w:eastAsia="Calibri" w:hAnsi="Times New Roman" w:cs="Times New Roman"/>
          <w:b/>
          <w:lang w:val="en-GB"/>
        </w:rPr>
      </w:pPr>
    </w:p>
    <w:p w14:paraId="529CE013" w14:textId="77777777" w:rsidR="00A47688" w:rsidRPr="00BD0EAD" w:rsidRDefault="00A47688" w:rsidP="00A47688">
      <w:pPr>
        <w:tabs>
          <w:tab w:val="left" w:pos="4380"/>
        </w:tabs>
        <w:spacing w:after="0" w:line="276" w:lineRule="auto"/>
        <w:rPr>
          <w:rFonts w:ascii="Times New Roman" w:eastAsia="Calibri" w:hAnsi="Times New Roman" w:cs="Times New Roman"/>
          <w:noProof/>
          <w:sz w:val="20"/>
          <w:szCs w:val="20"/>
        </w:rPr>
      </w:pPr>
    </w:p>
    <w:p w14:paraId="674D0ACC" w14:textId="77777777" w:rsidR="00A47688" w:rsidRPr="00BD0EAD" w:rsidRDefault="00A47688" w:rsidP="00A47688">
      <w:pPr>
        <w:spacing w:after="0" w:line="276" w:lineRule="auto"/>
        <w:jc w:val="both"/>
        <w:rPr>
          <w:rFonts w:ascii="Times New Roman" w:eastAsia="Calibri" w:hAnsi="Times New Roman" w:cs="Times New Roman"/>
          <w:sz w:val="20"/>
          <w:lang w:val="en-GB"/>
        </w:rPr>
      </w:pPr>
    </w:p>
    <w:p w14:paraId="11A42268" w14:textId="77777777" w:rsidR="00A47688" w:rsidRPr="00BD0EAD" w:rsidRDefault="00A47688" w:rsidP="00A47688">
      <w:pPr>
        <w:spacing w:after="200" w:line="276" w:lineRule="auto"/>
        <w:rPr>
          <w:rFonts w:ascii="Times New Roman" w:eastAsia="Calibri" w:hAnsi="Times New Roman" w:cs="Times New Roman"/>
          <w:lang w:val="en-GB"/>
        </w:rPr>
      </w:pPr>
    </w:p>
    <w:p w14:paraId="60C8B1A4" w14:textId="77777777" w:rsidR="00A47688" w:rsidRPr="00BD0EAD" w:rsidRDefault="00A47688" w:rsidP="00A47688">
      <w:pPr>
        <w:tabs>
          <w:tab w:val="left" w:pos="4380"/>
        </w:tabs>
        <w:spacing w:after="200" w:line="276" w:lineRule="auto"/>
        <w:rPr>
          <w:rFonts w:ascii="Times New Roman" w:eastAsia="Calibri" w:hAnsi="Times New Roman" w:cs="Times New Roman"/>
          <w:lang w:val="en-GB"/>
        </w:rPr>
      </w:pPr>
    </w:p>
    <w:p w14:paraId="0E53D3D2" w14:textId="2E7E7EF9" w:rsidR="00A47688" w:rsidRPr="00BD0EAD" w:rsidRDefault="001F27FB" w:rsidP="00A47688">
      <w:pPr>
        <w:spacing w:after="0" w:line="276" w:lineRule="auto"/>
        <w:jc w:val="center"/>
        <w:rPr>
          <w:rFonts w:ascii="Times New Roman" w:eastAsia="Calibri" w:hAnsi="Times New Roman" w:cs="Times New Roman"/>
          <w:b/>
          <w:lang w:val="en-GB"/>
        </w:rPr>
      </w:pPr>
      <w:r w:rsidRPr="00BD0EAD">
        <w:rPr>
          <w:rFonts w:ascii="Calibri" w:eastAsia="Calibri" w:hAnsi="Calibri" w:cs="Calibri"/>
          <w:noProof/>
          <w:lang w:val="en-GB"/>
        </w:rPr>
        <w:drawing>
          <wp:anchor distT="0" distB="0" distL="114300" distR="114300" simplePos="0" relativeHeight="251659264" behindDoc="1" locked="0" layoutInCell="1" allowOverlap="1" wp14:anchorId="3388A10F" wp14:editId="45D9D266">
            <wp:simplePos x="0" y="0"/>
            <wp:positionH relativeFrom="margin">
              <wp:align>left</wp:align>
            </wp:positionH>
            <wp:positionV relativeFrom="paragraph">
              <wp:posOffset>178680</wp:posOffset>
            </wp:positionV>
            <wp:extent cx="6048375" cy="4359275"/>
            <wp:effectExtent l="0" t="0" r="9525" b="3175"/>
            <wp:wrapTight wrapText="bothSides">
              <wp:wrapPolygon edited="0">
                <wp:start x="0" y="0"/>
                <wp:lineTo x="0" y="21521"/>
                <wp:lineTo x="21566" y="21521"/>
                <wp:lineTo x="21566" y="0"/>
                <wp:lineTo x="0" y="0"/>
              </wp:wrapPolygon>
            </wp:wrapTight>
            <wp:docPr id="6" name="Picture 6" descr="Supplementary Figure 5 Funnel plot for the publication bias of the selected stud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Supplementary Figure 5 Funnel plot for the publication bias of the selected studies"/>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048375" cy="4359275"/>
                    </a:xfrm>
                    <a:prstGeom prst="rect">
                      <a:avLst/>
                    </a:prstGeom>
                    <a:noFill/>
                  </pic:spPr>
                </pic:pic>
              </a:graphicData>
            </a:graphic>
            <wp14:sizeRelH relativeFrom="margin">
              <wp14:pctWidth>0</wp14:pctWidth>
            </wp14:sizeRelH>
            <wp14:sizeRelV relativeFrom="margin">
              <wp14:pctHeight>0</wp14:pctHeight>
            </wp14:sizeRelV>
          </wp:anchor>
        </w:drawing>
      </w:r>
    </w:p>
    <w:p w14:paraId="40F1E0B4" w14:textId="0AB074D3" w:rsidR="00A47688" w:rsidRPr="00BD0EAD" w:rsidRDefault="00A47688" w:rsidP="00A47688">
      <w:pPr>
        <w:tabs>
          <w:tab w:val="left" w:pos="3555"/>
        </w:tabs>
        <w:spacing w:after="0" w:line="276" w:lineRule="auto"/>
        <w:jc w:val="center"/>
        <w:rPr>
          <w:rFonts w:ascii="Times New Roman" w:eastAsia="Calibri" w:hAnsi="Times New Roman" w:cs="Times New Roman"/>
          <w:b/>
          <w:lang w:val="en-GB"/>
        </w:rPr>
      </w:pPr>
      <w:r w:rsidRPr="00BD0EAD">
        <w:rPr>
          <w:rFonts w:ascii="Times New Roman" w:eastAsia="Calibri" w:hAnsi="Times New Roman" w:cs="Times New Roman"/>
          <w:lang w:val="en-GB"/>
        </w:rPr>
        <w:tab/>
      </w:r>
    </w:p>
    <w:p w14:paraId="1A4622D3" w14:textId="77777777" w:rsidR="00A47688" w:rsidRPr="0024009B" w:rsidRDefault="00A47688" w:rsidP="00A47688">
      <w:pPr>
        <w:tabs>
          <w:tab w:val="left" w:pos="1455"/>
        </w:tabs>
        <w:spacing w:after="0" w:line="276" w:lineRule="auto"/>
        <w:jc w:val="both"/>
        <w:rPr>
          <w:rFonts w:ascii="Times New Roman" w:eastAsia="Calibri" w:hAnsi="Times New Roman" w:cs="Times New Roman"/>
          <w:bCs/>
          <w:color w:val="131413"/>
          <w:sz w:val="24"/>
          <w:szCs w:val="24"/>
          <w:lang w:val="en-GB"/>
        </w:rPr>
      </w:pPr>
      <w:r w:rsidRPr="0024009B">
        <w:rPr>
          <w:rFonts w:ascii="Times New Roman" w:eastAsia="Calibri" w:hAnsi="Times New Roman" w:cs="Times New Roman"/>
          <w:b/>
          <w:sz w:val="24"/>
          <w:szCs w:val="24"/>
          <w:lang w:val="en-GB"/>
        </w:rPr>
        <w:t xml:space="preserve">Figure S2: </w:t>
      </w:r>
      <w:r w:rsidRPr="0024009B">
        <w:rPr>
          <w:rFonts w:ascii="Times New Roman" w:eastAsia="Calibri" w:hAnsi="Times New Roman" w:cs="Times New Roman"/>
          <w:bCs/>
          <w:color w:val="131413"/>
          <w:sz w:val="24"/>
          <w:szCs w:val="24"/>
          <w:lang w:val="en-GB"/>
        </w:rPr>
        <w:t>Funnel plot for the publication bias of the selected studies.</w:t>
      </w:r>
    </w:p>
    <w:p w14:paraId="0FB2AC6E" w14:textId="7C42B160" w:rsidR="00A47688" w:rsidRPr="0024009B" w:rsidRDefault="00A47688" w:rsidP="00A47688">
      <w:pPr>
        <w:tabs>
          <w:tab w:val="left" w:pos="1455"/>
        </w:tabs>
        <w:spacing w:after="0" w:line="276" w:lineRule="auto"/>
        <w:jc w:val="both"/>
        <w:rPr>
          <w:rFonts w:ascii="Calibri" w:eastAsia="Calibri" w:hAnsi="Calibri" w:cs="Calibri"/>
          <w:sz w:val="24"/>
          <w:szCs w:val="24"/>
          <w:lang w:val="en-GB"/>
        </w:rPr>
      </w:pPr>
      <w:r w:rsidRPr="0024009B">
        <w:rPr>
          <w:rFonts w:ascii="Times New Roman" w:eastAsia="Calibri" w:hAnsi="Times New Roman" w:cs="Times New Roman"/>
          <w:bCs/>
          <w:color w:val="131413"/>
          <w:sz w:val="24"/>
          <w:szCs w:val="24"/>
          <w:lang w:val="en-GB"/>
        </w:rPr>
        <w:t xml:space="preserve">Each </w:t>
      </w:r>
      <w:r w:rsidR="0024009B" w:rsidRPr="0024009B">
        <w:rPr>
          <w:rFonts w:ascii="Times New Roman" w:eastAsia="Calibri" w:hAnsi="Times New Roman" w:cs="Times New Roman"/>
          <w:bCs/>
          <w:color w:val="131413"/>
          <w:sz w:val="24"/>
          <w:szCs w:val="24"/>
          <w:lang w:val="en-GB"/>
        </w:rPr>
        <w:t>dot</w:t>
      </w:r>
      <w:r w:rsidRPr="0024009B">
        <w:rPr>
          <w:rFonts w:ascii="Times New Roman" w:eastAsia="Calibri" w:hAnsi="Times New Roman" w:cs="Times New Roman"/>
          <w:bCs/>
          <w:color w:val="131413"/>
          <w:sz w:val="24"/>
          <w:szCs w:val="24"/>
          <w:lang w:val="en-GB"/>
        </w:rPr>
        <w:t xml:space="preserve"> of the funnel plot </w:t>
      </w:r>
      <w:r w:rsidR="0024009B" w:rsidRPr="0024009B">
        <w:rPr>
          <w:rFonts w:ascii="Times New Roman" w:eastAsia="Calibri" w:hAnsi="Times New Roman" w:cs="Times New Roman"/>
          <w:bCs/>
          <w:color w:val="131413"/>
          <w:sz w:val="24"/>
          <w:szCs w:val="24"/>
          <w:lang w:val="en-GB"/>
        </w:rPr>
        <w:t>represents</w:t>
      </w:r>
      <w:r w:rsidRPr="0024009B">
        <w:rPr>
          <w:rFonts w:ascii="Times New Roman" w:eastAsia="Calibri" w:hAnsi="Times New Roman" w:cs="Times New Roman"/>
          <w:bCs/>
          <w:color w:val="131413"/>
          <w:sz w:val="24"/>
          <w:szCs w:val="24"/>
          <w:lang w:val="en-GB"/>
        </w:rPr>
        <w:t xml:space="preserve"> a single study. Y-axis represent the standard error of the effect estimates, and the X-axis shows the result (prevalence) for individual study.</w:t>
      </w:r>
      <w:r w:rsidRPr="0024009B">
        <w:rPr>
          <w:rFonts w:ascii="Calibri" w:eastAsia="Calibri" w:hAnsi="Calibri" w:cs="Calibri"/>
          <w:sz w:val="24"/>
          <w:szCs w:val="24"/>
          <w:lang w:val="en-GB"/>
        </w:rPr>
        <w:t xml:space="preserve"> </w:t>
      </w:r>
    </w:p>
    <w:p w14:paraId="26317E57" w14:textId="77777777" w:rsidR="00A47688" w:rsidRDefault="00A47688" w:rsidP="00483398">
      <w:pPr>
        <w:jc w:val="both"/>
      </w:pPr>
    </w:p>
    <w:sectPr w:rsidR="00A4768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9B16CB"/>
    <w:multiLevelType w:val="hybridMultilevel"/>
    <w:tmpl w:val="2202F08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szQwNjU3NLA0MTI1MDZR0lEKTi0uzszPAykwqQUA4s+CdSwAAAA="/>
  </w:docVars>
  <w:rsids>
    <w:rsidRoot w:val="00BD0EAD"/>
    <w:rsid w:val="00194221"/>
    <w:rsid w:val="001F27FB"/>
    <w:rsid w:val="0024009B"/>
    <w:rsid w:val="00483398"/>
    <w:rsid w:val="004D28C6"/>
    <w:rsid w:val="005251AC"/>
    <w:rsid w:val="00590C69"/>
    <w:rsid w:val="00782CC6"/>
    <w:rsid w:val="00A47688"/>
    <w:rsid w:val="00BD0EAD"/>
    <w:rsid w:val="00D53654"/>
    <w:rsid w:val="00E56F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4D9514"/>
  <w15:chartTrackingRefBased/>
  <w15:docId w15:val="{8B58963E-6CFD-4F57-AA9C-AED94D3874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D0EAD"/>
    <w:pPr>
      <w:keepNext/>
      <w:keepLines/>
      <w:spacing w:before="240" w:after="0" w:line="276" w:lineRule="auto"/>
      <w:outlineLvl w:val="0"/>
    </w:pPr>
    <w:rPr>
      <w:rFonts w:ascii="Calibri" w:eastAsia="Calibri" w:hAnsi="Calibri" w:cs="Calibri"/>
      <w:color w:val="2E74B5"/>
      <w:sz w:val="32"/>
      <w:szCs w:val="32"/>
      <w:lang w:val="en-GB"/>
    </w:rPr>
  </w:style>
  <w:style w:type="paragraph" w:styleId="Heading2">
    <w:name w:val="heading 2"/>
    <w:basedOn w:val="Normal"/>
    <w:next w:val="Normal"/>
    <w:link w:val="Heading2Char"/>
    <w:uiPriority w:val="9"/>
    <w:semiHidden/>
    <w:unhideWhenUsed/>
    <w:qFormat/>
    <w:rsid w:val="00BD0EAD"/>
    <w:pPr>
      <w:keepNext/>
      <w:keepLines/>
      <w:spacing w:before="40" w:after="0" w:line="276" w:lineRule="auto"/>
      <w:outlineLvl w:val="1"/>
    </w:pPr>
    <w:rPr>
      <w:rFonts w:ascii="Calibri" w:eastAsia="Calibri" w:hAnsi="Calibri" w:cs="Calibri"/>
      <w:color w:val="2E74B5"/>
      <w:sz w:val="26"/>
      <w:szCs w:val="26"/>
      <w:lang w:val="en-GB"/>
    </w:rPr>
  </w:style>
  <w:style w:type="paragraph" w:styleId="Heading3">
    <w:name w:val="heading 3"/>
    <w:basedOn w:val="Normal"/>
    <w:next w:val="Normal"/>
    <w:link w:val="Heading3Char"/>
    <w:uiPriority w:val="9"/>
    <w:semiHidden/>
    <w:unhideWhenUsed/>
    <w:qFormat/>
    <w:rsid w:val="00BD0EAD"/>
    <w:pPr>
      <w:keepNext/>
      <w:keepLines/>
      <w:spacing w:before="280" w:after="80" w:line="276" w:lineRule="auto"/>
      <w:outlineLvl w:val="2"/>
    </w:pPr>
    <w:rPr>
      <w:rFonts w:ascii="Calibri" w:eastAsia="Calibri" w:hAnsi="Calibri" w:cs="Calibri"/>
      <w:b/>
      <w:sz w:val="28"/>
      <w:szCs w:val="28"/>
      <w:lang w:val="en-GB"/>
    </w:rPr>
  </w:style>
  <w:style w:type="paragraph" w:styleId="Heading4">
    <w:name w:val="heading 4"/>
    <w:basedOn w:val="Normal"/>
    <w:next w:val="Normal"/>
    <w:link w:val="Heading4Char"/>
    <w:uiPriority w:val="9"/>
    <w:semiHidden/>
    <w:unhideWhenUsed/>
    <w:qFormat/>
    <w:rsid w:val="00BD0EAD"/>
    <w:pPr>
      <w:keepNext/>
      <w:keepLines/>
      <w:spacing w:before="240" w:after="40" w:line="276" w:lineRule="auto"/>
      <w:outlineLvl w:val="3"/>
    </w:pPr>
    <w:rPr>
      <w:rFonts w:ascii="Calibri" w:eastAsia="Calibri" w:hAnsi="Calibri" w:cs="Calibri"/>
      <w:b/>
      <w:sz w:val="24"/>
      <w:szCs w:val="24"/>
      <w:lang w:val="en-GB"/>
    </w:rPr>
  </w:style>
  <w:style w:type="paragraph" w:styleId="Heading5">
    <w:name w:val="heading 5"/>
    <w:basedOn w:val="Normal"/>
    <w:next w:val="Normal"/>
    <w:link w:val="Heading5Char"/>
    <w:uiPriority w:val="9"/>
    <w:semiHidden/>
    <w:unhideWhenUsed/>
    <w:qFormat/>
    <w:rsid w:val="00BD0EAD"/>
    <w:pPr>
      <w:keepNext/>
      <w:keepLines/>
      <w:spacing w:before="220" w:after="40" w:line="276" w:lineRule="auto"/>
      <w:outlineLvl w:val="4"/>
    </w:pPr>
    <w:rPr>
      <w:rFonts w:ascii="Calibri" w:eastAsia="Calibri" w:hAnsi="Calibri" w:cs="Calibri"/>
      <w:b/>
      <w:lang w:val="en-GB"/>
    </w:rPr>
  </w:style>
  <w:style w:type="paragraph" w:styleId="Heading6">
    <w:name w:val="heading 6"/>
    <w:basedOn w:val="Normal"/>
    <w:next w:val="Normal"/>
    <w:link w:val="Heading6Char"/>
    <w:uiPriority w:val="9"/>
    <w:semiHidden/>
    <w:unhideWhenUsed/>
    <w:qFormat/>
    <w:rsid w:val="00BD0EAD"/>
    <w:pPr>
      <w:keepNext/>
      <w:keepLines/>
      <w:spacing w:before="200" w:after="40" w:line="276" w:lineRule="auto"/>
      <w:outlineLvl w:val="5"/>
    </w:pPr>
    <w:rPr>
      <w:rFonts w:ascii="Calibri" w:eastAsia="Calibri" w:hAnsi="Calibri" w:cs="Calibri"/>
      <w:b/>
      <w:sz w:val="20"/>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D0EAD"/>
    <w:rPr>
      <w:rFonts w:ascii="Calibri" w:eastAsia="Calibri" w:hAnsi="Calibri" w:cs="Calibri"/>
      <w:color w:val="2E74B5"/>
      <w:sz w:val="32"/>
      <w:szCs w:val="32"/>
      <w:lang w:val="en-GB"/>
    </w:rPr>
  </w:style>
  <w:style w:type="character" w:customStyle="1" w:styleId="Heading2Char">
    <w:name w:val="Heading 2 Char"/>
    <w:basedOn w:val="DefaultParagraphFont"/>
    <w:link w:val="Heading2"/>
    <w:uiPriority w:val="9"/>
    <w:semiHidden/>
    <w:rsid w:val="00BD0EAD"/>
    <w:rPr>
      <w:rFonts w:ascii="Calibri" w:eastAsia="Calibri" w:hAnsi="Calibri" w:cs="Calibri"/>
      <w:color w:val="2E74B5"/>
      <w:sz w:val="26"/>
      <w:szCs w:val="26"/>
      <w:lang w:val="en-GB"/>
    </w:rPr>
  </w:style>
  <w:style w:type="character" w:customStyle="1" w:styleId="Heading3Char">
    <w:name w:val="Heading 3 Char"/>
    <w:basedOn w:val="DefaultParagraphFont"/>
    <w:link w:val="Heading3"/>
    <w:uiPriority w:val="9"/>
    <w:semiHidden/>
    <w:rsid w:val="00BD0EAD"/>
    <w:rPr>
      <w:rFonts w:ascii="Calibri" w:eastAsia="Calibri" w:hAnsi="Calibri" w:cs="Calibri"/>
      <w:b/>
      <w:sz w:val="28"/>
      <w:szCs w:val="28"/>
      <w:lang w:val="en-GB"/>
    </w:rPr>
  </w:style>
  <w:style w:type="character" w:customStyle="1" w:styleId="Heading4Char">
    <w:name w:val="Heading 4 Char"/>
    <w:basedOn w:val="DefaultParagraphFont"/>
    <w:link w:val="Heading4"/>
    <w:uiPriority w:val="9"/>
    <w:semiHidden/>
    <w:rsid w:val="00BD0EAD"/>
    <w:rPr>
      <w:rFonts w:ascii="Calibri" w:eastAsia="Calibri" w:hAnsi="Calibri" w:cs="Calibri"/>
      <w:b/>
      <w:sz w:val="24"/>
      <w:szCs w:val="24"/>
      <w:lang w:val="en-GB"/>
    </w:rPr>
  </w:style>
  <w:style w:type="character" w:customStyle="1" w:styleId="Heading5Char">
    <w:name w:val="Heading 5 Char"/>
    <w:basedOn w:val="DefaultParagraphFont"/>
    <w:link w:val="Heading5"/>
    <w:uiPriority w:val="9"/>
    <w:semiHidden/>
    <w:rsid w:val="00BD0EAD"/>
    <w:rPr>
      <w:rFonts w:ascii="Calibri" w:eastAsia="Calibri" w:hAnsi="Calibri" w:cs="Calibri"/>
      <w:b/>
      <w:lang w:val="en-GB"/>
    </w:rPr>
  </w:style>
  <w:style w:type="character" w:customStyle="1" w:styleId="Heading6Char">
    <w:name w:val="Heading 6 Char"/>
    <w:basedOn w:val="DefaultParagraphFont"/>
    <w:link w:val="Heading6"/>
    <w:uiPriority w:val="9"/>
    <w:semiHidden/>
    <w:rsid w:val="00BD0EAD"/>
    <w:rPr>
      <w:rFonts w:ascii="Calibri" w:eastAsia="Calibri" w:hAnsi="Calibri" w:cs="Calibri"/>
      <w:b/>
      <w:sz w:val="20"/>
      <w:szCs w:val="20"/>
      <w:lang w:val="en-GB"/>
    </w:rPr>
  </w:style>
  <w:style w:type="numbering" w:customStyle="1" w:styleId="NoList1">
    <w:name w:val="No List1"/>
    <w:next w:val="NoList"/>
    <w:uiPriority w:val="99"/>
    <w:semiHidden/>
    <w:unhideWhenUsed/>
    <w:rsid w:val="00BD0EAD"/>
  </w:style>
  <w:style w:type="character" w:customStyle="1" w:styleId="Hyperlink1">
    <w:name w:val="Hyperlink1"/>
    <w:basedOn w:val="DefaultParagraphFont"/>
    <w:uiPriority w:val="99"/>
    <w:semiHidden/>
    <w:unhideWhenUsed/>
    <w:rsid w:val="00BD0EAD"/>
    <w:rPr>
      <w:color w:val="5F5F5F"/>
      <w:u w:val="single"/>
    </w:rPr>
  </w:style>
  <w:style w:type="character" w:customStyle="1" w:styleId="FollowedHyperlink1">
    <w:name w:val="FollowedHyperlink1"/>
    <w:basedOn w:val="DefaultParagraphFont"/>
    <w:uiPriority w:val="99"/>
    <w:semiHidden/>
    <w:unhideWhenUsed/>
    <w:rsid w:val="00BD0EAD"/>
    <w:rPr>
      <w:color w:val="919191"/>
      <w:u w:val="single"/>
    </w:rPr>
  </w:style>
  <w:style w:type="paragraph" w:customStyle="1" w:styleId="msonormal0">
    <w:name w:val="msonormal"/>
    <w:basedOn w:val="Normal"/>
    <w:rsid w:val="00BD0EAD"/>
    <w:pPr>
      <w:spacing w:before="100" w:beforeAutospacing="1" w:after="100" w:afterAutospacing="1" w:line="240" w:lineRule="auto"/>
    </w:pPr>
    <w:rPr>
      <w:rFonts w:ascii="Times New Roman" w:eastAsia="Times New Roman" w:hAnsi="Times New Roman" w:cs="Times New Roman"/>
      <w:sz w:val="24"/>
      <w:szCs w:val="24"/>
    </w:rPr>
  </w:style>
  <w:style w:type="paragraph" w:styleId="CommentText">
    <w:name w:val="annotation text"/>
    <w:basedOn w:val="Normal"/>
    <w:link w:val="CommentTextChar"/>
    <w:uiPriority w:val="99"/>
    <w:semiHidden/>
    <w:unhideWhenUsed/>
    <w:rsid w:val="00BD0EAD"/>
    <w:pPr>
      <w:spacing w:after="200" w:line="240" w:lineRule="auto"/>
    </w:pPr>
    <w:rPr>
      <w:rFonts w:ascii="Calibri" w:eastAsia="Calibri" w:hAnsi="Calibri" w:cs="Calibri"/>
      <w:sz w:val="20"/>
      <w:szCs w:val="20"/>
      <w:lang w:val="en-GB"/>
    </w:rPr>
  </w:style>
  <w:style w:type="character" w:customStyle="1" w:styleId="CommentTextChar">
    <w:name w:val="Comment Text Char"/>
    <w:basedOn w:val="DefaultParagraphFont"/>
    <w:link w:val="CommentText"/>
    <w:uiPriority w:val="99"/>
    <w:semiHidden/>
    <w:rsid w:val="00BD0EAD"/>
    <w:rPr>
      <w:rFonts w:ascii="Calibri" w:eastAsia="Calibri" w:hAnsi="Calibri" w:cs="Calibri"/>
      <w:sz w:val="20"/>
      <w:szCs w:val="20"/>
      <w:lang w:val="en-GB"/>
    </w:rPr>
  </w:style>
  <w:style w:type="paragraph" w:styleId="Header">
    <w:name w:val="header"/>
    <w:basedOn w:val="Normal"/>
    <w:link w:val="HeaderChar"/>
    <w:uiPriority w:val="99"/>
    <w:semiHidden/>
    <w:unhideWhenUsed/>
    <w:rsid w:val="00BD0EAD"/>
    <w:pPr>
      <w:tabs>
        <w:tab w:val="center" w:pos="4680"/>
        <w:tab w:val="right" w:pos="9360"/>
      </w:tabs>
      <w:spacing w:after="0" w:line="240" w:lineRule="auto"/>
    </w:pPr>
    <w:rPr>
      <w:rFonts w:ascii="Calibri" w:eastAsia="Calibri" w:hAnsi="Calibri" w:cs="Calibri"/>
      <w:lang w:val="en-GB"/>
    </w:rPr>
  </w:style>
  <w:style w:type="character" w:customStyle="1" w:styleId="HeaderChar">
    <w:name w:val="Header Char"/>
    <w:basedOn w:val="DefaultParagraphFont"/>
    <w:link w:val="Header"/>
    <w:uiPriority w:val="99"/>
    <w:semiHidden/>
    <w:rsid w:val="00BD0EAD"/>
    <w:rPr>
      <w:rFonts w:ascii="Calibri" w:eastAsia="Calibri" w:hAnsi="Calibri" w:cs="Calibri"/>
      <w:lang w:val="en-GB"/>
    </w:rPr>
  </w:style>
  <w:style w:type="paragraph" w:styleId="Footer">
    <w:name w:val="footer"/>
    <w:basedOn w:val="Normal"/>
    <w:link w:val="FooterChar"/>
    <w:uiPriority w:val="99"/>
    <w:semiHidden/>
    <w:unhideWhenUsed/>
    <w:rsid w:val="00BD0EAD"/>
    <w:pPr>
      <w:tabs>
        <w:tab w:val="center" w:pos="4680"/>
        <w:tab w:val="right" w:pos="9360"/>
      </w:tabs>
      <w:spacing w:after="0" w:line="240" w:lineRule="auto"/>
    </w:pPr>
    <w:rPr>
      <w:rFonts w:ascii="Calibri" w:eastAsia="Calibri" w:hAnsi="Calibri" w:cs="Calibri"/>
      <w:lang w:val="en-GB"/>
    </w:rPr>
  </w:style>
  <w:style w:type="character" w:customStyle="1" w:styleId="FooterChar">
    <w:name w:val="Footer Char"/>
    <w:basedOn w:val="DefaultParagraphFont"/>
    <w:link w:val="Footer"/>
    <w:uiPriority w:val="99"/>
    <w:semiHidden/>
    <w:rsid w:val="00BD0EAD"/>
    <w:rPr>
      <w:rFonts w:ascii="Calibri" w:eastAsia="Calibri" w:hAnsi="Calibri" w:cs="Calibri"/>
      <w:lang w:val="en-GB"/>
    </w:rPr>
  </w:style>
  <w:style w:type="paragraph" w:styleId="Title">
    <w:name w:val="Title"/>
    <w:basedOn w:val="Normal"/>
    <w:next w:val="Normal"/>
    <w:link w:val="TitleChar"/>
    <w:uiPriority w:val="10"/>
    <w:qFormat/>
    <w:rsid w:val="00BD0EAD"/>
    <w:pPr>
      <w:spacing w:after="300" w:line="276" w:lineRule="auto"/>
    </w:pPr>
    <w:rPr>
      <w:rFonts w:ascii="Calibri" w:eastAsia="Calibri" w:hAnsi="Calibri" w:cs="Calibri"/>
      <w:color w:val="17365D"/>
      <w:sz w:val="52"/>
      <w:szCs w:val="52"/>
      <w:lang w:val="en-GB"/>
    </w:rPr>
  </w:style>
  <w:style w:type="character" w:customStyle="1" w:styleId="TitleChar">
    <w:name w:val="Title Char"/>
    <w:basedOn w:val="DefaultParagraphFont"/>
    <w:link w:val="Title"/>
    <w:uiPriority w:val="10"/>
    <w:rsid w:val="00BD0EAD"/>
    <w:rPr>
      <w:rFonts w:ascii="Calibri" w:eastAsia="Calibri" w:hAnsi="Calibri" w:cs="Calibri"/>
      <w:color w:val="17365D"/>
      <w:sz w:val="52"/>
      <w:szCs w:val="52"/>
      <w:lang w:val="en-GB"/>
    </w:rPr>
  </w:style>
  <w:style w:type="paragraph" w:styleId="Subtitle">
    <w:name w:val="Subtitle"/>
    <w:basedOn w:val="Normal"/>
    <w:next w:val="Normal"/>
    <w:link w:val="SubtitleChar"/>
    <w:uiPriority w:val="11"/>
    <w:qFormat/>
    <w:rsid w:val="00BD0EAD"/>
    <w:pPr>
      <w:spacing w:after="200" w:line="276" w:lineRule="auto"/>
    </w:pPr>
    <w:rPr>
      <w:rFonts w:ascii="Calibri" w:eastAsia="Calibri" w:hAnsi="Calibri" w:cs="Calibri"/>
      <w:i/>
      <w:color w:val="4F81BD"/>
      <w:sz w:val="24"/>
      <w:szCs w:val="24"/>
      <w:lang w:val="en-GB"/>
    </w:rPr>
  </w:style>
  <w:style w:type="character" w:customStyle="1" w:styleId="SubtitleChar">
    <w:name w:val="Subtitle Char"/>
    <w:basedOn w:val="DefaultParagraphFont"/>
    <w:link w:val="Subtitle"/>
    <w:uiPriority w:val="11"/>
    <w:rsid w:val="00BD0EAD"/>
    <w:rPr>
      <w:rFonts w:ascii="Calibri" w:eastAsia="Calibri" w:hAnsi="Calibri" w:cs="Calibri"/>
      <w:i/>
      <w:color w:val="4F81BD"/>
      <w:sz w:val="24"/>
      <w:szCs w:val="24"/>
      <w:lang w:val="en-GB"/>
    </w:rPr>
  </w:style>
  <w:style w:type="paragraph" w:styleId="CommentSubject">
    <w:name w:val="annotation subject"/>
    <w:basedOn w:val="CommentText"/>
    <w:next w:val="CommentText"/>
    <w:link w:val="CommentSubjectChar"/>
    <w:uiPriority w:val="99"/>
    <w:semiHidden/>
    <w:unhideWhenUsed/>
    <w:rsid w:val="00BD0EAD"/>
    <w:rPr>
      <w:b/>
      <w:bCs/>
    </w:rPr>
  </w:style>
  <w:style w:type="character" w:customStyle="1" w:styleId="CommentSubjectChar">
    <w:name w:val="Comment Subject Char"/>
    <w:basedOn w:val="CommentTextChar"/>
    <w:link w:val="CommentSubject"/>
    <w:uiPriority w:val="99"/>
    <w:semiHidden/>
    <w:rsid w:val="00BD0EAD"/>
    <w:rPr>
      <w:rFonts w:ascii="Calibri" w:eastAsia="Calibri" w:hAnsi="Calibri" w:cs="Calibri"/>
      <w:b/>
      <w:bCs/>
      <w:sz w:val="20"/>
      <w:szCs w:val="20"/>
      <w:lang w:val="en-GB"/>
    </w:rPr>
  </w:style>
  <w:style w:type="paragraph" w:styleId="BalloonText">
    <w:name w:val="Balloon Text"/>
    <w:basedOn w:val="Normal"/>
    <w:link w:val="BalloonTextChar"/>
    <w:uiPriority w:val="99"/>
    <w:semiHidden/>
    <w:unhideWhenUsed/>
    <w:rsid w:val="00BD0EAD"/>
    <w:pPr>
      <w:spacing w:after="0" w:line="240" w:lineRule="auto"/>
    </w:pPr>
    <w:rPr>
      <w:rFonts w:ascii="Segoe UI" w:eastAsia="Calibri" w:hAnsi="Segoe UI" w:cs="Segoe UI"/>
      <w:sz w:val="18"/>
      <w:szCs w:val="18"/>
      <w:lang w:val="en-GB"/>
    </w:rPr>
  </w:style>
  <w:style w:type="character" w:customStyle="1" w:styleId="BalloonTextChar">
    <w:name w:val="Balloon Text Char"/>
    <w:basedOn w:val="DefaultParagraphFont"/>
    <w:link w:val="BalloonText"/>
    <w:uiPriority w:val="99"/>
    <w:semiHidden/>
    <w:rsid w:val="00BD0EAD"/>
    <w:rPr>
      <w:rFonts w:ascii="Segoe UI" w:eastAsia="Calibri" w:hAnsi="Segoe UI" w:cs="Segoe UI"/>
      <w:sz w:val="18"/>
      <w:szCs w:val="18"/>
      <w:lang w:val="en-GB"/>
    </w:rPr>
  </w:style>
  <w:style w:type="paragraph" w:styleId="ListParagraph">
    <w:name w:val="List Paragraph"/>
    <w:basedOn w:val="Normal"/>
    <w:uiPriority w:val="34"/>
    <w:qFormat/>
    <w:rsid w:val="00BD0EAD"/>
    <w:pPr>
      <w:spacing w:after="200" w:line="276" w:lineRule="auto"/>
      <w:ind w:left="720"/>
      <w:contextualSpacing/>
    </w:pPr>
    <w:rPr>
      <w:rFonts w:ascii="Calibri" w:eastAsia="Calibri" w:hAnsi="Calibri" w:cs="Calibri"/>
      <w:lang w:val="en-GB"/>
    </w:rPr>
  </w:style>
  <w:style w:type="paragraph" w:customStyle="1" w:styleId="Default">
    <w:name w:val="Default"/>
    <w:rsid w:val="00BD0EAD"/>
    <w:pPr>
      <w:autoSpaceDE w:val="0"/>
      <w:autoSpaceDN w:val="0"/>
      <w:adjustRightInd w:val="0"/>
      <w:spacing w:after="0" w:line="240" w:lineRule="auto"/>
    </w:pPr>
    <w:rPr>
      <w:rFonts w:ascii="Times New Roman" w:eastAsia="Calibri" w:hAnsi="Times New Roman" w:cs="Times New Roman"/>
      <w:color w:val="000000"/>
      <w:sz w:val="24"/>
      <w:szCs w:val="24"/>
      <w:lang w:val="en-GB" w:bidi="bn-BD"/>
    </w:rPr>
  </w:style>
  <w:style w:type="character" w:styleId="CommentReference">
    <w:name w:val="annotation reference"/>
    <w:basedOn w:val="DefaultParagraphFont"/>
    <w:uiPriority w:val="99"/>
    <w:semiHidden/>
    <w:unhideWhenUsed/>
    <w:rsid w:val="00BD0EAD"/>
    <w:rPr>
      <w:sz w:val="16"/>
      <w:szCs w:val="16"/>
    </w:rPr>
  </w:style>
  <w:style w:type="character" w:customStyle="1" w:styleId="UnresolvedMention1">
    <w:name w:val="Unresolved Mention1"/>
    <w:basedOn w:val="DefaultParagraphFont"/>
    <w:uiPriority w:val="99"/>
    <w:semiHidden/>
    <w:rsid w:val="00BD0EAD"/>
    <w:rPr>
      <w:color w:val="605E5C"/>
      <w:shd w:val="clear" w:color="auto" w:fill="E1DFDD"/>
    </w:rPr>
  </w:style>
  <w:style w:type="table" w:styleId="TableGrid">
    <w:name w:val="Table Grid"/>
    <w:basedOn w:val="TableNormal"/>
    <w:uiPriority w:val="39"/>
    <w:rsid w:val="00BD0EAD"/>
    <w:pPr>
      <w:spacing w:after="0" w:line="240" w:lineRule="auto"/>
    </w:pPr>
    <w:rPr>
      <w:rFonts w:ascii="Calibri" w:eastAsia="Calibri" w:hAnsi="Calibri" w:cs="Times New Roman"/>
      <w:szCs w:val="28"/>
      <w:lang w:val="en-GB" w:eastAsia="en-GB" w:bidi="bn-BD"/>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semiHidden/>
    <w:unhideWhenUsed/>
    <w:rsid w:val="00BD0EAD"/>
    <w:rPr>
      <w:color w:val="0563C1" w:themeColor="hyperlink"/>
      <w:u w:val="single"/>
    </w:rPr>
  </w:style>
  <w:style w:type="character" w:styleId="FollowedHyperlink">
    <w:name w:val="FollowedHyperlink"/>
    <w:basedOn w:val="DefaultParagraphFont"/>
    <w:uiPriority w:val="99"/>
    <w:semiHidden/>
    <w:unhideWhenUsed/>
    <w:rsid w:val="00BD0EA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38312511">
      <w:bodyDiv w:val="1"/>
      <w:marLeft w:val="0"/>
      <w:marRight w:val="0"/>
      <w:marTop w:val="0"/>
      <w:marBottom w:val="0"/>
      <w:divBdr>
        <w:top w:val="none" w:sz="0" w:space="0" w:color="auto"/>
        <w:left w:val="none" w:sz="0" w:space="0" w:color="auto"/>
        <w:bottom w:val="none" w:sz="0" w:space="0" w:color="auto"/>
        <w:right w:val="none" w:sz="0" w:space="0" w:color="auto"/>
      </w:divBdr>
    </w:div>
    <w:div w:id="16550676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5</Pages>
  <Words>17680</Words>
  <Characters>100780</Characters>
  <Application>Microsoft Office Word</Application>
  <DocSecurity>0</DocSecurity>
  <Lines>839</Lines>
  <Paragraphs>236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118224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cp:revision>
  <dcterms:created xsi:type="dcterms:W3CDTF">2021-03-14T10:08:00Z</dcterms:created>
  <dcterms:modified xsi:type="dcterms:W3CDTF">2021-07-08T06:44:00Z</dcterms:modified>
</cp:coreProperties>
</file>