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C70DCD" w:rsidR="007D4FE9" w:rsidP="007D4FE9" w:rsidRDefault="007D4FE9" w14:paraId="7C407058" w14:textId="77777777">
      <w:pPr>
        <w:jc w:val="both"/>
        <w:rPr>
          <w:sz w:val="20"/>
          <w:szCs w:val="20"/>
          <w:lang w:val="en-US"/>
        </w:rPr>
      </w:pPr>
      <w:bookmarkStart w:name="_Hlk207182233" w:id="0"/>
      <w:r w:rsidRPr="00C70DCD">
        <w:rPr>
          <w:b/>
          <w:bCs/>
          <w:sz w:val="44"/>
          <w:szCs w:val="44"/>
        </w:rPr>
        <w:t>BCOR Mutations Define a Therapeutic Vulnerability to DHODH Inhibition in Acute Myeloid Leukemia</w:t>
      </w:r>
    </w:p>
    <w:p w:rsidRPr="004E182B" w:rsidR="007D4FE9" w:rsidP="007D4FE9" w:rsidRDefault="007D4FE9" w14:paraId="4F22CD37" w14:textId="77777777">
      <w:pPr>
        <w:rPr>
          <w:b/>
          <w:bCs/>
          <w:sz w:val="32"/>
          <w:szCs w:val="32"/>
          <w:lang w:val="en-US"/>
        </w:rPr>
      </w:pPr>
      <w:r w:rsidRPr="004E182B">
        <w:rPr>
          <w:b/>
          <w:bCs/>
          <w:sz w:val="32"/>
          <w:szCs w:val="32"/>
          <w:lang w:val="en-US"/>
        </w:rPr>
        <w:t>AUTHORS</w:t>
      </w:r>
    </w:p>
    <w:p w:rsidRPr="00461B10" w:rsidR="007D4FE9" w:rsidP="007D4FE9" w:rsidRDefault="007D4FE9" w14:paraId="05278A88" w14:textId="1B50CBA4">
      <w:pPr>
        <w:jc w:val="both"/>
        <w:rPr>
          <w:vertAlign w:val="superscript"/>
          <w:lang w:val="en-US"/>
        </w:rPr>
      </w:pPr>
      <w:r w:rsidRPr="670D8856" w:rsidR="007D4FE9">
        <w:rPr>
          <w:lang w:val="en-US"/>
        </w:rPr>
        <w:t>Florian Robert</w:t>
      </w:r>
      <w:r w:rsidRPr="670D8856" w:rsidR="007D4FE9">
        <w:rPr>
          <w:vertAlign w:val="superscript"/>
          <w:lang w:val="en-US"/>
        </w:rPr>
        <w:t>1,2</w:t>
      </w:r>
      <w:r w:rsidRPr="670D8856" w:rsidR="007D4FE9">
        <w:rPr>
          <w:lang w:val="en-US"/>
        </w:rPr>
        <w:t>, Cherif Badja</w:t>
      </w:r>
      <w:r w:rsidRPr="670D8856" w:rsidR="007D4FE9">
        <w:rPr>
          <w:vertAlign w:val="superscript"/>
          <w:lang w:val="en-US"/>
        </w:rPr>
        <w:t>1,2</w:t>
      </w:r>
      <w:r w:rsidRPr="670D8856" w:rsidR="007D4FE9">
        <w:rPr>
          <w:lang w:val="en-US"/>
        </w:rPr>
        <w:t>, Soraya Boushaki</w:t>
      </w:r>
      <w:r w:rsidRPr="670D8856" w:rsidR="007D4FE9">
        <w:rPr>
          <w:vertAlign w:val="superscript"/>
          <w:lang w:val="en-US"/>
        </w:rPr>
        <w:t>1,2</w:t>
      </w:r>
      <w:r w:rsidRPr="670D8856" w:rsidR="007D4FE9">
        <w:rPr>
          <w:lang w:val="en-US"/>
        </w:rPr>
        <w:t>, Andrea Degasperi</w:t>
      </w:r>
      <w:r w:rsidRPr="670D8856" w:rsidR="007D4FE9">
        <w:rPr>
          <w:vertAlign w:val="superscript"/>
          <w:lang w:val="en-US"/>
        </w:rPr>
        <w:t>1,2</w:t>
      </w:r>
      <w:r w:rsidRPr="670D8856" w:rsidR="007D4FE9">
        <w:rPr>
          <w:lang w:val="en-US"/>
        </w:rPr>
        <w:t>, Yasin Memari</w:t>
      </w:r>
      <w:r w:rsidRPr="670D8856" w:rsidR="007D4FE9">
        <w:rPr>
          <w:vertAlign w:val="superscript"/>
          <w:lang w:val="en-US"/>
        </w:rPr>
        <w:t>1,2</w:t>
      </w:r>
      <w:r w:rsidRPr="670D8856" w:rsidR="007D4FE9">
        <w:rPr>
          <w:lang w:val="en-US"/>
        </w:rPr>
        <w:t>, Sophie Momen</w:t>
      </w:r>
      <w:r w:rsidRPr="670D8856" w:rsidR="007D4FE9">
        <w:rPr>
          <w:vertAlign w:val="superscript"/>
          <w:lang w:val="en-US"/>
        </w:rPr>
        <w:t>1,2</w:t>
      </w:r>
      <w:r w:rsidRPr="670D8856" w:rsidR="007D4FE9">
        <w:rPr>
          <w:lang w:val="en-US"/>
        </w:rPr>
        <w:t>, Theodoros I. Roumeliotis</w:t>
      </w:r>
      <w:r w:rsidRPr="670D8856" w:rsidR="007D4FE9">
        <w:rPr>
          <w:vertAlign w:val="superscript"/>
          <w:lang w:val="en-US"/>
        </w:rPr>
        <w:t>4</w:t>
      </w:r>
      <w:r w:rsidRPr="670D8856" w:rsidR="007D4FE9">
        <w:rPr>
          <w:lang w:val="en-US"/>
        </w:rPr>
        <w:t>, Zuza Kozik</w:t>
      </w:r>
      <w:r w:rsidRPr="670D8856" w:rsidR="007D4FE9">
        <w:rPr>
          <w:vertAlign w:val="superscript"/>
          <w:lang w:val="en-US"/>
        </w:rPr>
        <w:t>4</w:t>
      </w:r>
      <w:r w:rsidRPr="670D8856" w:rsidR="007D4FE9">
        <w:rPr>
          <w:lang w:val="en-US"/>
        </w:rPr>
        <w:t xml:space="preserve">, Malgorzata</w:t>
      </w:r>
      <w:r w:rsidRPr="670D8856" w:rsidR="007D4FE9">
        <w:rPr>
          <w:lang w:val="en-US"/>
        </w:rPr>
        <w:t xml:space="preserve"> </w:t>
      </w:r>
      <w:r w:rsidRPr="670D8856" w:rsidR="007D4FE9">
        <w:rPr>
          <w:lang w:val="en-US"/>
        </w:rPr>
        <w:t>Gozdeck</w:t>
      </w:r>
      <w:r w:rsidRPr="670D8856" w:rsidR="007D4FE9">
        <w:rPr>
          <w:lang w:val="en-US"/>
        </w:rPr>
        <w:t>a</w:t>
      </w:r>
      <w:r w:rsidRPr="670D8856" w:rsidR="007D4FE9">
        <w:rPr>
          <w:vertAlign w:val="superscript"/>
          <w:lang w:val="en-US"/>
        </w:rPr>
        <w:t xml:space="preserve"> 3</w:t>
      </w:r>
      <w:r w:rsidRPr="670D8856" w:rsidR="007D4FE9">
        <w:rPr>
          <w:lang w:val="en-US"/>
        </w:rPr>
        <w:t>, Jyoti Choudhary</w:t>
      </w:r>
      <w:r w:rsidRPr="670D8856" w:rsidR="007D4FE9">
        <w:rPr>
          <w:vertAlign w:val="superscript"/>
          <w:lang w:val="en-US"/>
        </w:rPr>
        <w:t>4</w:t>
      </w:r>
      <w:r w:rsidRPr="670D8856" w:rsidR="007D4FE9">
        <w:rPr>
          <w:lang w:val="en-US"/>
        </w:rPr>
        <w:t>, George Vassiliou</w:t>
      </w:r>
      <w:r w:rsidRPr="670D8856" w:rsidR="007D4FE9">
        <w:rPr>
          <w:vertAlign w:val="superscript"/>
          <w:lang w:val="en-US"/>
        </w:rPr>
        <w:t>3</w:t>
      </w:r>
      <w:r w:rsidRPr="670D8856" w:rsidR="007D4FE9">
        <w:rPr>
          <w:lang w:val="en-US"/>
        </w:rPr>
        <w:t>, Gene CC Koh</w:t>
      </w:r>
      <w:r w:rsidRPr="670D8856" w:rsidR="007D4FE9">
        <w:rPr>
          <w:vertAlign w:val="superscript"/>
          <w:lang w:val="en-US"/>
        </w:rPr>
        <w:t>1,2</w:t>
      </w:r>
      <w:r w:rsidRPr="670D8856" w:rsidR="007D4FE9">
        <w:rPr>
          <w:lang w:val="en-US"/>
        </w:rPr>
        <w:t>, Serena Nik-Zainal</w:t>
      </w:r>
      <w:r w:rsidRPr="670D8856" w:rsidR="007D4FE9">
        <w:rPr>
          <w:vertAlign w:val="superscript"/>
          <w:lang w:val="en-US"/>
        </w:rPr>
        <w:t>1,2</w:t>
      </w:r>
    </w:p>
    <w:bookmarkEnd w:id="0"/>
    <w:p w:rsidR="00F71546" w:rsidRDefault="00F71546" w14:paraId="4F778DAF" w14:textId="6DA00E11">
      <w:pPr/>
    </w:p>
    <w:p w:rsidR="007D4FE9" w:rsidRDefault="007D4FE9" w14:paraId="0F638CF2" w14:textId="0F990AB4">
      <w:pPr>
        <w:rPr>
          <w:b/>
          <w:bCs/>
          <w:sz w:val="32"/>
          <w:szCs w:val="32"/>
          <w:lang w:val="en-US"/>
        </w:rPr>
      </w:pPr>
      <w:r w:rsidRPr="53FF6649" w:rsidR="007D4FE9">
        <w:rPr>
          <w:b w:val="1"/>
          <w:bCs w:val="1"/>
          <w:sz w:val="32"/>
          <w:szCs w:val="32"/>
          <w:lang w:val="en-US"/>
        </w:rPr>
        <w:t>SUPPLEMENTARY FIGURES</w:t>
      </w:r>
    </w:p>
    <w:p w:rsidR="007D4FE9" w:rsidP="53FF6649" w:rsidRDefault="00A1711B" w14:paraId="0DA4AC95" w14:textId="11793F1A">
      <w:pPr>
        <w:rPr>
          <w:vertAlign w:val="superscript"/>
          <w:lang w:val="en-US"/>
        </w:rPr>
      </w:pPr>
      <w:r w:rsidR="30F5BC52">
        <w:drawing>
          <wp:inline wp14:editId="3EF49684" wp14:anchorId="678E6339">
            <wp:extent cx="6608327" cy="7448611"/>
            <wp:effectExtent l="0" t="0" r="0" b="0"/>
            <wp:docPr id="12823941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5251265" name=""/>
                    <pic:cNvPicPr/>
                  </pic:nvPicPr>
                  <pic:blipFill>
                    <a:blip xmlns:r="http://schemas.openxmlformats.org/officeDocument/2006/relationships" r:embed="rId1547797086">
                      <a:extLst>
                        <a:ext uri="{28A0092B-C50C-407E-A947-70E740481C1C}">
                          <a14:useLocalDpi xmlns:a14="http://schemas.microsoft.com/office/drawing/2010/main"/>
                        </a:ext>
                      </a:extLst>
                    </a:blip>
                    <a:stretch>
                      <a:fillRect/>
                    </a:stretch>
                    <a:srcRect l="0" t="3456" r="0" b="0"/>
                  </pic:blipFill>
                  <pic:spPr>
                    <a:xfrm rot="0">
                      <a:off x="0" y="0"/>
                      <a:ext cx="6608327" cy="7448611"/>
                    </a:xfrm>
                    <a:prstGeom prst="rect">
                      <a:avLst/>
                    </a:prstGeom>
                  </pic:spPr>
                </pic:pic>
              </a:graphicData>
            </a:graphic>
          </wp:inline>
        </w:drawing>
      </w:r>
    </w:p>
    <w:p w:rsidRPr="00FA26F6" w:rsidR="007D4FE9" w:rsidP="53FF6649" w:rsidRDefault="007D4FE9" w14:paraId="74DD4F59" w14:textId="3110C212">
      <w:pPr>
        <w:tabs>
          <w:tab w:val="left" w:pos="1278"/>
        </w:tabs>
        <w:jc w:val="both"/>
        <w:rPr>
          <w:i w:val="1"/>
          <w:iCs w:val="1"/>
        </w:rPr>
      </w:pPr>
      <w:r w:rsidRPr="53FF6649" w:rsidR="007D4FE9">
        <w:rPr>
          <w:b w:val="1"/>
          <w:bCs w:val="1"/>
          <w:i w:val="1"/>
          <w:iCs w:val="1"/>
        </w:rPr>
        <w:t xml:space="preserve">Figure S.1: </w:t>
      </w:r>
      <w:r w:rsidRPr="53FF6649" w:rsidR="007D4FE9">
        <w:rPr>
          <w:i w:val="1"/>
          <w:iCs w:val="1"/>
        </w:rPr>
        <w:t>(</w:t>
      </w:r>
      <w:r w:rsidRPr="53FF6649" w:rsidR="007D4FE9">
        <w:rPr>
          <w:i w:val="1"/>
          <w:iCs w:val="1"/>
        </w:rPr>
        <w:t>A</w:t>
      </w:r>
      <w:r w:rsidRPr="53FF6649" w:rsidR="007D4FE9">
        <w:rPr>
          <w:i w:val="1"/>
          <w:iCs w:val="1"/>
        </w:rPr>
        <w:t>) Surviv</w:t>
      </w:r>
      <w:r w:rsidRPr="53FF6649" w:rsidR="007D4FE9">
        <w:rPr>
          <w:i w:val="1"/>
          <w:iCs w:val="1"/>
        </w:rPr>
        <w:t>al curves comparing BCOR-mutant AML to Other AMLs, in both OHSU cohort from 2022 (Cancer Cell) and 2018 (Nature)</w:t>
      </w:r>
      <w:r w:rsidRPr="53FF6649" w:rsidR="007D4FE9">
        <w:rPr>
          <w:i w:val="1"/>
          <w:iCs w:val="1"/>
        </w:rPr>
        <w:t>. Data were collected on CBioPortal.org</w:t>
      </w:r>
      <w:r w:rsidRPr="53FF6649" w:rsidR="007D4FE9">
        <w:rPr>
          <w:i w:val="1"/>
          <w:iCs w:val="1"/>
        </w:rPr>
        <w:t>. P-value are calculated using log-rank (Mantel-Cox) test. (B) Genomic alterations of 5 consensus genes found across the two cohorts, with higher frequencies in BCOR-mutant AMLs. P-value are calculated using two-side Fisher Exact test.</w:t>
      </w:r>
      <w:r w:rsidRPr="53FF6649" w:rsidR="007D4FE9">
        <w:rPr>
          <w:i w:val="1"/>
          <w:iCs w:val="1"/>
        </w:rPr>
        <w:t xml:space="preserve"> (C) </w:t>
      </w:r>
      <w:r w:rsidRPr="53FF6649" w:rsidR="007D4FE9">
        <w:rPr>
          <w:i w:val="1"/>
          <w:iCs w:val="1"/>
        </w:rPr>
        <w:t>mRNA Expression of FOXO1, PDGFA and JAG1 normalised to GAPDH Expression. OCI-AML 2 and OCI-AML 3 were treated whether with</w:t>
      </w:r>
      <w:r w:rsidRPr="53FF6649" w:rsidR="007D4FE9">
        <w:rPr>
          <w:i w:val="1"/>
          <w:iCs w:val="1"/>
        </w:rPr>
        <w:t xml:space="preserve"> TP-021</w:t>
      </w:r>
      <w:r w:rsidRPr="53FF6649" w:rsidR="007D4FE9">
        <w:rPr>
          <w:i w:val="1"/>
          <w:iCs w:val="1"/>
        </w:rPr>
        <w:t xml:space="preserve"> </w:t>
      </w:r>
      <w:r w:rsidRPr="53FF6649" w:rsidR="007D4FE9">
        <w:rPr>
          <w:i w:val="1"/>
          <w:iCs w:val="1"/>
        </w:rPr>
        <w:t>(</w:t>
      </w:r>
      <w:r w:rsidRPr="53FF6649" w:rsidR="007D4FE9">
        <w:rPr>
          <w:i w:val="1"/>
          <w:iCs w:val="1"/>
        </w:rPr>
        <w:t>10</w:t>
      </w:r>
      <w:r w:rsidRPr="53FF6649" w:rsidR="007D4FE9">
        <w:rPr>
          <w:rFonts w:cs="Aptos" w:cstheme="minorAscii"/>
          <w:i w:val="1"/>
          <w:iCs w:val="1"/>
        </w:rPr>
        <w:t>µ</w:t>
      </w:r>
      <w:r w:rsidRPr="53FF6649" w:rsidR="007D4FE9">
        <w:rPr>
          <w:i w:val="1"/>
          <w:iCs w:val="1"/>
        </w:rPr>
        <w:t>M</w:t>
      </w:r>
      <w:r w:rsidRPr="53FF6649" w:rsidR="007D4FE9">
        <w:rPr>
          <w:i w:val="1"/>
          <w:iCs w:val="1"/>
        </w:rPr>
        <w:t>)</w:t>
      </w:r>
      <w:r w:rsidRPr="53FF6649" w:rsidR="007D4FE9">
        <w:rPr>
          <w:i w:val="1"/>
          <w:iCs w:val="1"/>
        </w:rPr>
        <w:t xml:space="preserve"> or DMSO for 6 or 24hrs (one-way ANOVA, </w:t>
      </w:r>
      <w:r w:rsidRPr="53FF6649" w:rsidR="007D4FE9">
        <w:rPr>
          <w:i w:val="1"/>
          <w:iCs w:val="1"/>
        </w:rPr>
        <w:t xml:space="preserve">n=6; </w:t>
      </w:r>
      <w:r w:rsidRPr="53FF6649" w:rsidR="007D4FE9">
        <w:rPr>
          <w:i w:val="1"/>
          <w:iCs w:val="1"/>
        </w:rPr>
        <w:t>p&lt;0.0001****; p&lt;0.001***; p&lt;0.01**; p&lt;0.05*).</w:t>
      </w:r>
      <w:r w:rsidRPr="53FF6649" w:rsidR="007D4FE9">
        <w:rPr>
          <w:i w:val="1"/>
          <w:iCs w:val="1"/>
        </w:rPr>
        <w:t xml:space="preserve"> (D) </w:t>
      </w:r>
      <w:r w:rsidRPr="53FF6649" w:rsidR="007D4FE9">
        <w:rPr>
          <w:i w:val="1"/>
          <w:iCs w:val="1"/>
        </w:rPr>
        <w:t>Survival</w:t>
      </w:r>
      <w:r w:rsidRPr="53FF6649" w:rsidR="007D4FE9">
        <w:rPr>
          <w:i w:val="1"/>
          <w:iCs w:val="1"/>
        </w:rPr>
        <w:t xml:space="preserve"> curves of OCI-AML 2 and OCI-AML 3 treated with increasing doses of DHODH inhibitors </w:t>
      </w:r>
      <w:r w:rsidRPr="53FF6649" w:rsidR="007D4FE9">
        <w:rPr>
          <w:rFonts w:cs="Aptos" w:cstheme="minorAscii"/>
          <w:i w:val="1"/>
          <w:iCs w:val="1"/>
        </w:rPr>
        <w:t>±</w:t>
      </w:r>
      <w:r w:rsidRPr="53FF6649" w:rsidR="007D4FE9">
        <w:rPr>
          <w:i w:val="1"/>
          <w:iCs w:val="1"/>
        </w:rPr>
        <w:t xml:space="preserve"> TP-021 (10</w:t>
      </w:r>
      <w:r w:rsidRPr="53FF6649" w:rsidR="007D4FE9">
        <w:rPr>
          <w:rFonts w:cs="Aptos" w:cstheme="minorAscii"/>
          <w:i w:val="1"/>
          <w:iCs w:val="1"/>
        </w:rPr>
        <w:t>µ</w:t>
      </w:r>
      <w:r w:rsidRPr="53FF6649" w:rsidR="007D4FE9">
        <w:rPr>
          <w:i w:val="1"/>
          <w:iCs w:val="1"/>
        </w:rPr>
        <w:t xml:space="preserve">M) </w:t>
      </w:r>
      <w:r w:rsidRPr="53FF6649" w:rsidR="007D4FE9">
        <w:rPr>
          <w:i w:val="1"/>
          <w:iCs w:val="1"/>
        </w:rPr>
        <w:t>(</w:t>
      </w:r>
      <w:r w:rsidRPr="53FF6649" w:rsidR="007D4FE9">
        <w:rPr>
          <w:i w:val="1"/>
          <w:iCs w:val="1"/>
        </w:rPr>
        <w:t xml:space="preserve">two-way ANOVA, n=3; </w:t>
      </w:r>
      <w:r w:rsidRPr="53FF6649" w:rsidR="007D4FE9">
        <w:rPr>
          <w:i w:val="1"/>
          <w:iCs w:val="1"/>
        </w:rPr>
        <w:t>p&lt;0.0001****</w:t>
      </w:r>
      <w:r w:rsidRPr="53FF6649" w:rsidR="007D4FE9">
        <w:rPr>
          <w:i w:val="1"/>
          <w:iCs w:val="1"/>
        </w:rPr>
        <w:t>, p&lt;0.001***, p&lt;0.01**, p&lt;0.05*</w:t>
      </w:r>
      <w:r w:rsidRPr="53FF6649" w:rsidR="007D4FE9">
        <w:rPr>
          <w:i w:val="1"/>
          <w:iCs w:val="1"/>
        </w:rPr>
        <w:t>)</w:t>
      </w:r>
      <w:r w:rsidRPr="53FF6649" w:rsidR="007D4FE9">
        <w:rPr>
          <w:i w:val="1"/>
          <w:iCs w:val="1"/>
        </w:rPr>
        <w:t xml:space="preserve">. (E) </w:t>
      </w:r>
      <w:r w:rsidRPr="53FF6649" w:rsidR="007D4FE9">
        <w:rPr>
          <w:i w:val="1"/>
          <w:iCs w:val="1"/>
        </w:rPr>
        <w:t>mRNA Expression of BCOR and DHODH confirming effective knock-down in transfected cells (</w:t>
      </w:r>
      <w:r w:rsidRPr="53FF6649" w:rsidR="007D4FE9">
        <w:rPr>
          <w:i w:val="1"/>
          <w:iCs w:val="1"/>
        </w:rPr>
        <w:t>one-way ANOVA, n=3; p&lt;0.001***, p&lt;0.01**, p&lt;0.05*</w:t>
      </w:r>
      <w:r w:rsidRPr="53FF6649" w:rsidR="007D4FE9">
        <w:rPr>
          <w:i w:val="1"/>
          <w:iCs w:val="1"/>
        </w:rPr>
        <w:t xml:space="preserve">). </w:t>
      </w:r>
      <w:r w:rsidRPr="53FF6649" w:rsidR="007D4FE9">
        <w:rPr>
          <w:i w:val="1"/>
          <w:iCs w:val="1"/>
        </w:rPr>
        <w:t xml:space="preserve">(F) </w:t>
      </w:r>
      <w:r w:rsidRPr="53FF6649" w:rsidR="007D4FE9">
        <w:rPr>
          <w:i w:val="1"/>
          <w:iCs w:val="1"/>
        </w:rPr>
        <w:t>SnapGene</w:t>
      </w:r>
      <w:r w:rsidRPr="53FF6649" w:rsidR="007D4FE9">
        <w:rPr>
          <w:i w:val="1"/>
          <w:iCs w:val="1"/>
        </w:rPr>
        <w:t xml:space="preserve"> snapshot of Sanger sequencing data for BCOR exon 3 in OCI-</w:t>
      </w:r>
      <w:r w:rsidRPr="53FF6649" w:rsidR="007D4FE9">
        <w:rPr>
          <w:i w:val="1"/>
          <w:iCs w:val="1"/>
        </w:rPr>
        <w:t>AML3</w:t>
      </w:r>
      <w:r w:rsidRPr="53FF6649" w:rsidR="007D4FE9">
        <w:rPr>
          <w:i w:val="1"/>
          <w:iCs w:val="1"/>
          <w:vertAlign w:val="superscript"/>
        </w:rPr>
        <w:t xml:space="preserve">BCOR_WT </w:t>
      </w:r>
      <w:r w:rsidRPr="53FF6649" w:rsidR="007D4FE9">
        <w:rPr>
          <w:i w:val="1"/>
          <w:iCs w:val="1"/>
        </w:rPr>
        <w:t>and newly generated BCOR-mutant: OCI-AML3</w:t>
      </w:r>
      <w:r w:rsidRPr="53FF6649" w:rsidR="007D4FE9">
        <w:rPr>
          <w:i w:val="1"/>
          <w:iCs w:val="1"/>
          <w:vertAlign w:val="superscript"/>
        </w:rPr>
        <w:t>BCOR_KO.03</w:t>
      </w:r>
      <w:r w:rsidRPr="53FF6649" w:rsidR="007D4FE9">
        <w:rPr>
          <w:i w:val="1"/>
          <w:iCs w:val="1"/>
        </w:rPr>
        <w:t>, OCI-AML3</w:t>
      </w:r>
      <w:r w:rsidRPr="53FF6649" w:rsidR="007D4FE9">
        <w:rPr>
          <w:i w:val="1"/>
          <w:iCs w:val="1"/>
          <w:vertAlign w:val="superscript"/>
        </w:rPr>
        <w:t>BCOR_KO.17</w:t>
      </w:r>
      <w:r w:rsidRPr="53FF6649" w:rsidR="007D4FE9">
        <w:rPr>
          <w:i w:val="1"/>
          <w:iCs w:val="1"/>
        </w:rPr>
        <w:t xml:space="preserve"> and OCI-AML3</w:t>
      </w:r>
      <w:r w:rsidRPr="53FF6649" w:rsidR="007D4FE9">
        <w:rPr>
          <w:i w:val="1"/>
          <w:iCs w:val="1"/>
          <w:vertAlign w:val="superscript"/>
        </w:rPr>
        <w:t>BCOR_KO.24</w:t>
      </w:r>
      <w:r w:rsidRPr="53FF6649" w:rsidR="007D4FE9">
        <w:rPr>
          <w:i w:val="1"/>
          <w:iCs w:val="1"/>
        </w:rPr>
        <w:t>. OCI-AML3</w:t>
      </w:r>
      <w:r w:rsidRPr="53FF6649" w:rsidR="007D4FE9">
        <w:rPr>
          <w:i w:val="1"/>
          <w:iCs w:val="1"/>
          <w:vertAlign w:val="superscript"/>
        </w:rPr>
        <w:t>BCOR_KO.03</w:t>
      </w:r>
      <w:r w:rsidRPr="53FF6649" w:rsidR="007D4FE9">
        <w:rPr>
          <w:i w:val="1"/>
          <w:iCs w:val="1"/>
        </w:rPr>
        <w:t>, OCI-AML3</w:t>
      </w:r>
      <w:r w:rsidRPr="53FF6649" w:rsidR="007D4FE9">
        <w:rPr>
          <w:i w:val="1"/>
          <w:iCs w:val="1"/>
          <w:vertAlign w:val="superscript"/>
        </w:rPr>
        <w:t xml:space="preserve">BCOR_KO.17 </w:t>
      </w:r>
      <w:r w:rsidRPr="53FF6649" w:rsidR="007D4FE9">
        <w:rPr>
          <w:i w:val="1"/>
          <w:iCs w:val="1"/>
        </w:rPr>
        <w:t>contain</w:t>
      </w:r>
      <w:r w:rsidRPr="53FF6649" w:rsidR="007D4FE9">
        <w:rPr>
          <w:i w:val="1"/>
          <w:iCs w:val="1"/>
        </w:rPr>
        <w:t xml:space="preserve"> a T insertion and a CA deletion, respectively, both of which lead to the insertion of a stop codon.</w:t>
      </w:r>
      <w:r w:rsidRPr="53FF6649" w:rsidR="007D4FE9">
        <w:rPr>
          <w:i w:val="1"/>
          <w:iCs w:val="1"/>
        </w:rPr>
        <w:t xml:space="preserve"> OCI-AML3</w:t>
      </w:r>
      <w:r w:rsidRPr="53FF6649" w:rsidR="007D4FE9">
        <w:rPr>
          <w:i w:val="1"/>
          <w:iCs w:val="1"/>
          <w:vertAlign w:val="superscript"/>
        </w:rPr>
        <w:t>BCOR_KO.24</w:t>
      </w:r>
      <w:r w:rsidRPr="53FF6649" w:rsidR="007D4FE9">
        <w:rPr>
          <w:i w:val="1"/>
          <w:iCs w:val="1"/>
        </w:rPr>
        <w:t xml:space="preserve"> </w:t>
      </w:r>
      <w:r w:rsidRPr="53FF6649" w:rsidR="007D4FE9">
        <w:rPr>
          <w:i w:val="1"/>
          <w:iCs w:val="1"/>
        </w:rPr>
        <w:t>exhibits</w:t>
      </w:r>
      <w:r w:rsidRPr="53FF6649" w:rsidR="007D4FE9">
        <w:rPr>
          <w:i w:val="1"/>
          <w:iCs w:val="1"/>
        </w:rPr>
        <w:t xml:space="preserve"> a large deletion in exon 3. (G) Western Blot (WB) characterisation of single-cell subcloned OCI-AML3</w:t>
      </w:r>
      <w:r w:rsidRPr="53FF6649" w:rsidR="007D4FE9">
        <w:rPr>
          <w:i w:val="1"/>
          <w:iCs w:val="1"/>
          <w:vertAlign w:val="superscript"/>
        </w:rPr>
        <w:t>BCOR_WT</w:t>
      </w:r>
      <w:r w:rsidRPr="53FF6649" w:rsidR="007D4FE9">
        <w:rPr>
          <w:i w:val="1"/>
          <w:iCs w:val="1"/>
        </w:rPr>
        <w:t>, OCI-AML3</w:t>
      </w:r>
      <w:r w:rsidRPr="53FF6649" w:rsidR="007D4FE9">
        <w:rPr>
          <w:i w:val="1"/>
          <w:iCs w:val="1"/>
          <w:vertAlign w:val="superscript"/>
        </w:rPr>
        <w:t>BCOR_KO.03</w:t>
      </w:r>
      <w:r w:rsidRPr="53FF6649" w:rsidR="007D4FE9">
        <w:rPr>
          <w:i w:val="1"/>
          <w:iCs w:val="1"/>
        </w:rPr>
        <w:t>, OCI-AML3</w:t>
      </w:r>
      <w:r w:rsidRPr="53FF6649" w:rsidR="007D4FE9">
        <w:rPr>
          <w:i w:val="1"/>
          <w:iCs w:val="1"/>
          <w:vertAlign w:val="superscript"/>
        </w:rPr>
        <w:t>BCOR_KO.17</w:t>
      </w:r>
      <w:r w:rsidRPr="53FF6649" w:rsidR="007D4FE9">
        <w:rPr>
          <w:i w:val="1"/>
          <w:iCs w:val="1"/>
        </w:rPr>
        <w:t xml:space="preserve"> and OCI-AML3</w:t>
      </w:r>
      <w:r w:rsidRPr="53FF6649" w:rsidR="007D4FE9">
        <w:rPr>
          <w:i w:val="1"/>
          <w:iCs w:val="1"/>
          <w:vertAlign w:val="superscript"/>
        </w:rPr>
        <w:t>BCOR_KO.24</w:t>
      </w:r>
      <w:r w:rsidRPr="53FF6649" w:rsidR="007D4FE9">
        <w:rPr>
          <w:i w:val="1"/>
          <w:iCs w:val="1"/>
        </w:rPr>
        <w:t>.</w:t>
      </w:r>
    </w:p>
    <w:p w:rsidR="53FF6649" w:rsidP="53FF6649" w:rsidRDefault="53FF6649" w14:paraId="2987D06D" w14:textId="0016E4A7">
      <w:pPr>
        <w:tabs>
          <w:tab w:val="left" w:leader="none" w:pos="1278"/>
        </w:tabs>
        <w:jc w:val="both"/>
        <w:rPr>
          <w:i w:val="1"/>
          <w:iCs w:val="1"/>
        </w:rPr>
      </w:pPr>
    </w:p>
    <w:p w:rsidR="007D4FE9" w:rsidRDefault="00467151" w14:paraId="59463147" w14:textId="4D94263D">
      <w:pPr>
        <w:rPr>
          <w:b/>
          <w:bCs/>
          <w:sz w:val="32"/>
          <w:szCs w:val="32"/>
        </w:rPr>
      </w:pPr>
      <w:r>
        <w:rPr>
          <w:b/>
          <w:bCs/>
          <w:noProof/>
          <w:sz w:val="32"/>
          <w:szCs w:val="32"/>
        </w:rPr>
        <w:drawing>
          <wp:inline distT="0" distB="0" distL="0" distR="0" wp14:anchorId="03A88E0D" wp14:editId="3085CD5E">
            <wp:extent cx="6645275" cy="4614545"/>
            <wp:effectExtent l="0" t="0" r="3175" b="0"/>
            <wp:docPr id="663871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275" cy="4614545"/>
                    </a:xfrm>
                    <a:prstGeom prst="rect">
                      <a:avLst/>
                    </a:prstGeom>
                    <a:noFill/>
                    <a:ln>
                      <a:noFill/>
                    </a:ln>
                  </pic:spPr>
                </pic:pic>
              </a:graphicData>
            </a:graphic>
          </wp:inline>
        </w:drawing>
      </w:r>
    </w:p>
    <w:p w:rsidRPr="006A3E8F" w:rsidR="00467151" w:rsidP="00467151" w:rsidRDefault="00467151" w14:paraId="1EDFCEEA" w14:textId="357F5BEF">
      <w:pPr>
        <w:jc w:val="both"/>
        <w:rPr>
          <w:i/>
          <w:iCs/>
          <w:color w:val="FF0000"/>
        </w:rPr>
      </w:pPr>
      <w:r>
        <w:rPr>
          <w:b/>
          <w:bCs/>
          <w:i/>
          <w:iCs/>
        </w:rPr>
        <w:t>Figure S.2: DHODH dependency of BCOR-mutant cells is not due to its role in the de novo Pyrimidine pathway</w:t>
      </w:r>
      <w:r w:rsidRPr="00BB71C0">
        <w:rPr>
          <w:i/>
          <w:iCs/>
        </w:rPr>
        <w:t>. Survival curves of (</w:t>
      </w:r>
      <w:r>
        <w:rPr>
          <w:i/>
          <w:iCs/>
        </w:rPr>
        <w:t>A</w:t>
      </w:r>
      <w:r w:rsidRPr="00BB71C0">
        <w:rPr>
          <w:i/>
          <w:iCs/>
        </w:rPr>
        <w:t xml:space="preserve">) </w:t>
      </w:r>
      <w:r>
        <w:rPr>
          <w:i/>
          <w:iCs/>
        </w:rPr>
        <w:t>OCI-AML2</w:t>
      </w:r>
      <w:r w:rsidRPr="00BB71C0">
        <w:rPr>
          <w:i/>
          <w:iCs/>
        </w:rPr>
        <w:t xml:space="preserve"> and (</w:t>
      </w:r>
      <w:r>
        <w:rPr>
          <w:i/>
          <w:iCs/>
        </w:rPr>
        <w:t>B</w:t>
      </w:r>
      <w:r w:rsidRPr="00BB71C0">
        <w:rPr>
          <w:i/>
          <w:iCs/>
        </w:rPr>
        <w:t xml:space="preserve">) </w:t>
      </w:r>
      <w:r>
        <w:rPr>
          <w:i/>
          <w:iCs/>
        </w:rPr>
        <w:t>OCI-AML3</w:t>
      </w:r>
      <w:r w:rsidRPr="00BB71C0">
        <w:rPr>
          <w:i/>
          <w:iCs/>
        </w:rPr>
        <w:t xml:space="preserve"> treated with increasing doses of </w:t>
      </w:r>
      <w:r>
        <w:rPr>
          <w:i/>
          <w:iCs/>
        </w:rPr>
        <w:t>sparfosic acid (</w:t>
      </w:r>
      <w:r w:rsidRPr="00BB71C0">
        <w:rPr>
          <w:i/>
          <w:iCs/>
        </w:rPr>
        <w:t>CAD</w:t>
      </w:r>
      <w:r>
        <w:rPr>
          <w:i/>
          <w:iCs/>
        </w:rPr>
        <w:t xml:space="preserve"> inhibitor)</w:t>
      </w:r>
      <w:r w:rsidRPr="00BB71C0">
        <w:rPr>
          <w:i/>
          <w:iCs/>
        </w:rPr>
        <w:t xml:space="preserve"> or </w:t>
      </w:r>
      <w:r>
        <w:rPr>
          <w:i/>
          <w:iCs/>
        </w:rPr>
        <w:t>6-azauridine (</w:t>
      </w:r>
      <w:r w:rsidRPr="00BB71C0">
        <w:rPr>
          <w:i/>
          <w:iCs/>
        </w:rPr>
        <w:t>UMPS inhibitor</w:t>
      </w:r>
      <w:r>
        <w:rPr>
          <w:i/>
          <w:iCs/>
        </w:rPr>
        <w:t>)</w:t>
      </w:r>
      <w:r w:rsidRPr="00BB71C0">
        <w:rPr>
          <w:i/>
          <w:iCs/>
        </w:rPr>
        <w:t xml:space="preserve"> ± TP-021 (10µM).</w:t>
      </w:r>
      <w:r>
        <w:rPr>
          <w:i/>
          <w:iCs/>
        </w:rPr>
        <w:t xml:space="preserve"> (C) Survival curves of </w:t>
      </w:r>
      <w:r w:rsidRPr="00BB71C0">
        <w:rPr>
          <w:i/>
          <w:iCs/>
        </w:rPr>
        <w:t xml:space="preserve">SKM-1 </w:t>
      </w:r>
      <w:r>
        <w:rPr>
          <w:i/>
          <w:iCs/>
        </w:rPr>
        <w:t xml:space="preserve">cells </w:t>
      </w:r>
      <w:r w:rsidRPr="00BB71C0">
        <w:rPr>
          <w:i/>
          <w:iCs/>
        </w:rPr>
        <w:t>treated with</w:t>
      </w:r>
      <w:r>
        <w:rPr>
          <w:i/>
          <w:iCs/>
        </w:rPr>
        <w:t xml:space="preserve"> </w:t>
      </w:r>
      <w:r w:rsidRPr="00BB71C0">
        <w:rPr>
          <w:i/>
          <w:iCs/>
        </w:rPr>
        <w:t>increasing doses of CAD or UMPS inhibitors.</w:t>
      </w:r>
      <w:r>
        <w:rPr>
          <w:i/>
          <w:iCs/>
        </w:rPr>
        <w:t xml:space="preserve"> Survival curves of OCI-AML3</w:t>
      </w:r>
      <w:r>
        <w:rPr>
          <w:i/>
          <w:iCs/>
          <w:vertAlign w:val="superscript"/>
        </w:rPr>
        <w:t>BCOR_WT</w:t>
      </w:r>
      <w:r>
        <w:rPr>
          <w:i/>
          <w:iCs/>
        </w:rPr>
        <w:t>, OCI-AML3</w:t>
      </w:r>
      <w:r>
        <w:rPr>
          <w:i/>
          <w:iCs/>
          <w:vertAlign w:val="superscript"/>
        </w:rPr>
        <w:t>BCOR_KO.03</w:t>
      </w:r>
      <w:r>
        <w:rPr>
          <w:i/>
          <w:iCs/>
        </w:rPr>
        <w:t>, OCI-AML3</w:t>
      </w:r>
      <w:r>
        <w:rPr>
          <w:i/>
          <w:iCs/>
          <w:vertAlign w:val="superscript"/>
        </w:rPr>
        <w:t>BCOR_KO.17</w:t>
      </w:r>
      <w:r>
        <w:rPr>
          <w:i/>
          <w:iCs/>
        </w:rPr>
        <w:t xml:space="preserve"> and OCI-AML3</w:t>
      </w:r>
      <w:r>
        <w:rPr>
          <w:i/>
          <w:iCs/>
          <w:vertAlign w:val="superscript"/>
        </w:rPr>
        <w:t xml:space="preserve">BCOR_KO.24 </w:t>
      </w:r>
      <w:r>
        <w:rPr>
          <w:i/>
          <w:iCs/>
        </w:rPr>
        <w:t xml:space="preserve">treated with </w:t>
      </w:r>
      <w:r w:rsidRPr="00BB71C0">
        <w:rPr>
          <w:i/>
          <w:iCs/>
        </w:rPr>
        <w:t>increasing doses of CAD or UMPS inhibitors</w:t>
      </w:r>
      <w:r>
        <w:rPr>
          <w:i/>
          <w:iCs/>
        </w:rPr>
        <w:t xml:space="preserve"> (D, E)</w:t>
      </w:r>
      <w:r w:rsidRPr="00BB71C0">
        <w:rPr>
          <w:i/>
          <w:iCs/>
        </w:rPr>
        <w:t>.</w:t>
      </w:r>
      <w:r>
        <w:rPr>
          <w:i/>
          <w:iCs/>
        </w:rPr>
        <w:t xml:space="preserve"> OCI-AML2</w:t>
      </w:r>
      <w:r w:rsidRPr="00674FC1">
        <w:rPr>
          <w:i/>
          <w:iCs/>
        </w:rPr>
        <w:t>/</w:t>
      </w:r>
      <w:r>
        <w:rPr>
          <w:i/>
          <w:iCs/>
        </w:rPr>
        <w:t>OCI-AML</w:t>
      </w:r>
      <w:r w:rsidRPr="00674FC1">
        <w:rPr>
          <w:i/>
          <w:iCs/>
        </w:rPr>
        <w:t xml:space="preserve">3 were treated 24Hrs with </w:t>
      </w:r>
      <w:r>
        <w:rPr>
          <w:i/>
          <w:iCs/>
        </w:rPr>
        <w:t>b</w:t>
      </w:r>
      <w:r w:rsidRPr="00674FC1">
        <w:rPr>
          <w:i/>
          <w:iCs/>
        </w:rPr>
        <w:t xml:space="preserve">requinar, </w:t>
      </w:r>
      <w:r>
        <w:rPr>
          <w:i/>
          <w:iCs/>
        </w:rPr>
        <w:t>s</w:t>
      </w:r>
      <w:r w:rsidRPr="00674FC1">
        <w:rPr>
          <w:i/>
          <w:iCs/>
        </w:rPr>
        <w:t xml:space="preserve">parfosic </w:t>
      </w:r>
      <w:r>
        <w:rPr>
          <w:i/>
          <w:iCs/>
        </w:rPr>
        <w:t>a</w:t>
      </w:r>
      <w:r w:rsidRPr="00674FC1">
        <w:rPr>
          <w:i/>
          <w:iCs/>
        </w:rPr>
        <w:t>cid, 6-</w:t>
      </w:r>
      <w:r>
        <w:rPr>
          <w:i/>
          <w:iCs/>
        </w:rPr>
        <w:t>a</w:t>
      </w:r>
      <w:r w:rsidRPr="00674FC1">
        <w:rPr>
          <w:i/>
          <w:iCs/>
        </w:rPr>
        <w:t>zauridine or TP-021 to quantify (</w:t>
      </w:r>
      <w:r>
        <w:rPr>
          <w:i/>
          <w:iCs/>
        </w:rPr>
        <w:t>F</w:t>
      </w:r>
      <w:r w:rsidRPr="00674FC1">
        <w:rPr>
          <w:i/>
          <w:iCs/>
        </w:rPr>
        <w:t>) UM</w:t>
      </w:r>
      <w:r>
        <w:rPr>
          <w:i/>
          <w:iCs/>
        </w:rPr>
        <w:t xml:space="preserve">P, </w:t>
      </w:r>
      <w:r w:rsidRPr="00674FC1">
        <w:rPr>
          <w:i/>
          <w:iCs/>
        </w:rPr>
        <w:t>(</w:t>
      </w:r>
      <w:r>
        <w:rPr>
          <w:i/>
          <w:iCs/>
        </w:rPr>
        <w:t>G</w:t>
      </w:r>
      <w:r w:rsidRPr="00674FC1">
        <w:rPr>
          <w:i/>
          <w:iCs/>
        </w:rPr>
        <w:t xml:space="preserve">) dTTP and </w:t>
      </w:r>
      <w:r>
        <w:rPr>
          <w:i/>
          <w:iCs/>
        </w:rPr>
        <w:t xml:space="preserve">(H) </w:t>
      </w:r>
      <w:r w:rsidRPr="00674FC1">
        <w:rPr>
          <w:i/>
          <w:iCs/>
        </w:rPr>
        <w:t>dCTP levels (two-way ANOVA, n=3; p&lt;0.0001****, p&lt;0.001***, p&lt;0.01**, p&lt;0.05*).</w:t>
      </w:r>
    </w:p>
    <w:p w:rsidR="00467151" w:rsidRDefault="009C13E5" w14:paraId="5528F22F" w14:textId="4DEF9D05">
      <w:pPr>
        <w:rPr>
          <w:b/>
          <w:bCs/>
          <w:sz w:val="32"/>
          <w:szCs w:val="32"/>
        </w:rPr>
      </w:pPr>
      <w:r>
        <w:rPr>
          <w:b/>
          <w:bCs/>
          <w:noProof/>
          <w:sz w:val="32"/>
          <w:szCs w:val="32"/>
        </w:rPr>
        <w:lastRenderedPageBreak/>
        <w:drawing>
          <wp:inline distT="0" distB="0" distL="0" distR="0" wp14:anchorId="350E4E60" wp14:editId="5ACAC8CA">
            <wp:extent cx="6645275" cy="8755108"/>
            <wp:effectExtent l="0" t="0" r="3175" b="8255"/>
            <wp:docPr id="1016079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898"/>
                    <a:stretch>
                      <a:fillRect/>
                    </a:stretch>
                  </pic:blipFill>
                  <pic:spPr bwMode="auto">
                    <a:xfrm>
                      <a:off x="0" y="0"/>
                      <a:ext cx="6645275" cy="8755108"/>
                    </a:xfrm>
                    <a:prstGeom prst="rect">
                      <a:avLst/>
                    </a:prstGeom>
                    <a:noFill/>
                    <a:ln>
                      <a:noFill/>
                    </a:ln>
                    <a:extLst>
                      <a:ext uri="{53640926-AAD7-44D8-BBD7-CCE9431645EC}">
                        <a14:shadowObscured xmlns:a14="http://schemas.microsoft.com/office/drawing/2010/main"/>
                      </a:ext>
                    </a:extLst>
                  </pic:spPr>
                </pic:pic>
              </a:graphicData>
            </a:graphic>
          </wp:inline>
        </w:drawing>
      </w:r>
    </w:p>
    <w:p w:rsidRPr="00DA5155" w:rsidR="009C13E5" w:rsidP="009C13E5" w:rsidRDefault="009C13E5" w14:paraId="78346ECE" w14:textId="77777777">
      <w:pPr>
        <w:jc w:val="both"/>
        <w:rPr>
          <w:i/>
          <w:iCs/>
        </w:rPr>
      </w:pPr>
      <w:r>
        <w:rPr>
          <w:rFonts w:cstheme="minorHAnsi"/>
          <w:b/>
          <w:bCs/>
          <w:i/>
          <w:iCs/>
        </w:rPr>
        <w:t>Figure S.3</w:t>
      </w:r>
      <w:r w:rsidRPr="001D7EC3">
        <w:rPr>
          <w:rFonts w:cstheme="minorHAnsi"/>
          <w:b/>
          <w:bCs/>
          <w:i/>
          <w:iCs/>
        </w:rPr>
        <w:t xml:space="preserve">: </w:t>
      </w:r>
      <w:r w:rsidRPr="001D7EC3">
        <w:rPr>
          <w:rFonts w:cstheme="minorHAnsi"/>
          <w:i/>
          <w:iCs/>
        </w:rPr>
        <w:t>(A)</w:t>
      </w:r>
      <w:r>
        <w:rPr>
          <w:rFonts w:cstheme="minorHAnsi"/>
          <w:b/>
          <w:bCs/>
          <w:i/>
          <w:iCs/>
        </w:rPr>
        <w:t xml:space="preserve"> </w:t>
      </w:r>
      <w:r w:rsidRPr="007A06F0">
        <w:rPr>
          <w:i/>
          <w:iCs/>
        </w:rPr>
        <w:t>Gene Ontology</w:t>
      </w:r>
      <w:r>
        <w:rPr>
          <w:i/>
          <w:iCs/>
        </w:rPr>
        <w:t xml:space="preserve"> of upregulated Differentially Expressed Genes (DEGs) in BCOR-mutant contrasted to BCOR-wildtype hiPSCs, showing significant upregulation of Oxidative Phosphorylation, Reactive Oxygen Species and Metabolic Pathways indicating BCOR-mutant cells live in higher oxidative stress environment. (B) Heatmap of DEGs involved in mitochondrial electron transport chain (ETC) in BCOR-mutant and Wildtype </w:t>
      </w:r>
      <w:r>
        <w:rPr>
          <w:i/>
          <w:iCs/>
        </w:rPr>
        <w:lastRenderedPageBreak/>
        <w:t>hiPSCs. This significant increase of ETC-involved gene expression in BCOR-mutant cells indicate higher mitochondrial metabolism and potentially higher oxidative stress.</w:t>
      </w:r>
      <w:r w:rsidRPr="001D7EC3">
        <w:rPr>
          <w:i/>
          <w:iCs/>
        </w:rPr>
        <w:t xml:space="preserve"> </w:t>
      </w:r>
      <w:r>
        <w:rPr>
          <w:i/>
          <w:iCs/>
        </w:rPr>
        <w:t xml:space="preserve">(C) Normalized RNAseq counts of Metallothionein genes in BCOR- mutant compared to wildtype hiPSCs. Metallothionein proteins are known to be ROS scavengers, where significantly increased expression indicates high ROS levels (one-way ANOVA, n=16 for BCOR-mutant and n=43 for wildtype; </w:t>
      </w:r>
      <w:r w:rsidRPr="00674FC1">
        <w:rPr>
          <w:i/>
          <w:iCs/>
        </w:rPr>
        <w:t xml:space="preserve">p&lt;0.0001****, </w:t>
      </w:r>
      <w:r>
        <w:rPr>
          <w:i/>
          <w:iCs/>
        </w:rPr>
        <w:t xml:space="preserve">p&lt;0.001***, p&lt;0.01**). </w:t>
      </w:r>
      <w:r>
        <w:rPr>
          <w:rFonts w:cstheme="minorHAnsi"/>
          <w:i/>
          <w:iCs/>
        </w:rPr>
        <w:t>(D)</w:t>
      </w:r>
      <w:r w:rsidRPr="001D7EC3">
        <w:rPr>
          <w:i/>
          <w:iCs/>
        </w:rPr>
        <w:t xml:space="preserve"> Gene Ontology analysis of top significantly differentially expressed genes (DEGs) contrasting RPE1 cells treated with brequinar (0.55µM, 24Hrs) versus untreated, showing ROS and Metabolic Pathways as top enriched pathway in brequinar-treated cells.</w:t>
      </w:r>
      <w:r>
        <w:rPr>
          <w:i/>
          <w:iCs/>
        </w:rPr>
        <w:t xml:space="preserve"> </w:t>
      </w:r>
      <w:r>
        <w:rPr>
          <w:rFonts w:cstheme="minorHAnsi"/>
          <w:i/>
          <w:iCs/>
        </w:rPr>
        <w:t xml:space="preserve">Normalised counts of mRNA expression of enriched genes involved in (E) ROS pathway and (F) EGF/HFG pathway, observed in the volcano plot from figure 3. </w:t>
      </w:r>
      <w:r w:rsidRPr="008935C3">
        <w:rPr>
          <w:rFonts w:cstheme="minorHAnsi"/>
          <w:i/>
          <w:iCs/>
        </w:rPr>
        <w:t>(two-way ANOVA, n=3; p&lt;0.0001****, p&lt;0.001***, p&lt;0.01**, p&lt;0.05*).</w:t>
      </w:r>
      <w:r>
        <w:rPr>
          <w:rFonts w:cstheme="minorHAnsi"/>
          <w:i/>
          <w:iCs/>
        </w:rPr>
        <w:t xml:space="preserve"> (G) Normalised RNAseq counts of RPE1 untreated and BQR-treated, showing Brequinar treatment at 0.55µM for 24hrs induces expression of genes involved in Oxidative Phosphorylation </w:t>
      </w:r>
      <w:r w:rsidRPr="008935C3">
        <w:rPr>
          <w:rFonts w:cstheme="minorHAnsi"/>
          <w:i/>
          <w:iCs/>
        </w:rPr>
        <w:t>(two-way ANOVA, n=3; p&lt;0.0001****, p&lt;0.001***, p&lt;0.01**, p&lt;0.05*).</w:t>
      </w:r>
      <w:r>
        <w:rPr>
          <w:rFonts w:cstheme="minorHAnsi"/>
          <w:i/>
          <w:iCs/>
        </w:rPr>
        <w:t xml:space="preserve"> (H) Normalised RNAseq counts of RPE1 untreated and BQR-treated, showing Brequinar treatment at 0.55µM for 24hrs induces expression of genes involved in Ferroptosis triggering </w:t>
      </w:r>
      <w:r w:rsidRPr="008935C3">
        <w:rPr>
          <w:rFonts w:cstheme="minorHAnsi"/>
          <w:i/>
          <w:iCs/>
        </w:rPr>
        <w:t>(two-way ANOVA, n=3; p&lt;0.0001****, p&lt;0.001***, p&lt;0.01**, p&lt;0.05*).</w:t>
      </w:r>
      <w:r>
        <w:rPr>
          <w:rFonts w:cstheme="minorHAnsi"/>
          <w:i/>
          <w:iCs/>
        </w:rPr>
        <w:t xml:space="preserve"> (I) Normalised RNAseq counts of RPE1 untreated and BQR-treated, showing Brequinar treatment at 0.55µM for 24hrs represses expression of genes involved in Ferroptosis protection </w:t>
      </w:r>
      <w:r w:rsidRPr="008935C3">
        <w:rPr>
          <w:rFonts w:cstheme="minorHAnsi"/>
          <w:i/>
          <w:iCs/>
        </w:rPr>
        <w:t>(two-way ANOVA, n=3; p&lt;0.0001****, p&lt;0.001***, p&lt;0.01**, p&lt;0.05*)</w:t>
      </w:r>
      <w:r>
        <w:rPr>
          <w:rFonts w:cstheme="minorHAnsi"/>
          <w:i/>
          <w:iCs/>
        </w:rPr>
        <w:t xml:space="preserve">. (J) High doses of TBHP, a ROS inducer, fails to induce cell death in </w:t>
      </w:r>
      <w:r>
        <w:rPr>
          <w:i/>
          <w:iCs/>
        </w:rPr>
        <w:t>OCI-AML3</w:t>
      </w:r>
      <w:r>
        <w:rPr>
          <w:i/>
          <w:iCs/>
          <w:vertAlign w:val="superscript"/>
        </w:rPr>
        <w:t>BCOR_WT</w:t>
      </w:r>
      <w:r>
        <w:rPr>
          <w:i/>
          <w:iCs/>
        </w:rPr>
        <w:t>, OCI-AML3</w:t>
      </w:r>
      <w:r>
        <w:rPr>
          <w:i/>
          <w:iCs/>
          <w:vertAlign w:val="superscript"/>
        </w:rPr>
        <w:t>BCOR_KO.03</w:t>
      </w:r>
      <w:r>
        <w:rPr>
          <w:i/>
          <w:iCs/>
        </w:rPr>
        <w:t>, OCI-AML3</w:t>
      </w:r>
      <w:r>
        <w:rPr>
          <w:i/>
          <w:iCs/>
          <w:vertAlign w:val="superscript"/>
        </w:rPr>
        <w:t>BCOR_KO.17</w:t>
      </w:r>
      <w:r>
        <w:rPr>
          <w:i/>
          <w:iCs/>
        </w:rPr>
        <w:t xml:space="preserve"> and OCI-AML3</w:t>
      </w:r>
      <w:r>
        <w:rPr>
          <w:i/>
          <w:iCs/>
          <w:vertAlign w:val="superscript"/>
        </w:rPr>
        <w:t xml:space="preserve">BCOR_KO.24 </w:t>
      </w:r>
      <w:r>
        <w:rPr>
          <w:i/>
          <w:iCs/>
        </w:rPr>
        <w:t>after 6 days of treatment, showing the specific importance of DHODH in maintaining efficient mitochondrial metabolism for survival in high ROS environment (</w:t>
      </w:r>
      <w:r w:rsidRPr="008935C3">
        <w:rPr>
          <w:rFonts w:cstheme="minorHAnsi"/>
          <w:i/>
          <w:iCs/>
        </w:rPr>
        <w:t xml:space="preserve">two-way ANOVA, n=3; </w:t>
      </w:r>
      <w:r>
        <w:rPr>
          <w:rFonts w:cstheme="minorHAnsi"/>
          <w:i/>
          <w:iCs/>
        </w:rPr>
        <w:t xml:space="preserve">p&lt;0.0001****, </w:t>
      </w:r>
      <w:r w:rsidRPr="008935C3">
        <w:rPr>
          <w:rFonts w:cstheme="minorHAnsi"/>
          <w:i/>
          <w:iCs/>
        </w:rPr>
        <w:t>p&lt;0.001**,</w:t>
      </w:r>
      <w:r>
        <w:rPr>
          <w:rFonts w:cstheme="minorHAnsi"/>
          <w:i/>
          <w:iCs/>
        </w:rPr>
        <w:t xml:space="preserve"> </w:t>
      </w:r>
      <w:r w:rsidRPr="008935C3">
        <w:rPr>
          <w:rFonts w:cstheme="minorHAnsi"/>
          <w:i/>
          <w:iCs/>
        </w:rPr>
        <w:t>p&lt;0.05*</w:t>
      </w:r>
      <w:r>
        <w:rPr>
          <w:rFonts w:cstheme="minorHAnsi"/>
          <w:i/>
          <w:iCs/>
        </w:rPr>
        <w:t>, n.s = non-significant – All compared to untreated condition)</w:t>
      </w:r>
      <w:r>
        <w:rPr>
          <w:i/>
          <w:iCs/>
        </w:rPr>
        <w:t>.</w:t>
      </w:r>
      <w:r>
        <w:rPr>
          <w:i/>
          <w:iCs/>
          <w:vertAlign w:val="superscript"/>
        </w:rPr>
        <w:t xml:space="preserve"> </w:t>
      </w:r>
    </w:p>
    <w:p w:rsidR="009C13E5" w:rsidP="009C13E5" w:rsidRDefault="009C13E5" w14:paraId="0E8BD75D" w14:textId="77777777"/>
    <w:p w:rsidR="009C13E5" w:rsidRDefault="009C13E5" w14:paraId="63636C09" w14:textId="61DF1669">
      <w:pPr>
        <w:rPr>
          <w:b/>
          <w:bCs/>
          <w:sz w:val="32"/>
          <w:szCs w:val="32"/>
        </w:rPr>
      </w:pPr>
      <w:r>
        <w:rPr>
          <w:b/>
          <w:bCs/>
          <w:noProof/>
          <w:sz w:val="32"/>
          <w:szCs w:val="32"/>
        </w:rPr>
        <w:lastRenderedPageBreak/>
        <w:drawing>
          <wp:inline distT="0" distB="0" distL="0" distR="0" wp14:anchorId="352A4A3C" wp14:editId="00EB37DD">
            <wp:extent cx="6645275" cy="6366106"/>
            <wp:effectExtent l="0" t="0" r="3175" b="0"/>
            <wp:docPr id="265781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964"/>
                    <a:stretch>
                      <a:fillRect/>
                    </a:stretch>
                  </pic:blipFill>
                  <pic:spPr bwMode="auto">
                    <a:xfrm>
                      <a:off x="0" y="0"/>
                      <a:ext cx="6645275" cy="6366106"/>
                    </a:xfrm>
                    <a:prstGeom prst="rect">
                      <a:avLst/>
                    </a:prstGeom>
                    <a:noFill/>
                    <a:ln>
                      <a:noFill/>
                    </a:ln>
                    <a:extLst>
                      <a:ext uri="{53640926-AAD7-44D8-BBD7-CCE9431645EC}">
                        <a14:shadowObscured xmlns:a14="http://schemas.microsoft.com/office/drawing/2010/main"/>
                      </a:ext>
                    </a:extLst>
                  </pic:spPr>
                </pic:pic>
              </a:graphicData>
            </a:graphic>
          </wp:inline>
        </w:drawing>
      </w:r>
    </w:p>
    <w:p w:rsidRPr="00DF5B48" w:rsidR="009C13E5" w:rsidP="009C13E5" w:rsidRDefault="009C13E5" w14:paraId="12DE2BE1" w14:textId="77777777">
      <w:pPr>
        <w:jc w:val="both"/>
        <w:rPr>
          <w:i/>
          <w:iCs/>
        </w:rPr>
      </w:pPr>
      <w:r>
        <w:rPr>
          <w:b/>
          <w:bCs/>
          <w:i/>
          <w:iCs/>
        </w:rPr>
        <w:t xml:space="preserve">Figure S.4: </w:t>
      </w:r>
      <w:r>
        <w:rPr>
          <w:i/>
          <w:iCs/>
        </w:rPr>
        <w:t>(A) OCI-AML2, -3, MOLM13 and HL60 were treated with increasing doses of Brequinar for 6 days, and cytotoxicity was evaluated with Promega Cell-Titer Glo. (two-way Anova: MOLM13 vs OCI-AML 2/3: p&lt;0.0001**** from 0.5 to 10µM; HL60 vs OCI-AML 2/3: p&lt;0.0001**** from 0.01 to 10µM). (B) BCOR Alteration Frequency observed in different types of Cancer, analysis of 74961 samples over 3 cohorts (MSK-CHORD, Cancer Therapy and Clonal Hematopoiesis, MSK MetTropism), data collected on CBioPortal.org.</w:t>
      </w:r>
    </w:p>
    <w:p w:rsidR="009C13E5" w:rsidRDefault="009C13E5" w14:paraId="4A900A0B" w14:textId="77777777">
      <w:pPr>
        <w:rPr>
          <w:b/>
          <w:bCs/>
          <w:sz w:val="32"/>
          <w:szCs w:val="32"/>
        </w:rPr>
      </w:pPr>
    </w:p>
    <w:p w:rsidR="007A49E0" w:rsidRDefault="007A49E0" w14:paraId="600E59F8" w14:textId="77777777">
      <w:pPr>
        <w:rPr>
          <w:b/>
          <w:bCs/>
          <w:sz w:val="32"/>
          <w:szCs w:val="32"/>
        </w:rPr>
      </w:pPr>
    </w:p>
    <w:p w:rsidR="007A49E0" w:rsidRDefault="007A49E0" w14:paraId="6A3E117B" w14:textId="77777777">
      <w:pPr>
        <w:rPr>
          <w:b/>
          <w:bCs/>
          <w:sz w:val="32"/>
          <w:szCs w:val="32"/>
        </w:rPr>
      </w:pPr>
    </w:p>
    <w:p w:rsidR="007A49E0" w:rsidRDefault="007A49E0" w14:paraId="07C0F87C" w14:textId="77777777">
      <w:pPr>
        <w:rPr>
          <w:b/>
          <w:bCs/>
          <w:sz w:val="32"/>
          <w:szCs w:val="32"/>
        </w:rPr>
      </w:pPr>
    </w:p>
    <w:p w:rsidR="007A49E0" w:rsidP="53FF6649" w:rsidRDefault="007A49E0" w14:paraId="6C78384C" w14:textId="2BD521D7">
      <w:pPr>
        <w:pStyle w:val="Normal"/>
        <w:rPr>
          <w:b w:val="1"/>
          <w:bCs w:val="1"/>
          <w:sz w:val="32"/>
          <w:szCs w:val="32"/>
        </w:rPr>
      </w:pPr>
    </w:p>
    <w:sectPr w:rsidR="007A49E0" w:rsidSect="007D4FE9">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F72DE7"/>
    <w:multiLevelType w:val="hybridMultilevel"/>
    <w:tmpl w:val="676291DE"/>
    <w:lvl w:ilvl="0" w:tplc="D0C80642">
      <w:numFmt w:val="bullet"/>
      <w:lvlText w:val="-"/>
      <w:lvlJc w:val="left"/>
      <w:pPr>
        <w:ind w:left="720" w:hanging="360"/>
      </w:pPr>
      <w:rPr>
        <w:rFonts w:hint="default" w:ascii="Calibri" w:hAnsi="Calibri" w:cs="Calibri" w:eastAsiaTheme="minorHAns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23521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FE9"/>
    <w:rsid w:val="002D3159"/>
    <w:rsid w:val="00360728"/>
    <w:rsid w:val="00387D09"/>
    <w:rsid w:val="00467151"/>
    <w:rsid w:val="005347CE"/>
    <w:rsid w:val="005F4761"/>
    <w:rsid w:val="007A49E0"/>
    <w:rsid w:val="007D4FE9"/>
    <w:rsid w:val="009A62AB"/>
    <w:rsid w:val="009C13E5"/>
    <w:rsid w:val="00A1711B"/>
    <w:rsid w:val="00C875EC"/>
    <w:rsid w:val="00D73220"/>
    <w:rsid w:val="00DA4C7B"/>
    <w:rsid w:val="00E947E7"/>
    <w:rsid w:val="00F42E44"/>
    <w:rsid w:val="00F71546"/>
    <w:rsid w:val="28A1071D"/>
    <w:rsid w:val="30F5BC52"/>
    <w:rsid w:val="53FF6649"/>
    <w:rsid w:val="670D88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AB099"/>
  <w15:chartTrackingRefBased/>
  <w15:docId w15:val="{A3C38026-B68D-4EBB-99F3-023C9509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4FE9"/>
    <w:rPr>
      <w:lang w:val="en-GB"/>
    </w:rPr>
  </w:style>
  <w:style w:type="paragraph" w:styleId="Heading1">
    <w:name w:val="heading 1"/>
    <w:basedOn w:val="Normal"/>
    <w:next w:val="Normal"/>
    <w:link w:val="Heading1Char"/>
    <w:uiPriority w:val="9"/>
    <w:qFormat/>
    <w:rsid w:val="007D4FE9"/>
    <w:pPr>
      <w:keepNext/>
      <w:keepLines/>
      <w:spacing w:before="360" w:after="80"/>
      <w:outlineLvl w:val="0"/>
    </w:pPr>
    <w:rPr>
      <w:rFonts w:asciiTheme="majorHAnsi" w:hAnsiTheme="majorHAnsi" w:eastAsiaTheme="majorEastAsia" w:cstheme="majorBidi"/>
      <w:color w:val="0F4761" w:themeColor="accent1" w:themeShade="BF"/>
      <w:sz w:val="40"/>
      <w:szCs w:val="40"/>
      <w:lang w:val="fr-FR"/>
    </w:rPr>
  </w:style>
  <w:style w:type="paragraph" w:styleId="Heading2">
    <w:name w:val="heading 2"/>
    <w:basedOn w:val="Normal"/>
    <w:next w:val="Normal"/>
    <w:link w:val="Heading2Char"/>
    <w:uiPriority w:val="9"/>
    <w:semiHidden/>
    <w:unhideWhenUsed/>
    <w:qFormat/>
    <w:rsid w:val="007D4FE9"/>
    <w:pPr>
      <w:keepNext/>
      <w:keepLines/>
      <w:spacing w:before="160" w:after="80"/>
      <w:outlineLvl w:val="1"/>
    </w:pPr>
    <w:rPr>
      <w:rFonts w:asciiTheme="majorHAnsi" w:hAnsiTheme="majorHAnsi" w:eastAsiaTheme="majorEastAsia" w:cstheme="majorBidi"/>
      <w:color w:val="0F4761" w:themeColor="accent1" w:themeShade="BF"/>
      <w:sz w:val="32"/>
      <w:szCs w:val="32"/>
      <w:lang w:val="fr-FR"/>
    </w:rPr>
  </w:style>
  <w:style w:type="paragraph" w:styleId="Heading3">
    <w:name w:val="heading 3"/>
    <w:basedOn w:val="Normal"/>
    <w:next w:val="Normal"/>
    <w:link w:val="Heading3Char"/>
    <w:uiPriority w:val="9"/>
    <w:semiHidden/>
    <w:unhideWhenUsed/>
    <w:qFormat/>
    <w:rsid w:val="007D4FE9"/>
    <w:pPr>
      <w:keepNext/>
      <w:keepLines/>
      <w:spacing w:before="160" w:after="80"/>
      <w:outlineLvl w:val="2"/>
    </w:pPr>
    <w:rPr>
      <w:rFonts w:eastAsiaTheme="majorEastAsia" w:cstheme="majorBidi"/>
      <w:color w:val="0F4761" w:themeColor="accent1" w:themeShade="BF"/>
      <w:sz w:val="28"/>
      <w:szCs w:val="28"/>
      <w:lang w:val="fr-FR"/>
    </w:rPr>
  </w:style>
  <w:style w:type="paragraph" w:styleId="Heading4">
    <w:name w:val="heading 4"/>
    <w:basedOn w:val="Normal"/>
    <w:next w:val="Normal"/>
    <w:link w:val="Heading4Char"/>
    <w:uiPriority w:val="9"/>
    <w:semiHidden/>
    <w:unhideWhenUsed/>
    <w:qFormat/>
    <w:rsid w:val="007D4FE9"/>
    <w:pPr>
      <w:keepNext/>
      <w:keepLines/>
      <w:spacing w:before="80" w:after="40"/>
      <w:outlineLvl w:val="3"/>
    </w:pPr>
    <w:rPr>
      <w:rFonts w:eastAsiaTheme="majorEastAsia" w:cstheme="majorBidi"/>
      <w:i/>
      <w:iCs/>
      <w:color w:val="0F4761" w:themeColor="accent1" w:themeShade="BF"/>
      <w:lang w:val="fr-FR"/>
    </w:rPr>
  </w:style>
  <w:style w:type="paragraph" w:styleId="Heading5">
    <w:name w:val="heading 5"/>
    <w:basedOn w:val="Normal"/>
    <w:next w:val="Normal"/>
    <w:link w:val="Heading5Char"/>
    <w:uiPriority w:val="9"/>
    <w:semiHidden/>
    <w:unhideWhenUsed/>
    <w:qFormat/>
    <w:rsid w:val="007D4FE9"/>
    <w:pPr>
      <w:keepNext/>
      <w:keepLines/>
      <w:spacing w:before="80" w:after="40"/>
      <w:outlineLvl w:val="4"/>
    </w:pPr>
    <w:rPr>
      <w:rFonts w:eastAsiaTheme="majorEastAsia" w:cstheme="majorBidi"/>
      <w:color w:val="0F4761" w:themeColor="accent1" w:themeShade="BF"/>
      <w:lang w:val="fr-FR"/>
    </w:rPr>
  </w:style>
  <w:style w:type="paragraph" w:styleId="Heading6">
    <w:name w:val="heading 6"/>
    <w:basedOn w:val="Normal"/>
    <w:next w:val="Normal"/>
    <w:link w:val="Heading6Char"/>
    <w:uiPriority w:val="9"/>
    <w:semiHidden/>
    <w:unhideWhenUsed/>
    <w:qFormat/>
    <w:rsid w:val="007D4FE9"/>
    <w:pPr>
      <w:keepNext/>
      <w:keepLines/>
      <w:spacing w:before="40" w:after="0"/>
      <w:outlineLvl w:val="5"/>
    </w:pPr>
    <w:rPr>
      <w:rFonts w:eastAsiaTheme="majorEastAsia" w:cstheme="majorBidi"/>
      <w:i/>
      <w:iCs/>
      <w:color w:val="595959" w:themeColor="text1" w:themeTint="A6"/>
      <w:lang w:val="fr-FR"/>
    </w:rPr>
  </w:style>
  <w:style w:type="paragraph" w:styleId="Heading7">
    <w:name w:val="heading 7"/>
    <w:basedOn w:val="Normal"/>
    <w:next w:val="Normal"/>
    <w:link w:val="Heading7Char"/>
    <w:uiPriority w:val="9"/>
    <w:semiHidden/>
    <w:unhideWhenUsed/>
    <w:qFormat/>
    <w:rsid w:val="007D4FE9"/>
    <w:pPr>
      <w:keepNext/>
      <w:keepLines/>
      <w:spacing w:before="40" w:after="0"/>
      <w:outlineLvl w:val="6"/>
    </w:pPr>
    <w:rPr>
      <w:rFonts w:eastAsiaTheme="majorEastAsia" w:cstheme="majorBidi"/>
      <w:color w:val="595959" w:themeColor="text1" w:themeTint="A6"/>
      <w:lang w:val="fr-FR"/>
    </w:rPr>
  </w:style>
  <w:style w:type="paragraph" w:styleId="Heading8">
    <w:name w:val="heading 8"/>
    <w:basedOn w:val="Normal"/>
    <w:next w:val="Normal"/>
    <w:link w:val="Heading8Char"/>
    <w:uiPriority w:val="9"/>
    <w:semiHidden/>
    <w:unhideWhenUsed/>
    <w:qFormat/>
    <w:rsid w:val="007D4FE9"/>
    <w:pPr>
      <w:keepNext/>
      <w:keepLines/>
      <w:spacing w:after="0"/>
      <w:outlineLvl w:val="7"/>
    </w:pPr>
    <w:rPr>
      <w:rFonts w:eastAsiaTheme="majorEastAsia" w:cstheme="majorBidi"/>
      <w:i/>
      <w:iCs/>
      <w:color w:val="272727" w:themeColor="text1" w:themeTint="D8"/>
      <w:lang w:val="fr-FR"/>
    </w:rPr>
  </w:style>
  <w:style w:type="paragraph" w:styleId="Heading9">
    <w:name w:val="heading 9"/>
    <w:basedOn w:val="Normal"/>
    <w:next w:val="Normal"/>
    <w:link w:val="Heading9Char"/>
    <w:uiPriority w:val="9"/>
    <w:semiHidden/>
    <w:unhideWhenUsed/>
    <w:qFormat/>
    <w:rsid w:val="007D4FE9"/>
    <w:pPr>
      <w:keepNext/>
      <w:keepLines/>
      <w:spacing w:after="0"/>
      <w:outlineLvl w:val="8"/>
    </w:pPr>
    <w:rPr>
      <w:rFonts w:eastAsiaTheme="majorEastAsia" w:cstheme="majorBidi"/>
      <w:color w:val="272727" w:themeColor="text1" w:themeTint="D8"/>
      <w:lang w:val="fr-F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D4FE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D4FE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D4FE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D4FE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D4FE9"/>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D4FE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D4FE9"/>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D4FE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D4FE9"/>
    <w:rPr>
      <w:rFonts w:eastAsiaTheme="majorEastAsia" w:cstheme="majorBidi"/>
      <w:color w:val="272727" w:themeColor="text1" w:themeTint="D8"/>
    </w:rPr>
  </w:style>
  <w:style w:type="paragraph" w:styleId="Title">
    <w:name w:val="Title"/>
    <w:basedOn w:val="Normal"/>
    <w:next w:val="Normal"/>
    <w:link w:val="TitleChar"/>
    <w:uiPriority w:val="10"/>
    <w:qFormat/>
    <w:rsid w:val="007D4FE9"/>
    <w:pPr>
      <w:spacing w:after="80" w:line="240" w:lineRule="auto"/>
      <w:contextualSpacing/>
    </w:pPr>
    <w:rPr>
      <w:rFonts w:asciiTheme="majorHAnsi" w:hAnsiTheme="majorHAnsi" w:eastAsiaTheme="majorEastAsia" w:cstheme="majorBidi"/>
      <w:spacing w:val="-10"/>
      <w:kern w:val="28"/>
      <w:sz w:val="56"/>
      <w:szCs w:val="56"/>
      <w:lang w:val="fr-FR"/>
    </w:rPr>
  </w:style>
  <w:style w:type="character" w:styleId="TitleChar" w:customStyle="1">
    <w:name w:val="Title Char"/>
    <w:basedOn w:val="DefaultParagraphFont"/>
    <w:link w:val="Title"/>
    <w:uiPriority w:val="10"/>
    <w:rsid w:val="007D4FE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D4FE9"/>
    <w:pPr>
      <w:numPr>
        <w:ilvl w:val="1"/>
      </w:numPr>
    </w:pPr>
    <w:rPr>
      <w:rFonts w:eastAsiaTheme="majorEastAsia" w:cstheme="majorBidi"/>
      <w:color w:val="595959" w:themeColor="text1" w:themeTint="A6"/>
      <w:spacing w:val="15"/>
      <w:sz w:val="28"/>
      <w:szCs w:val="28"/>
      <w:lang w:val="fr-FR"/>
    </w:rPr>
  </w:style>
  <w:style w:type="character" w:styleId="SubtitleChar" w:customStyle="1">
    <w:name w:val="Subtitle Char"/>
    <w:basedOn w:val="DefaultParagraphFont"/>
    <w:link w:val="Subtitle"/>
    <w:uiPriority w:val="11"/>
    <w:rsid w:val="007D4F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4FE9"/>
    <w:pPr>
      <w:spacing w:before="160"/>
      <w:jc w:val="center"/>
    </w:pPr>
    <w:rPr>
      <w:i/>
      <w:iCs/>
      <w:color w:val="404040" w:themeColor="text1" w:themeTint="BF"/>
      <w:lang w:val="fr-FR"/>
    </w:rPr>
  </w:style>
  <w:style w:type="character" w:styleId="QuoteChar" w:customStyle="1">
    <w:name w:val="Quote Char"/>
    <w:basedOn w:val="DefaultParagraphFont"/>
    <w:link w:val="Quote"/>
    <w:uiPriority w:val="29"/>
    <w:rsid w:val="007D4FE9"/>
    <w:rPr>
      <w:i/>
      <w:iCs/>
      <w:color w:val="404040" w:themeColor="text1" w:themeTint="BF"/>
    </w:rPr>
  </w:style>
  <w:style w:type="paragraph" w:styleId="ListParagraph">
    <w:name w:val="List Paragraph"/>
    <w:basedOn w:val="Normal"/>
    <w:uiPriority w:val="34"/>
    <w:qFormat/>
    <w:rsid w:val="007D4FE9"/>
    <w:pPr>
      <w:ind w:left="720"/>
      <w:contextualSpacing/>
    </w:pPr>
    <w:rPr>
      <w:lang w:val="fr-FR"/>
    </w:rPr>
  </w:style>
  <w:style w:type="character" w:styleId="IntenseEmphasis">
    <w:name w:val="Intense Emphasis"/>
    <w:basedOn w:val="DefaultParagraphFont"/>
    <w:uiPriority w:val="21"/>
    <w:qFormat/>
    <w:rsid w:val="007D4FE9"/>
    <w:rPr>
      <w:i/>
      <w:iCs/>
      <w:color w:val="0F4761" w:themeColor="accent1" w:themeShade="BF"/>
    </w:rPr>
  </w:style>
  <w:style w:type="paragraph" w:styleId="IntenseQuote">
    <w:name w:val="Intense Quote"/>
    <w:basedOn w:val="Normal"/>
    <w:next w:val="Normal"/>
    <w:link w:val="IntenseQuoteChar"/>
    <w:uiPriority w:val="30"/>
    <w:qFormat/>
    <w:rsid w:val="007D4FE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lang w:val="fr-FR"/>
    </w:rPr>
  </w:style>
  <w:style w:type="character" w:styleId="IntenseQuoteChar" w:customStyle="1">
    <w:name w:val="Intense Quote Char"/>
    <w:basedOn w:val="DefaultParagraphFont"/>
    <w:link w:val="IntenseQuote"/>
    <w:uiPriority w:val="30"/>
    <w:rsid w:val="007D4FE9"/>
    <w:rPr>
      <w:i/>
      <w:iCs/>
      <w:color w:val="0F4761" w:themeColor="accent1" w:themeShade="BF"/>
    </w:rPr>
  </w:style>
  <w:style w:type="character" w:styleId="IntenseReference">
    <w:name w:val="Intense Reference"/>
    <w:basedOn w:val="DefaultParagraphFont"/>
    <w:uiPriority w:val="32"/>
    <w:qFormat/>
    <w:rsid w:val="007D4FE9"/>
    <w:rPr>
      <w:b/>
      <w:bCs/>
      <w:smallCaps/>
      <w:color w:val="0F4761" w:themeColor="accent1" w:themeShade="BF"/>
      <w:spacing w:val="5"/>
    </w:rPr>
  </w:style>
  <w:style w:type="character" w:styleId="Hyperlink">
    <w:name w:val="Hyperlink"/>
    <w:basedOn w:val="DefaultParagraphFont"/>
    <w:uiPriority w:val="99"/>
    <w:unhideWhenUsed/>
    <w:rsid w:val="007A49E0"/>
    <w:rPr>
      <w:color w:val="467886" w:themeColor="hyperlink"/>
      <w:u w:val="single"/>
    </w:rPr>
  </w:style>
  <w:style w:type="paragraph" w:styleId="NormalWeb">
    <w:name w:val="Normal (Web)"/>
    <w:basedOn w:val="Normal"/>
    <w:uiPriority w:val="99"/>
    <w:unhideWhenUsed/>
    <w:rsid w:val="007A49E0"/>
    <w:pPr>
      <w:spacing w:before="100" w:beforeAutospacing="1" w:after="100" w:afterAutospacing="1" w:line="240" w:lineRule="auto"/>
    </w:pPr>
    <w:rPr>
      <w:rFonts w:ascii="Times New Roman" w:hAnsi="Times New Roman" w:eastAsia="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settings" Target="settings.xml" Id="rId3" /><Relationship Type="http://schemas.openxmlformats.org/officeDocument/2006/relationships/image" Target="media/image3.pn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image" Target="/media/image5.png" Id="rId1547797086" /></Relationships>
</file>

<file path=word/theme/theme1.xml><?xml version="1.0" encoding="utf-8"?>
<a:theme xmlns:a="http://schemas.openxmlformats.org/drawingml/2006/main" xmlns:thm15="http://schemas.microsoft.com/office/thememl/2012/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Mhaze ROBERT</dc:creator>
  <keywords/>
  <dc:description/>
  <lastModifiedBy>Florian Robert</lastModifiedBy>
  <revision>10</revision>
  <dcterms:created xsi:type="dcterms:W3CDTF">2025-08-25T16:02:00.0000000Z</dcterms:created>
  <dcterms:modified xsi:type="dcterms:W3CDTF">2025-09-01T20:56:10.8828598Z</dcterms:modified>
</coreProperties>
</file>