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2D7AD" w14:textId="77777777" w:rsidR="00AD484B" w:rsidRDefault="00000000">
      <w:pPr>
        <w:spacing w:after="100" w:afterAutospacing="1" w:line="360" w:lineRule="auto"/>
        <w:ind w:firstLineChars="0" w:firstLine="0"/>
        <w:jc w:val="center"/>
        <w:rPr>
          <w:b/>
          <w:bCs/>
          <w:szCs w:val="24"/>
        </w:rPr>
      </w:pPr>
      <w:r>
        <w:rPr>
          <w:rFonts w:hint="eastAsia"/>
          <w:b/>
          <w:sz w:val="44"/>
          <w:szCs w:val="44"/>
        </w:rPr>
        <w:t>Supporting information</w:t>
      </w:r>
    </w:p>
    <w:p w14:paraId="62DEF3D9" w14:textId="242F6BF9" w:rsidR="00AD484B" w:rsidRDefault="00294CB9">
      <w:pPr>
        <w:spacing w:line="360" w:lineRule="auto"/>
        <w:ind w:firstLineChars="0" w:firstLine="0"/>
        <w:rPr>
          <w:b/>
          <w:bCs/>
          <w:szCs w:val="24"/>
        </w:rPr>
      </w:pPr>
      <w:r w:rsidRPr="00500053">
        <w:rPr>
          <w:b/>
          <w:bCs/>
          <w:sz w:val="30"/>
          <w:szCs w:val="30"/>
        </w:rPr>
        <w:t>An Integrated Electrochemical Platform Based on Ti</w:t>
      </w:r>
      <w:r w:rsidRPr="00275498">
        <w:rPr>
          <w:b/>
          <w:bCs/>
          <w:sz w:val="28"/>
          <w:szCs w:val="28"/>
          <w:vertAlign w:val="subscript"/>
        </w:rPr>
        <w:t>3</w:t>
      </w:r>
      <w:r w:rsidRPr="00500053">
        <w:rPr>
          <w:b/>
          <w:bCs/>
          <w:sz w:val="30"/>
          <w:szCs w:val="30"/>
        </w:rPr>
        <w:t>C</w:t>
      </w:r>
      <w:r w:rsidRPr="00275498">
        <w:rPr>
          <w:b/>
          <w:bCs/>
          <w:sz w:val="28"/>
          <w:szCs w:val="28"/>
          <w:vertAlign w:val="subscript"/>
        </w:rPr>
        <w:t>2</w:t>
      </w:r>
      <w:r w:rsidRPr="00500053">
        <w:rPr>
          <w:b/>
          <w:bCs/>
          <w:sz w:val="30"/>
          <w:szCs w:val="30"/>
        </w:rPr>
        <w:t>-Ag</w:t>
      </w:r>
      <w:r w:rsidR="00275498">
        <w:rPr>
          <w:rFonts w:hint="eastAsia"/>
          <w:b/>
          <w:bCs/>
          <w:sz w:val="30"/>
          <w:szCs w:val="30"/>
        </w:rPr>
        <w:t xml:space="preserve"> NPs</w:t>
      </w:r>
      <w:r w:rsidRPr="00500053">
        <w:rPr>
          <w:b/>
          <w:bCs/>
          <w:sz w:val="30"/>
          <w:szCs w:val="30"/>
        </w:rPr>
        <w:t xml:space="preserve"> and 3D-Printed Microfluidics for Simultaneous Detection of PSA and PSMA</w:t>
      </w:r>
    </w:p>
    <w:p w14:paraId="33A4BA84" w14:textId="77777777" w:rsidR="00294CB9" w:rsidRPr="0013472B" w:rsidRDefault="00294CB9" w:rsidP="00294CB9">
      <w:pPr>
        <w:spacing w:line="360" w:lineRule="auto"/>
        <w:ind w:firstLineChars="0" w:firstLine="0"/>
        <w:rPr>
          <w:rStyle w:val="-"/>
          <w:b/>
          <w:bCs/>
          <w:sz w:val="21"/>
          <w:szCs w:val="21"/>
        </w:rPr>
      </w:pPr>
      <w:r w:rsidRPr="00B92306">
        <w:rPr>
          <w:rStyle w:val="-"/>
          <w:b/>
          <w:bCs/>
          <w:sz w:val="21"/>
          <w:szCs w:val="21"/>
        </w:rPr>
        <w:t>Song-Song Yang</w:t>
      </w:r>
      <w:r w:rsidRPr="0013472B">
        <w:rPr>
          <w:rStyle w:val="-"/>
          <w:b/>
          <w:bCs/>
          <w:sz w:val="21"/>
          <w:szCs w:val="21"/>
          <w:vertAlign w:val="superscript"/>
        </w:rPr>
        <w:t>a</w:t>
      </w:r>
      <w:r w:rsidRPr="00B92306">
        <w:rPr>
          <w:rStyle w:val="-"/>
          <w:b/>
          <w:bCs/>
          <w:sz w:val="21"/>
          <w:szCs w:val="21"/>
        </w:rPr>
        <w:t>, Lu Han</w:t>
      </w:r>
      <w:r w:rsidRPr="0013472B">
        <w:rPr>
          <w:rStyle w:val="-"/>
          <w:b/>
          <w:bCs/>
          <w:sz w:val="21"/>
          <w:szCs w:val="21"/>
          <w:vertAlign w:val="superscript"/>
        </w:rPr>
        <w:t>a,</w:t>
      </w:r>
      <w:r w:rsidRPr="00B92306">
        <w:rPr>
          <w:rStyle w:val="-"/>
          <w:b/>
          <w:bCs/>
          <w:sz w:val="21"/>
          <w:szCs w:val="21"/>
          <w:vertAlign w:val="superscript"/>
        </w:rPr>
        <w:t>*</w:t>
      </w:r>
      <w:r w:rsidRPr="0013472B">
        <w:rPr>
          <w:rStyle w:val="-"/>
          <w:b/>
          <w:bCs/>
          <w:sz w:val="21"/>
          <w:szCs w:val="21"/>
        </w:rPr>
        <w:t>,</w:t>
      </w:r>
      <w:r w:rsidRPr="00B92306">
        <w:rPr>
          <w:rStyle w:val="-"/>
          <w:b/>
          <w:bCs/>
          <w:sz w:val="21"/>
          <w:szCs w:val="21"/>
        </w:rPr>
        <w:t xml:space="preserve"> </w:t>
      </w:r>
      <w:r w:rsidRPr="0013472B">
        <w:rPr>
          <w:rStyle w:val="-"/>
          <w:b/>
          <w:bCs/>
          <w:sz w:val="21"/>
          <w:szCs w:val="21"/>
        </w:rPr>
        <w:t>Wu-Lin Xin</w:t>
      </w:r>
      <w:r w:rsidRPr="0013472B">
        <w:rPr>
          <w:rStyle w:val="-"/>
          <w:b/>
          <w:bCs/>
          <w:sz w:val="21"/>
          <w:szCs w:val="21"/>
          <w:vertAlign w:val="superscript"/>
        </w:rPr>
        <w:t>a</w:t>
      </w:r>
      <w:r w:rsidRPr="0013472B">
        <w:rPr>
          <w:rStyle w:val="-"/>
          <w:b/>
          <w:bCs/>
          <w:sz w:val="21"/>
          <w:szCs w:val="21"/>
        </w:rPr>
        <w:t xml:space="preserve">, </w:t>
      </w:r>
      <w:r w:rsidRPr="00B92306">
        <w:rPr>
          <w:rStyle w:val="-"/>
          <w:b/>
          <w:bCs/>
          <w:sz w:val="21"/>
          <w:szCs w:val="21"/>
        </w:rPr>
        <w:t>He</w:t>
      </w:r>
      <w:r w:rsidRPr="0013472B">
        <w:rPr>
          <w:rStyle w:val="-"/>
          <w:b/>
          <w:bCs/>
          <w:sz w:val="21"/>
          <w:szCs w:val="21"/>
        </w:rPr>
        <w:t>-Q</w:t>
      </w:r>
      <w:r w:rsidRPr="00B92306">
        <w:rPr>
          <w:rStyle w:val="-"/>
          <w:b/>
          <w:bCs/>
          <w:sz w:val="21"/>
          <w:szCs w:val="21"/>
        </w:rPr>
        <w:t>ing C</w:t>
      </w:r>
      <w:r w:rsidRPr="0013472B">
        <w:rPr>
          <w:rStyle w:val="-"/>
          <w:b/>
          <w:bCs/>
          <w:sz w:val="21"/>
          <w:szCs w:val="21"/>
        </w:rPr>
        <w:t>ai</w:t>
      </w:r>
      <w:r w:rsidRPr="0013472B">
        <w:rPr>
          <w:rStyle w:val="-"/>
          <w:b/>
          <w:bCs/>
          <w:sz w:val="21"/>
          <w:szCs w:val="21"/>
          <w:vertAlign w:val="superscript"/>
        </w:rPr>
        <w:t>a</w:t>
      </w:r>
      <w:r w:rsidRPr="00B92306">
        <w:rPr>
          <w:rStyle w:val="-"/>
          <w:b/>
          <w:bCs/>
          <w:sz w:val="21"/>
          <w:szCs w:val="21"/>
        </w:rPr>
        <w:t xml:space="preserve">, </w:t>
      </w:r>
      <w:r w:rsidRPr="0013472B">
        <w:rPr>
          <w:rStyle w:val="-"/>
          <w:b/>
          <w:bCs/>
          <w:sz w:val="21"/>
          <w:szCs w:val="21"/>
        </w:rPr>
        <w:t>Xin-Yu Xue</w:t>
      </w:r>
      <w:r w:rsidRPr="0013472B">
        <w:rPr>
          <w:rStyle w:val="-"/>
          <w:b/>
          <w:bCs/>
          <w:sz w:val="21"/>
          <w:szCs w:val="21"/>
          <w:vertAlign w:val="superscript"/>
        </w:rPr>
        <w:t>a</w:t>
      </w:r>
      <w:r w:rsidRPr="0013472B">
        <w:rPr>
          <w:rStyle w:val="-"/>
          <w:b/>
          <w:bCs/>
          <w:sz w:val="21"/>
          <w:szCs w:val="21"/>
        </w:rPr>
        <w:t xml:space="preserve">, </w:t>
      </w:r>
      <w:r w:rsidRPr="00B92306">
        <w:rPr>
          <w:rStyle w:val="-"/>
          <w:b/>
          <w:bCs/>
          <w:sz w:val="21"/>
          <w:szCs w:val="21"/>
        </w:rPr>
        <w:t>Zhi-Cheng Sun</w:t>
      </w:r>
      <w:r w:rsidRPr="0013472B">
        <w:rPr>
          <w:rStyle w:val="-"/>
          <w:b/>
          <w:bCs/>
          <w:sz w:val="21"/>
          <w:szCs w:val="21"/>
          <w:vertAlign w:val="superscript"/>
        </w:rPr>
        <w:t>a</w:t>
      </w:r>
      <w:r w:rsidRPr="00B92306">
        <w:rPr>
          <w:rStyle w:val="-"/>
          <w:b/>
          <w:bCs/>
          <w:sz w:val="21"/>
          <w:szCs w:val="21"/>
        </w:rPr>
        <w:t>, Kun Hu</w:t>
      </w:r>
      <w:r w:rsidRPr="0013472B">
        <w:rPr>
          <w:rStyle w:val="-"/>
          <w:b/>
          <w:bCs/>
          <w:sz w:val="21"/>
          <w:szCs w:val="21"/>
          <w:vertAlign w:val="superscript"/>
        </w:rPr>
        <w:t>a</w:t>
      </w:r>
      <w:r w:rsidRPr="00B92306">
        <w:rPr>
          <w:rStyle w:val="-"/>
          <w:b/>
          <w:bCs/>
          <w:sz w:val="21"/>
          <w:szCs w:val="21"/>
        </w:rPr>
        <w:t xml:space="preserve">, </w:t>
      </w:r>
      <w:r w:rsidRPr="0013472B">
        <w:rPr>
          <w:rStyle w:val="-"/>
          <w:b/>
          <w:bCs/>
          <w:sz w:val="21"/>
          <w:szCs w:val="21"/>
        </w:rPr>
        <w:t xml:space="preserve">Lei </w:t>
      </w:r>
      <w:r w:rsidRPr="00B92306">
        <w:rPr>
          <w:rStyle w:val="-"/>
          <w:b/>
          <w:bCs/>
          <w:sz w:val="21"/>
          <w:szCs w:val="21"/>
        </w:rPr>
        <w:t>Wang</w:t>
      </w:r>
      <w:r w:rsidRPr="0013472B">
        <w:rPr>
          <w:sz w:val="21"/>
          <w:szCs w:val="21"/>
          <w:vertAlign w:val="superscript"/>
        </w:rPr>
        <w:t xml:space="preserve"> b</w:t>
      </w:r>
      <w:r w:rsidRPr="0013472B">
        <w:rPr>
          <w:rStyle w:val="-"/>
          <w:b/>
          <w:bCs/>
          <w:sz w:val="21"/>
          <w:szCs w:val="21"/>
          <w:vertAlign w:val="superscript"/>
        </w:rPr>
        <w:t>,</w:t>
      </w:r>
      <w:r w:rsidRPr="00B92306">
        <w:rPr>
          <w:rStyle w:val="-"/>
          <w:b/>
          <w:bCs/>
          <w:sz w:val="21"/>
          <w:szCs w:val="21"/>
          <w:vertAlign w:val="superscript"/>
        </w:rPr>
        <w:t>*</w:t>
      </w:r>
      <w:r w:rsidRPr="0013472B">
        <w:rPr>
          <w:rStyle w:val="-"/>
          <w:b/>
          <w:bCs/>
          <w:sz w:val="21"/>
          <w:szCs w:val="21"/>
        </w:rPr>
        <w:t xml:space="preserve">, </w:t>
      </w:r>
      <w:r w:rsidRPr="00B92306">
        <w:rPr>
          <w:rStyle w:val="-"/>
          <w:b/>
          <w:bCs/>
          <w:sz w:val="21"/>
          <w:szCs w:val="21"/>
        </w:rPr>
        <w:t>Peng Liu</w:t>
      </w:r>
      <w:r w:rsidRPr="0013472B">
        <w:rPr>
          <w:rStyle w:val="-"/>
          <w:b/>
          <w:bCs/>
          <w:sz w:val="21"/>
          <w:szCs w:val="21"/>
          <w:vertAlign w:val="superscript"/>
        </w:rPr>
        <w:t>c,</w:t>
      </w:r>
      <w:r w:rsidRPr="00B92306">
        <w:rPr>
          <w:rStyle w:val="-"/>
          <w:b/>
          <w:bCs/>
          <w:sz w:val="21"/>
          <w:szCs w:val="21"/>
          <w:vertAlign w:val="superscript"/>
        </w:rPr>
        <w:t>*</w:t>
      </w:r>
    </w:p>
    <w:p w14:paraId="51942A0D" w14:textId="77777777" w:rsidR="00294CB9" w:rsidRDefault="00294CB9" w:rsidP="00294CB9">
      <w:pPr>
        <w:autoSpaceDE w:val="0"/>
        <w:autoSpaceDN w:val="0"/>
        <w:spacing w:afterLines="50" w:after="163" w:line="360" w:lineRule="auto"/>
        <w:ind w:firstLineChars="0" w:firstLine="0"/>
        <w:jc w:val="left"/>
        <w:rPr>
          <w:sz w:val="21"/>
          <w:szCs w:val="21"/>
        </w:rPr>
      </w:pPr>
      <w:r>
        <w:rPr>
          <w:rFonts w:hint="eastAsia"/>
          <w:sz w:val="21"/>
          <w:szCs w:val="21"/>
          <w:vertAlign w:val="superscript"/>
        </w:rPr>
        <w:t>a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Department of printing and packaging</w:t>
      </w:r>
      <w:r>
        <w:rPr>
          <w:sz w:val="21"/>
          <w:szCs w:val="21"/>
        </w:rPr>
        <w:t>, Beijing Institute of Graphic Communication, Beijing 102600, China</w:t>
      </w:r>
    </w:p>
    <w:p w14:paraId="3C1E153B" w14:textId="119750FF" w:rsidR="00294CB9" w:rsidRDefault="00294CB9" w:rsidP="00294CB9">
      <w:pPr>
        <w:autoSpaceDE w:val="0"/>
        <w:autoSpaceDN w:val="0"/>
        <w:spacing w:afterLines="50" w:after="163" w:line="360" w:lineRule="auto"/>
        <w:ind w:firstLineChars="0" w:firstLine="0"/>
        <w:jc w:val="left"/>
        <w:rPr>
          <w:sz w:val="21"/>
          <w:szCs w:val="21"/>
        </w:rPr>
      </w:pPr>
      <w:r w:rsidRPr="0013472B">
        <w:rPr>
          <w:rFonts w:hint="eastAsia"/>
          <w:sz w:val="21"/>
          <w:szCs w:val="21"/>
          <w:vertAlign w:val="superscript"/>
        </w:rPr>
        <w:t>b</w:t>
      </w:r>
      <w:r>
        <w:rPr>
          <w:rFonts w:hint="eastAsia"/>
          <w:sz w:val="21"/>
          <w:szCs w:val="21"/>
        </w:rPr>
        <w:t xml:space="preserve"> D</w:t>
      </w:r>
      <w:r w:rsidRPr="00542773">
        <w:rPr>
          <w:sz w:val="21"/>
          <w:szCs w:val="21"/>
        </w:rPr>
        <w:t>epartment of urology</w:t>
      </w:r>
      <w:r>
        <w:rPr>
          <w:rFonts w:hint="eastAsia"/>
          <w:sz w:val="21"/>
          <w:szCs w:val="21"/>
        </w:rPr>
        <w:t xml:space="preserve">, </w:t>
      </w:r>
      <w:r w:rsidRPr="00542773">
        <w:rPr>
          <w:sz w:val="21"/>
          <w:szCs w:val="21"/>
        </w:rPr>
        <w:t>Peking university</w:t>
      </w:r>
      <w:r>
        <w:rPr>
          <w:rFonts w:hint="eastAsia"/>
          <w:sz w:val="21"/>
          <w:szCs w:val="21"/>
        </w:rPr>
        <w:t xml:space="preserve"> </w:t>
      </w:r>
      <w:r w:rsidRPr="007C2CC0">
        <w:rPr>
          <w:sz w:val="21"/>
          <w:szCs w:val="21"/>
        </w:rPr>
        <w:t>shougang hospital</w:t>
      </w:r>
      <w:r>
        <w:rPr>
          <w:sz w:val="21"/>
          <w:szCs w:val="21"/>
        </w:rPr>
        <w:t>, Beijing</w:t>
      </w:r>
      <w:r>
        <w:rPr>
          <w:rFonts w:hint="eastAsia"/>
          <w:sz w:val="21"/>
          <w:szCs w:val="21"/>
        </w:rPr>
        <w:t xml:space="preserve"> 100144, China</w:t>
      </w:r>
    </w:p>
    <w:p w14:paraId="69215079" w14:textId="77777777" w:rsidR="00294CB9" w:rsidRPr="00544AA9" w:rsidRDefault="00294CB9" w:rsidP="00294CB9">
      <w:pPr>
        <w:autoSpaceDE w:val="0"/>
        <w:autoSpaceDN w:val="0"/>
        <w:spacing w:afterLines="50" w:after="163" w:line="360" w:lineRule="auto"/>
        <w:ind w:firstLineChars="0" w:firstLine="0"/>
        <w:jc w:val="left"/>
        <w:rPr>
          <w:sz w:val="21"/>
          <w:szCs w:val="21"/>
        </w:rPr>
      </w:pPr>
      <w:r w:rsidRPr="0013472B">
        <w:rPr>
          <w:rFonts w:hint="eastAsia"/>
          <w:sz w:val="21"/>
          <w:szCs w:val="21"/>
          <w:vertAlign w:val="superscript"/>
        </w:rPr>
        <w:t>C</w:t>
      </w:r>
      <w:r>
        <w:rPr>
          <w:rFonts w:hint="eastAsia"/>
          <w:sz w:val="21"/>
          <w:szCs w:val="21"/>
          <w:vertAlign w:val="superscript"/>
        </w:rPr>
        <w:t xml:space="preserve"> </w:t>
      </w:r>
      <w:r w:rsidRPr="00544AA9">
        <w:rPr>
          <w:sz w:val="21"/>
          <w:szCs w:val="21"/>
        </w:rPr>
        <w:t>Xiyuan Hospital, China Academy of Chinese Medical Sciences, Beijing</w:t>
      </w:r>
      <w:r>
        <w:rPr>
          <w:rFonts w:hint="eastAsia"/>
          <w:sz w:val="21"/>
          <w:szCs w:val="21"/>
        </w:rPr>
        <w:t xml:space="preserve"> </w:t>
      </w:r>
      <w:r w:rsidRPr="00544AA9">
        <w:rPr>
          <w:sz w:val="21"/>
          <w:szCs w:val="21"/>
        </w:rPr>
        <w:t>100089, China</w:t>
      </w:r>
    </w:p>
    <w:p w14:paraId="1E3DC3A5" w14:textId="3E191C35" w:rsidR="00AD484B" w:rsidRDefault="00294CB9" w:rsidP="00294CB9">
      <w:pPr>
        <w:spacing w:line="360" w:lineRule="auto"/>
        <w:ind w:firstLineChars="0" w:firstLine="0"/>
        <w:rPr>
          <w:b/>
          <w:bCs/>
          <w:szCs w:val="24"/>
        </w:rPr>
      </w:pPr>
      <w:hyperlink r:id="rId6" w:history="1">
        <w:r w:rsidRPr="00A347AC">
          <w:rPr>
            <w:rStyle w:val="a8"/>
            <w:rFonts w:hint="eastAsia"/>
            <w:sz w:val="21"/>
            <w:szCs w:val="21"/>
          </w:rPr>
          <w:t>hanlu@iccas.ac.cn</w:t>
        </w:r>
      </w:hyperlink>
      <w:r>
        <w:rPr>
          <w:rFonts w:hint="eastAsia"/>
          <w:sz w:val="21"/>
          <w:szCs w:val="21"/>
        </w:rPr>
        <w:t xml:space="preserve">; </w:t>
      </w:r>
      <w:hyperlink r:id="rId7" w:history="1">
        <w:r w:rsidRPr="00A347AC">
          <w:rPr>
            <w:rStyle w:val="a8"/>
            <w:sz w:val="21"/>
            <w:szCs w:val="21"/>
          </w:rPr>
          <w:t>wanglei_09243633@163.com</w:t>
        </w:r>
      </w:hyperlink>
      <w:r>
        <w:rPr>
          <w:rFonts w:hint="eastAsia"/>
          <w:sz w:val="21"/>
          <w:szCs w:val="21"/>
        </w:rPr>
        <w:t xml:space="preserve">; </w:t>
      </w:r>
      <w:r w:rsidRPr="00544AA9">
        <w:rPr>
          <w:sz w:val="21"/>
          <w:szCs w:val="21"/>
        </w:rPr>
        <w:t>drliupeng@sina.cn</w:t>
      </w:r>
    </w:p>
    <w:p w14:paraId="4287556D" w14:textId="77777777" w:rsidR="00AD484B" w:rsidRDefault="00AD484B">
      <w:pPr>
        <w:spacing w:line="360" w:lineRule="auto"/>
        <w:ind w:firstLineChars="0" w:firstLine="0"/>
        <w:rPr>
          <w:b/>
          <w:bCs/>
          <w:szCs w:val="24"/>
        </w:rPr>
      </w:pPr>
    </w:p>
    <w:p w14:paraId="5CE5112F" w14:textId="77777777" w:rsidR="00AD484B" w:rsidRDefault="00AD484B">
      <w:pPr>
        <w:spacing w:line="360" w:lineRule="auto"/>
        <w:ind w:firstLineChars="0" w:firstLine="0"/>
        <w:rPr>
          <w:b/>
          <w:bCs/>
          <w:szCs w:val="24"/>
        </w:rPr>
      </w:pPr>
    </w:p>
    <w:p w14:paraId="5AD12911" w14:textId="77777777" w:rsidR="00AD484B" w:rsidRDefault="00AD484B">
      <w:pPr>
        <w:spacing w:line="360" w:lineRule="auto"/>
        <w:ind w:firstLineChars="0" w:firstLine="0"/>
        <w:rPr>
          <w:b/>
          <w:bCs/>
          <w:szCs w:val="24"/>
        </w:rPr>
      </w:pPr>
    </w:p>
    <w:p w14:paraId="0AF1ACAD" w14:textId="77777777" w:rsidR="00AD484B" w:rsidRDefault="00AD484B">
      <w:pPr>
        <w:spacing w:line="360" w:lineRule="auto"/>
        <w:ind w:firstLineChars="0" w:firstLine="0"/>
        <w:rPr>
          <w:b/>
          <w:bCs/>
          <w:szCs w:val="24"/>
        </w:rPr>
      </w:pPr>
    </w:p>
    <w:p w14:paraId="747A22D7" w14:textId="77777777" w:rsidR="00AD484B" w:rsidRDefault="00AD484B">
      <w:pPr>
        <w:spacing w:line="360" w:lineRule="auto"/>
        <w:ind w:firstLineChars="0" w:firstLine="0"/>
        <w:rPr>
          <w:b/>
          <w:bCs/>
          <w:szCs w:val="24"/>
        </w:rPr>
      </w:pPr>
    </w:p>
    <w:p w14:paraId="50E0B347" w14:textId="77777777" w:rsidR="00851D1A" w:rsidRDefault="00851D1A">
      <w:pPr>
        <w:spacing w:line="360" w:lineRule="auto"/>
        <w:ind w:firstLineChars="0" w:firstLine="0"/>
        <w:rPr>
          <w:b/>
          <w:bCs/>
          <w:szCs w:val="24"/>
        </w:rPr>
      </w:pPr>
    </w:p>
    <w:p w14:paraId="0C978294" w14:textId="77777777" w:rsidR="00AD484B" w:rsidRDefault="00AD484B">
      <w:pPr>
        <w:spacing w:line="360" w:lineRule="auto"/>
        <w:ind w:firstLineChars="0" w:firstLine="0"/>
        <w:rPr>
          <w:b/>
          <w:bCs/>
          <w:szCs w:val="24"/>
        </w:rPr>
      </w:pPr>
    </w:p>
    <w:p w14:paraId="643693C1" w14:textId="7E217DBF" w:rsidR="00174538" w:rsidRPr="00045AE8" w:rsidRDefault="00174538" w:rsidP="00174538">
      <w:pPr>
        <w:spacing w:line="360" w:lineRule="auto"/>
        <w:ind w:firstLineChars="0" w:firstLine="0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 xml:space="preserve">2.4 </w:t>
      </w:r>
      <w:r w:rsidRPr="00174538">
        <w:rPr>
          <w:b/>
          <w:bCs/>
          <w:szCs w:val="24"/>
        </w:rPr>
        <w:t>Characterization of Ti</w:t>
      </w:r>
      <w:r w:rsidRPr="00174538">
        <w:rPr>
          <w:b/>
          <w:bCs/>
          <w:szCs w:val="24"/>
          <w:vertAlign w:val="subscript"/>
        </w:rPr>
        <w:t>3</w:t>
      </w:r>
      <w:r w:rsidRPr="00174538">
        <w:rPr>
          <w:b/>
          <w:bCs/>
          <w:szCs w:val="24"/>
        </w:rPr>
        <w:t>C</w:t>
      </w:r>
      <w:r w:rsidRPr="00174538">
        <w:rPr>
          <w:b/>
          <w:bCs/>
          <w:szCs w:val="24"/>
          <w:vertAlign w:val="subscript"/>
        </w:rPr>
        <w:t>2</w:t>
      </w:r>
      <w:r w:rsidRPr="00174538">
        <w:rPr>
          <w:b/>
          <w:bCs/>
          <w:szCs w:val="24"/>
        </w:rPr>
        <w:t xml:space="preserve"> and Ti</w:t>
      </w:r>
      <w:r w:rsidRPr="00174538">
        <w:rPr>
          <w:b/>
          <w:bCs/>
          <w:szCs w:val="24"/>
          <w:vertAlign w:val="subscript"/>
        </w:rPr>
        <w:t>3</w:t>
      </w:r>
      <w:r w:rsidRPr="00174538">
        <w:rPr>
          <w:b/>
          <w:bCs/>
          <w:szCs w:val="24"/>
        </w:rPr>
        <w:t>C</w:t>
      </w:r>
      <w:r w:rsidRPr="00174538">
        <w:rPr>
          <w:b/>
          <w:bCs/>
          <w:szCs w:val="24"/>
          <w:vertAlign w:val="subscript"/>
        </w:rPr>
        <w:t>2</w:t>
      </w:r>
      <w:r w:rsidRPr="00174538">
        <w:rPr>
          <w:b/>
          <w:bCs/>
          <w:szCs w:val="24"/>
        </w:rPr>
        <w:t>-Ag NPs nanocomposites</w:t>
      </w:r>
      <w:r>
        <w:rPr>
          <w:b/>
          <w:bCs/>
          <w:szCs w:val="24"/>
        </w:rPr>
        <w:t xml:space="preserve"> </w:t>
      </w:r>
    </w:p>
    <w:p w14:paraId="57917630" w14:textId="77777777" w:rsidR="00174538" w:rsidRDefault="00174538" w:rsidP="00174538">
      <w:pPr>
        <w:spacing w:line="360" w:lineRule="auto"/>
        <w:ind w:firstLineChars="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To measure their electrical conductivity, the</w:t>
      </w:r>
      <w:r>
        <w:rPr>
          <w:sz w:val="21"/>
          <w:szCs w:val="21"/>
        </w:rPr>
        <w:t xml:space="preserve"> Ti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C</w:t>
      </w:r>
      <w:r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 xml:space="preserve"> and </w:t>
      </w:r>
      <w:r>
        <w:rPr>
          <w:sz w:val="21"/>
          <w:szCs w:val="21"/>
        </w:rPr>
        <w:t>Ti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C</w:t>
      </w:r>
      <w:r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 xml:space="preserve">-Ag NPs suspensions were uniformly coated onto slides using a spin coater (Easycoater 4, Schwan technology, USA). The surface resistance and thickness of the conductive patterns created with </w:t>
      </w:r>
      <w:r>
        <w:rPr>
          <w:sz w:val="21"/>
          <w:szCs w:val="21"/>
        </w:rPr>
        <w:t>Ti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C</w:t>
      </w:r>
      <w:r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 xml:space="preserve"> and </w:t>
      </w:r>
      <w:r>
        <w:rPr>
          <w:sz w:val="21"/>
          <w:szCs w:val="21"/>
        </w:rPr>
        <w:t>Ti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C</w:t>
      </w:r>
      <w:r>
        <w:rPr>
          <w:sz w:val="21"/>
          <w:szCs w:val="21"/>
          <w:vertAlign w:val="subscript"/>
        </w:rPr>
        <w:t>2</w:t>
      </w:r>
      <w:r>
        <w:rPr>
          <w:rFonts w:hint="eastAsia"/>
          <w:sz w:val="21"/>
          <w:szCs w:val="21"/>
        </w:rPr>
        <w:t>-Ag NPs were determined using a four-point probe resistivity measurement system (RTS-9, Guangzhou, China) and a Surface Profiler (Dektak 150, Veeco, USA). The conductivity (</w:t>
      </w:r>
      <w:r>
        <w:rPr>
          <w:sz w:val="21"/>
          <w:szCs w:val="21"/>
        </w:rPr>
        <w:t>κ</w:t>
      </w:r>
      <w:r>
        <w:rPr>
          <w:rFonts w:hint="eastAsia"/>
          <w:sz w:val="21"/>
          <w:szCs w:val="21"/>
        </w:rPr>
        <w:t xml:space="preserve">) was calculated using the equation </w:t>
      </w:r>
      <w:r>
        <w:rPr>
          <w:sz w:val="21"/>
          <w:szCs w:val="21"/>
        </w:rPr>
        <w:t>κ</w:t>
      </w:r>
      <w:r>
        <w:rPr>
          <w:rFonts w:hint="eastAsia"/>
          <w:sz w:val="21"/>
          <w:szCs w:val="21"/>
        </w:rPr>
        <w:t>=1/(R</w:t>
      </w:r>
      <w:r>
        <w:rPr>
          <w:rFonts w:hint="eastAsia"/>
          <w:sz w:val="21"/>
          <w:szCs w:val="21"/>
        </w:rPr>
        <w:t>·</w:t>
      </w:r>
      <w:r>
        <w:rPr>
          <w:rFonts w:hint="eastAsia"/>
          <w:sz w:val="21"/>
          <w:szCs w:val="21"/>
        </w:rPr>
        <w:t>W), where R represents the square resistance (</w:t>
      </w:r>
      <w:r>
        <w:rPr>
          <w:sz w:val="21"/>
          <w:szCs w:val="21"/>
        </w:rPr>
        <w:t>Ώ</w:t>
      </w:r>
      <w:r>
        <w:rPr>
          <w:rFonts w:hint="eastAsia"/>
          <w:sz w:val="21"/>
          <w:szCs w:val="21"/>
        </w:rPr>
        <w:t>) and W represents the thickness of the films (cm).</w:t>
      </w:r>
    </w:p>
    <w:p w14:paraId="7414E1E9" w14:textId="5576AC00" w:rsidR="00045AE8" w:rsidRPr="00045AE8" w:rsidRDefault="00552963" w:rsidP="00045AE8">
      <w:pPr>
        <w:spacing w:line="360" w:lineRule="auto"/>
        <w:ind w:firstLineChars="0" w:firstLine="0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>2.5</w:t>
      </w:r>
      <w:r w:rsidR="00045AE8">
        <w:rPr>
          <w:rFonts w:hint="eastAsia"/>
          <w:b/>
          <w:bCs/>
          <w:szCs w:val="24"/>
        </w:rPr>
        <w:t xml:space="preserve"> </w:t>
      </w:r>
      <w:r w:rsidRPr="00552963">
        <w:rPr>
          <w:b/>
          <w:bCs/>
          <w:szCs w:val="24"/>
        </w:rPr>
        <w:t xml:space="preserve">Construction of the dual-channel label-free </w:t>
      </w:r>
      <w:bookmarkStart w:id="0" w:name="_Hlk199084749"/>
      <w:r w:rsidRPr="00552963">
        <w:rPr>
          <w:b/>
          <w:bCs/>
          <w:szCs w:val="24"/>
        </w:rPr>
        <w:t>EIs</w:t>
      </w:r>
      <w:bookmarkEnd w:id="0"/>
      <w:r w:rsidR="00045AE8">
        <w:rPr>
          <w:b/>
          <w:bCs/>
          <w:szCs w:val="24"/>
        </w:rPr>
        <w:t xml:space="preserve"> </w:t>
      </w:r>
    </w:p>
    <w:p w14:paraId="00883A46" w14:textId="32015E1E" w:rsidR="00045AE8" w:rsidRPr="00045AE8" w:rsidRDefault="00851D1A" w:rsidP="00851D1A">
      <w:pPr>
        <w:spacing w:line="360" w:lineRule="auto"/>
        <w:ind w:firstLineChars="0" w:firstLine="420"/>
        <w:rPr>
          <w:sz w:val="21"/>
          <w:szCs w:val="21"/>
        </w:rPr>
      </w:pPr>
      <w:r w:rsidRPr="00851D1A">
        <w:rPr>
          <w:sz w:val="21"/>
          <w:szCs w:val="21"/>
        </w:rPr>
        <w:t xml:space="preserve">The </w:t>
      </w:r>
      <w:r w:rsidR="00454503">
        <w:rPr>
          <w:rFonts w:hint="eastAsia"/>
          <w:sz w:val="21"/>
          <w:szCs w:val="21"/>
        </w:rPr>
        <w:t>f</w:t>
      </w:r>
      <w:r w:rsidR="00454503" w:rsidRPr="00454503">
        <w:rPr>
          <w:sz w:val="21"/>
          <w:szCs w:val="21"/>
        </w:rPr>
        <w:t xml:space="preserve">abrication </w:t>
      </w:r>
      <w:r w:rsidRPr="00851D1A">
        <w:rPr>
          <w:sz w:val="21"/>
          <w:szCs w:val="21"/>
        </w:rPr>
        <w:t xml:space="preserve">process of the EIs is shown in the </w:t>
      </w:r>
      <w:r>
        <w:rPr>
          <w:color w:val="0000FF"/>
          <w:sz w:val="21"/>
          <w:szCs w:val="21"/>
        </w:rPr>
        <w:t>Fig. S</w:t>
      </w:r>
      <w:r>
        <w:rPr>
          <w:rFonts w:hint="eastAsia"/>
          <w:color w:val="0000FF"/>
          <w:sz w:val="21"/>
          <w:szCs w:val="21"/>
        </w:rPr>
        <w:t>1.</w:t>
      </w:r>
      <w:r>
        <w:rPr>
          <w:rFonts w:hint="eastAsia"/>
          <w:sz w:val="21"/>
          <w:szCs w:val="21"/>
        </w:rPr>
        <w:t xml:space="preserve"> </w:t>
      </w:r>
      <w:r w:rsidR="00045AE8" w:rsidRPr="00045AE8">
        <w:rPr>
          <w:sz w:val="21"/>
          <w:szCs w:val="21"/>
        </w:rPr>
        <w:t xml:space="preserve">Initially, silver paste was screen-printed onto a PET film to serve as the reference electrode. Subsequently, carbon paste was screen-printed onto the silver layer to act as the working and auxiliary electrodes. Finally, insulating ink was screen-printed onto both the carbon paste layer and silver paste layer. Each layer was dried at </w:t>
      </w:r>
      <w:r w:rsidR="00045AE8" w:rsidRPr="00045AE8">
        <w:rPr>
          <w:sz w:val="21"/>
          <w:szCs w:val="21"/>
        </w:rPr>
        <w:lastRenderedPageBreak/>
        <w:t>120 ℃ for 60 min, 60 min, and 30 min, respectively. To enhance the adhesion between the electrode surfaces and the 3D printed mold, the insulating ink was mixed with PDMS in a 3:1 ratio.</w:t>
      </w:r>
    </w:p>
    <w:p w14:paraId="2863C5DE" w14:textId="2AB94094" w:rsidR="00045AE8" w:rsidRPr="00045AE8" w:rsidRDefault="00045AE8" w:rsidP="00F67418">
      <w:pPr>
        <w:spacing w:line="360" w:lineRule="auto"/>
        <w:ind w:firstLineChars="0" w:firstLine="420"/>
        <w:rPr>
          <w:sz w:val="21"/>
          <w:szCs w:val="21"/>
        </w:rPr>
      </w:pPr>
      <w:r w:rsidRPr="00045AE8">
        <w:rPr>
          <w:sz w:val="21"/>
          <w:szCs w:val="21"/>
        </w:rPr>
        <w:t>T</w:t>
      </w:r>
      <w:r w:rsidRPr="00045AE8">
        <w:rPr>
          <w:rFonts w:hint="eastAsia"/>
          <w:sz w:val="21"/>
          <w:szCs w:val="21"/>
        </w:rPr>
        <w:t xml:space="preserve">he </w:t>
      </w:r>
      <w:r w:rsidRPr="00045AE8">
        <w:rPr>
          <w:sz w:val="21"/>
          <w:szCs w:val="21"/>
        </w:rPr>
        <w:t>3</w:t>
      </w:r>
      <w:r w:rsidRPr="00045AE8">
        <w:rPr>
          <w:rFonts w:hint="eastAsia"/>
          <w:sz w:val="21"/>
          <w:szCs w:val="21"/>
        </w:rPr>
        <w:t>D</w:t>
      </w:r>
      <w:r w:rsidRPr="00045AE8">
        <w:rPr>
          <w:sz w:val="21"/>
          <w:szCs w:val="21"/>
        </w:rPr>
        <w:t xml:space="preserve"> printed mold</w:t>
      </w:r>
      <w:r w:rsidRPr="00045AE8">
        <w:rPr>
          <w:rFonts w:hint="eastAsia"/>
          <w:sz w:val="21"/>
          <w:szCs w:val="21"/>
        </w:rPr>
        <w:t xml:space="preserve"> was fabricated using SLA 3D printing technology. The design of </w:t>
      </w:r>
      <w:r w:rsidRPr="00045AE8">
        <w:rPr>
          <w:sz w:val="21"/>
          <w:szCs w:val="21"/>
        </w:rPr>
        <w:t>3</w:t>
      </w:r>
      <w:r w:rsidRPr="00045AE8">
        <w:rPr>
          <w:rFonts w:hint="eastAsia"/>
          <w:sz w:val="21"/>
          <w:szCs w:val="21"/>
        </w:rPr>
        <w:t>D</w:t>
      </w:r>
      <w:r w:rsidRPr="00045AE8">
        <w:rPr>
          <w:sz w:val="21"/>
          <w:szCs w:val="21"/>
        </w:rPr>
        <w:t xml:space="preserve"> printed mold</w:t>
      </w:r>
      <w:r w:rsidRPr="00045AE8">
        <w:rPr>
          <w:rFonts w:hint="eastAsia"/>
          <w:sz w:val="21"/>
          <w:szCs w:val="21"/>
        </w:rPr>
        <w:t xml:space="preserve"> was created using 3D max software, taking into consideration the shape and dimensions of the dual working electrodes. </w:t>
      </w:r>
      <w:r w:rsidRPr="00045AE8">
        <w:rPr>
          <w:sz w:val="21"/>
          <w:szCs w:val="21"/>
        </w:rPr>
        <w:t>3</w:t>
      </w:r>
      <w:r w:rsidRPr="00045AE8">
        <w:rPr>
          <w:rFonts w:hint="eastAsia"/>
          <w:sz w:val="21"/>
          <w:szCs w:val="21"/>
        </w:rPr>
        <w:t>D</w:t>
      </w:r>
      <w:r w:rsidRPr="00045AE8">
        <w:rPr>
          <w:sz w:val="21"/>
          <w:szCs w:val="21"/>
        </w:rPr>
        <w:t xml:space="preserve"> printed mold</w:t>
      </w:r>
      <w:r w:rsidRPr="00045AE8">
        <w:rPr>
          <w:rFonts w:hint="eastAsia"/>
          <w:sz w:val="21"/>
          <w:szCs w:val="21"/>
        </w:rPr>
        <w:t xml:space="preserve"> consists of a rectangular frame and two interconnected cylinders, securely held together by a cuboid at the base. Subsequently, the </w:t>
      </w:r>
      <w:r w:rsidRPr="00045AE8">
        <w:rPr>
          <w:sz w:val="21"/>
          <w:szCs w:val="21"/>
        </w:rPr>
        <w:t>3</w:t>
      </w:r>
      <w:r w:rsidRPr="00045AE8">
        <w:rPr>
          <w:rFonts w:hint="eastAsia"/>
          <w:sz w:val="21"/>
          <w:szCs w:val="21"/>
        </w:rPr>
        <w:t>D</w:t>
      </w:r>
      <w:r w:rsidRPr="00045AE8">
        <w:rPr>
          <w:sz w:val="21"/>
          <w:szCs w:val="21"/>
        </w:rPr>
        <w:t xml:space="preserve"> printed mold</w:t>
      </w:r>
      <w:r w:rsidRPr="00045AE8">
        <w:rPr>
          <w:rFonts w:hint="eastAsia"/>
          <w:sz w:val="21"/>
          <w:szCs w:val="21"/>
        </w:rPr>
        <w:t xml:space="preserve"> was carefully positioned onto the surface of the dual working electrodes, and PDMS was poured into the mold. The PDMS-filled mold was then dried at 120 </w:t>
      </w:r>
      <w:r w:rsidRPr="00045AE8">
        <w:rPr>
          <w:sz w:val="21"/>
          <w:szCs w:val="21"/>
        </w:rPr>
        <w:t>℃</w:t>
      </w:r>
      <w:r w:rsidRPr="00045AE8">
        <w:rPr>
          <w:rFonts w:hint="eastAsia"/>
          <w:sz w:val="21"/>
          <w:szCs w:val="21"/>
        </w:rPr>
        <w:t xml:space="preserve"> for 40 min. Finally, the </w:t>
      </w:r>
      <w:r w:rsidRPr="00045AE8">
        <w:rPr>
          <w:sz w:val="21"/>
          <w:szCs w:val="21"/>
        </w:rPr>
        <w:t>3</w:t>
      </w:r>
      <w:r w:rsidRPr="00045AE8">
        <w:rPr>
          <w:rFonts w:hint="eastAsia"/>
          <w:sz w:val="21"/>
          <w:szCs w:val="21"/>
        </w:rPr>
        <w:t>D</w:t>
      </w:r>
      <w:r w:rsidRPr="00045AE8">
        <w:rPr>
          <w:sz w:val="21"/>
          <w:szCs w:val="21"/>
        </w:rPr>
        <w:t xml:space="preserve"> printed mold</w:t>
      </w:r>
      <w:r w:rsidRPr="00045AE8">
        <w:rPr>
          <w:rFonts w:hint="eastAsia"/>
          <w:sz w:val="21"/>
          <w:szCs w:val="21"/>
        </w:rPr>
        <w:t xml:space="preserve"> was gently removed, resulting in the successful formation of the liquid tank for the dual working electrodes.</w:t>
      </w:r>
      <w:r w:rsidR="00F67418">
        <w:rPr>
          <w:rFonts w:hint="eastAsia"/>
          <w:sz w:val="21"/>
          <w:szCs w:val="21"/>
        </w:rPr>
        <w:t xml:space="preserve"> </w:t>
      </w:r>
      <w:r w:rsidRPr="00045AE8">
        <w:rPr>
          <w:sz w:val="21"/>
          <w:szCs w:val="21"/>
        </w:rPr>
        <w:t>Subsequently</w:t>
      </w:r>
      <w:r w:rsidRPr="00045AE8">
        <w:rPr>
          <w:rFonts w:hint="eastAsia"/>
          <w:sz w:val="21"/>
          <w:szCs w:val="21"/>
        </w:rPr>
        <w:t xml:space="preserve">, </w:t>
      </w:r>
      <w:r w:rsidRPr="00045AE8">
        <w:rPr>
          <w:sz w:val="21"/>
          <w:szCs w:val="21"/>
        </w:rPr>
        <w:t>Ti</w:t>
      </w:r>
      <w:r w:rsidRPr="00045AE8">
        <w:rPr>
          <w:sz w:val="21"/>
          <w:szCs w:val="21"/>
          <w:vertAlign w:val="subscript"/>
        </w:rPr>
        <w:t>3</w:t>
      </w:r>
      <w:r w:rsidRPr="00045AE8">
        <w:rPr>
          <w:sz w:val="21"/>
          <w:szCs w:val="21"/>
        </w:rPr>
        <w:t>C</w:t>
      </w:r>
      <w:r w:rsidRPr="00045AE8">
        <w:rPr>
          <w:sz w:val="21"/>
          <w:szCs w:val="21"/>
          <w:vertAlign w:val="subscript"/>
        </w:rPr>
        <w:t>2</w:t>
      </w:r>
      <w:r w:rsidRPr="00045AE8">
        <w:rPr>
          <w:rFonts w:hint="eastAsia"/>
          <w:sz w:val="21"/>
          <w:szCs w:val="21"/>
        </w:rPr>
        <w:t>-Ag NPs nanocomposites</w:t>
      </w:r>
      <w:r w:rsidRPr="00045AE8">
        <w:rPr>
          <w:sz w:val="21"/>
          <w:szCs w:val="21"/>
        </w:rPr>
        <w:t xml:space="preserve"> </w:t>
      </w:r>
      <w:r w:rsidRPr="00045AE8">
        <w:rPr>
          <w:color w:val="000000"/>
          <w:sz w:val="21"/>
          <w:szCs w:val="21"/>
        </w:rPr>
        <w:t>(3</w:t>
      </w:r>
      <w:r w:rsidRPr="00045AE8">
        <w:rPr>
          <w:sz w:val="21"/>
          <w:szCs w:val="21"/>
        </w:rPr>
        <w:t xml:space="preserve"> µL, 150 µg</w:t>
      </w:r>
      <w:r w:rsidRPr="00045AE8">
        <w:rPr>
          <w:color w:val="000000"/>
          <w:sz w:val="21"/>
          <w:szCs w:val="21"/>
        </w:rPr>
        <w:t>·</w:t>
      </w:r>
      <w:r w:rsidRPr="00045AE8">
        <w:rPr>
          <w:sz w:val="21"/>
          <w:szCs w:val="21"/>
        </w:rPr>
        <w:t>mL</w:t>
      </w:r>
      <w:r w:rsidRPr="00045AE8">
        <w:rPr>
          <w:sz w:val="21"/>
          <w:szCs w:val="21"/>
          <w:vertAlign w:val="superscript"/>
        </w:rPr>
        <w:t>-1</w:t>
      </w:r>
      <w:r w:rsidRPr="00045AE8">
        <w:rPr>
          <w:color w:val="000000"/>
          <w:sz w:val="21"/>
          <w:szCs w:val="21"/>
        </w:rPr>
        <w:t>)</w:t>
      </w:r>
      <w:r w:rsidRPr="00045AE8">
        <w:rPr>
          <w:color w:val="FF0000"/>
          <w:sz w:val="21"/>
          <w:szCs w:val="21"/>
        </w:rPr>
        <w:t xml:space="preserve"> </w:t>
      </w:r>
      <w:r w:rsidRPr="00045AE8">
        <w:rPr>
          <w:rFonts w:hint="eastAsia"/>
          <w:sz w:val="21"/>
          <w:szCs w:val="21"/>
        </w:rPr>
        <w:t>were injected into the dual tanks through an "inlet" and incubated for 3 hours. Excess nanocomposites were then drained through an "outlet" and the tanks were washed with PBS (0.01 M) using microfluidic technology. Next, Anti-PSA and Anti-PSMA solutions (1:1,000, v/v) were injected into the A</w:t>
      </w:r>
      <w:r w:rsidRPr="00045AE8">
        <w:rPr>
          <w:sz w:val="21"/>
          <w:szCs w:val="21"/>
        </w:rPr>
        <w:t>nti-PSA(a)</w:t>
      </w:r>
      <w:r w:rsidRPr="00045AE8">
        <w:rPr>
          <w:rFonts w:hint="eastAsia"/>
          <w:sz w:val="21"/>
          <w:szCs w:val="21"/>
        </w:rPr>
        <w:t xml:space="preserve"> and </w:t>
      </w:r>
      <w:r w:rsidRPr="00045AE8">
        <w:rPr>
          <w:sz w:val="21"/>
          <w:szCs w:val="21"/>
        </w:rPr>
        <w:t>Anti-PSMA(b)</w:t>
      </w:r>
      <w:r w:rsidRPr="00045AE8">
        <w:rPr>
          <w:rFonts w:hint="eastAsia"/>
          <w:sz w:val="21"/>
          <w:szCs w:val="21"/>
        </w:rPr>
        <w:t xml:space="preserve"> tanks, respectively. The working electrode surfaces were allowed to naturally dry for 3 hours and then washed with PBS (0.01 M).</w:t>
      </w:r>
      <w:r w:rsidRPr="00045AE8">
        <w:rPr>
          <w:sz w:val="21"/>
          <w:szCs w:val="21"/>
        </w:rPr>
        <w:t xml:space="preserve"> Finally, </w:t>
      </w:r>
      <w:r w:rsidRPr="00045AE8">
        <w:rPr>
          <w:rFonts w:hint="eastAsia"/>
          <w:sz w:val="21"/>
          <w:szCs w:val="21"/>
        </w:rPr>
        <w:t xml:space="preserve">BSA (1 %) was added to the dual liquid tanks and incubated for 3 hours to eliminate nonspecific binding between PSA (or PSMA) and the electrode surface. The tanks were then washed with PBS (0.01 M) and left to dry for 3 hours. </w:t>
      </w:r>
      <w:r w:rsidRPr="00045AE8">
        <w:rPr>
          <w:sz w:val="21"/>
          <w:szCs w:val="21"/>
        </w:rPr>
        <w:t>T</w:t>
      </w:r>
      <w:r w:rsidRPr="00045AE8">
        <w:rPr>
          <w:rFonts w:hint="eastAsia"/>
          <w:sz w:val="21"/>
          <w:szCs w:val="21"/>
        </w:rPr>
        <w:t xml:space="preserve">he fabricated dual-channel label-free EIs were stored in a refrigerator at 4 </w:t>
      </w:r>
      <w:r w:rsidRPr="00045AE8">
        <w:rPr>
          <w:sz w:val="21"/>
          <w:szCs w:val="21"/>
        </w:rPr>
        <w:t>℃</w:t>
      </w:r>
      <w:r w:rsidRPr="00045AE8">
        <w:rPr>
          <w:rFonts w:hint="eastAsia"/>
          <w:sz w:val="21"/>
          <w:szCs w:val="21"/>
        </w:rPr>
        <w:t xml:space="preserve"> overnight.</w:t>
      </w:r>
    </w:p>
    <w:p w14:paraId="208C96C0" w14:textId="2E1A1D5A" w:rsidR="00045AE8" w:rsidRDefault="00260592">
      <w:pPr>
        <w:spacing w:line="360" w:lineRule="auto"/>
        <w:ind w:firstLineChars="0" w:firstLine="0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3AE4BE7E" wp14:editId="3BD4010E">
            <wp:extent cx="5274310" cy="4051300"/>
            <wp:effectExtent l="0" t="0" r="2540" b="6350"/>
            <wp:docPr id="158753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53802" name="图片 15875380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719E9" w14:textId="20AE55E4" w:rsidR="00045AE8" w:rsidRDefault="00045AE8" w:rsidP="00045AE8">
      <w:pPr>
        <w:spacing w:line="360" w:lineRule="auto"/>
        <w:ind w:firstLineChars="0" w:firstLine="0"/>
        <w:rPr>
          <w:sz w:val="21"/>
          <w:szCs w:val="21"/>
        </w:rPr>
      </w:pPr>
      <w:r>
        <w:rPr>
          <w:b/>
          <w:bCs/>
          <w:sz w:val="21"/>
          <w:szCs w:val="21"/>
        </w:rPr>
        <w:lastRenderedPageBreak/>
        <w:t>Fig. S1</w:t>
      </w:r>
      <w:r>
        <w:rPr>
          <w:sz w:val="21"/>
          <w:szCs w:val="21"/>
        </w:rPr>
        <w:t xml:space="preserve"> </w:t>
      </w:r>
      <w:r w:rsidR="00260592">
        <w:rPr>
          <w:rFonts w:hint="eastAsia"/>
          <w:sz w:val="21"/>
          <w:szCs w:val="21"/>
        </w:rPr>
        <w:t>F</w:t>
      </w:r>
      <w:r w:rsidRPr="00045AE8">
        <w:rPr>
          <w:sz w:val="21"/>
          <w:szCs w:val="21"/>
        </w:rPr>
        <w:t>abrication procedure of the</w:t>
      </w:r>
      <w:r w:rsidR="00260592">
        <w:rPr>
          <w:rFonts w:hint="eastAsia"/>
          <w:sz w:val="21"/>
          <w:szCs w:val="21"/>
        </w:rPr>
        <w:t xml:space="preserve"> SPEs (A) and the</w:t>
      </w:r>
      <w:r w:rsidRPr="00045AE8">
        <w:rPr>
          <w:sz w:val="21"/>
          <w:szCs w:val="21"/>
        </w:rPr>
        <w:t xml:space="preserve"> dual-channel label-free EIs for simultaneous detection of PSA and PSMA</w:t>
      </w:r>
      <w:r w:rsidR="00260592">
        <w:rPr>
          <w:rFonts w:hint="eastAsia"/>
          <w:sz w:val="21"/>
          <w:szCs w:val="21"/>
        </w:rPr>
        <w:t xml:space="preserve"> (B)</w:t>
      </w:r>
      <w:r>
        <w:rPr>
          <w:sz w:val="21"/>
          <w:szCs w:val="21"/>
        </w:rPr>
        <w:t xml:space="preserve">  </w:t>
      </w:r>
    </w:p>
    <w:p w14:paraId="49F34322" w14:textId="77777777" w:rsidR="00954A2F" w:rsidRDefault="00954A2F" w:rsidP="00954A2F">
      <w:pPr>
        <w:spacing w:line="360" w:lineRule="auto"/>
        <w:ind w:firstLineChars="0" w:firstLine="0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 xml:space="preserve">2.7 </w:t>
      </w:r>
      <w:r w:rsidRPr="00954A2F">
        <w:rPr>
          <w:b/>
          <w:bCs/>
          <w:szCs w:val="24"/>
        </w:rPr>
        <w:t xml:space="preserve">Detection of PSA and PSMA in clinical samples </w:t>
      </w:r>
    </w:p>
    <w:p w14:paraId="6609DABA" w14:textId="6A2FD938" w:rsidR="00954A2F" w:rsidRPr="002F7E21" w:rsidRDefault="00954A2F" w:rsidP="00954A2F">
      <w:pPr>
        <w:spacing w:line="360" w:lineRule="auto"/>
        <w:ind w:firstLine="420"/>
        <w:rPr>
          <w:color w:val="FF0000"/>
          <w:sz w:val="21"/>
          <w:szCs w:val="21"/>
        </w:rPr>
      </w:pPr>
      <w:r w:rsidRPr="00411DB3">
        <w:rPr>
          <w:sz w:val="21"/>
          <w:szCs w:val="21"/>
        </w:rPr>
        <w:t>Peripheral venous blood was collected from male participants (1 healthy donor, 3 biopsy-confirmed prostate cancer patients) under institutional ethics approval. Whole blood samples were centrifuged at 4000 rpm for 10 min to isolate serum, with aliquots stored at 4°C prior to analysis.</w:t>
      </w:r>
      <w:r>
        <w:rPr>
          <w:rFonts w:hint="eastAsia"/>
          <w:sz w:val="21"/>
          <w:szCs w:val="21"/>
        </w:rPr>
        <w:t xml:space="preserve"> </w:t>
      </w:r>
      <w:r w:rsidRPr="00411DB3">
        <w:rPr>
          <w:sz w:val="21"/>
          <w:szCs w:val="21"/>
        </w:rPr>
        <w:t>For electrochemical measurements, 3 µL of 1:10 PBS-diluted serum was applied to antigen-specific working electrodes.</w:t>
      </w:r>
      <w:r>
        <w:rPr>
          <w:rFonts w:hint="eastAsia"/>
          <w:sz w:val="21"/>
          <w:szCs w:val="21"/>
        </w:rPr>
        <w:t xml:space="preserve"> </w:t>
      </w:r>
      <w:r w:rsidRPr="00411DB3">
        <w:rPr>
          <w:sz w:val="21"/>
          <w:szCs w:val="21"/>
        </w:rPr>
        <w:t>The dilution factor (1:10) was optimized to minimize matrix interference without compromising detection sensitivity. Following a 30-min incubation at 37°C to facilitate antibody-antigen binding, unbound components were removed via three PBS wash cycles</w:t>
      </w:r>
      <w:r>
        <w:rPr>
          <w:rFonts w:hint="eastAsia"/>
          <w:sz w:val="21"/>
          <w:szCs w:val="21"/>
        </w:rPr>
        <w:t>.</w:t>
      </w:r>
      <w:r w:rsidRPr="0005798C">
        <w:t xml:space="preserve"> </w:t>
      </w:r>
      <w:r w:rsidRPr="00596CF3">
        <w:rPr>
          <w:sz w:val="21"/>
          <w:szCs w:val="20"/>
        </w:rPr>
        <w:t>Finally, CV was performed using an electrochemical workstation with the conventional three electrode configuration and scanning parameters mentioned a</w:t>
      </w:r>
      <w:r w:rsidRPr="000463CF">
        <w:rPr>
          <w:sz w:val="21"/>
          <w:szCs w:val="20"/>
        </w:rPr>
        <w:t>bove.</w:t>
      </w:r>
      <w:r w:rsidRPr="000463CF">
        <w:rPr>
          <w:rFonts w:hint="eastAsia"/>
          <w:sz w:val="21"/>
          <w:szCs w:val="20"/>
        </w:rPr>
        <w:t xml:space="preserve"> </w:t>
      </w:r>
      <w:r w:rsidRPr="000463CF">
        <w:rPr>
          <w:sz w:val="21"/>
          <w:szCs w:val="21"/>
        </w:rPr>
        <w:t>This standardized protocol ensured reproducible quantification. Crucially, the dual-channel design enabled simultaneous PSA/PSMA analysis under identical experimental conditions, eliminating inter-assay variability inherent to sequential single-analyte approaches.</w:t>
      </w:r>
    </w:p>
    <w:p w14:paraId="2B790D9B" w14:textId="0DC02D0A" w:rsidR="00AD484B" w:rsidRDefault="00000000">
      <w:pPr>
        <w:spacing w:line="360" w:lineRule="auto"/>
        <w:ind w:firstLineChars="0" w:firstLine="0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 xml:space="preserve">3.1 </w:t>
      </w:r>
      <w:r>
        <w:rPr>
          <w:b/>
          <w:bCs/>
          <w:szCs w:val="24"/>
        </w:rPr>
        <w:t>Characterization of Ti</w:t>
      </w:r>
      <w:r>
        <w:rPr>
          <w:b/>
          <w:bCs/>
          <w:szCs w:val="24"/>
          <w:vertAlign w:val="subscript"/>
        </w:rPr>
        <w:t>3</w:t>
      </w:r>
      <w:r>
        <w:rPr>
          <w:b/>
          <w:bCs/>
          <w:szCs w:val="24"/>
        </w:rPr>
        <w:t>C</w:t>
      </w:r>
      <w:r>
        <w:rPr>
          <w:b/>
          <w:bCs/>
          <w:szCs w:val="24"/>
          <w:vertAlign w:val="subscript"/>
        </w:rPr>
        <w:t>2</w:t>
      </w:r>
      <w:r>
        <w:rPr>
          <w:b/>
          <w:bCs/>
          <w:szCs w:val="24"/>
        </w:rPr>
        <w:t xml:space="preserve"> nanosheets </w:t>
      </w:r>
    </w:p>
    <w:p w14:paraId="5E0BC2BB" w14:textId="1D9C6933" w:rsidR="00AD484B" w:rsidRDefault="00000000">
      <w:pPr>
        <w:spacing w:line="360" w:lineRule="auto"/>
        <w:ind w:firstLineChars="0" w:firstLine="420"/>
        <w:rPr>
          <w:color w:val="FF0000"/>
        </w:rPr>
      </w:pPr>
      <w:r>
        <w:rPr>
          <w:sz w:val="21"/>
          <w:szCs w:val="21"/>
        </w:rPr>
        <w:t>The UV-vis spectrum of the synthesized Ti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 xml:space="preserve"> nanosheets (</w:t>
      </w:r>
      <w:r>
        <w:rPr>
          <w:color w:val="0000FF"/>
          <w:sz w:val="21"/>
          <w:szCs w:val="21"/>
        </w:rPr>
        <w:t>Fig. S</w:t>
      </w:r>
      <w:r w:rsidR="00867366">
        <w:rPr>
          <w:rFonts w:hint="eastAsia"/>
          <w:color w:val="0000FF"/>
          <w:sz w:val="21"/>
          <w:szCs w:val="21"/>
        </w:rPr>
        <w:t>2</w:t>
      </w:r>
      <w:r>
        <w:rPr>
          <w:sz w:val="21"/>
          <w:szCs w:val="21"/>
        </w:rPr>
        <w:t>A) exhibited characteristic absorption bands at 256 nm and a broad absorption range of 700-800 nm, which are indicative of the bandgap energy of Ti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 xml:space="preserve"> nanosheets </w:t>
      </w:r>
      <w:r>
        <w:rPr>
          <w:color w:val="0070C0"/>
          <w:sz w:val="21"/>
          <w:szCs w:val="21"/>
        </w:rPr>
        <w:fldChar w:fldCharType="begin"/>
      </w:r>
      <w:r>
        <w:rPr>
          <w:color w:val="0070C0"/>
          <w:sz w:val="21"/>
          <w:szCs w:val="21"/>
        </w:rPr>
        <w:instrText xml:space="preserve"> ADDIN EN.CITE &lt;EndNote&gt;&lt;Cite&gt;&lt;Author&gt;Chen&lt;/Author&gt;&lt;Year&gt;2020&lt;/Year&gt;&lt;RecNum&gt;138&lt;/RecNum&gt;&lt;DisplayText&gt;(Chen et al., 2020)&lt;/DisplayText&gt;&lt;record&gt;&lt;rec-number&gt;138&lt;/rec-number&gt;&lt;foreign-keys&gt;&lt;key app="EN" db-id="09dwzed2meev5aetrapxs0sp0zer95pdx9fd" timestamp="1686203972"&gt;138&lt;/key&gt;&lt;/foreign-keys&gt;&lt;ref-type name="Journal Article"&gt;17&lt;/ref-type&gt;&lt;contributors&gt;&lt;authors&gt;&lt;author&gt;Chen, Wei&lt;/author&gt;&lt;author&gt;Kong, Shu&lt;/author&gt;&lt;author&gt;Chen, Fangming&lt;/author&gt;&lt;author&gt;Cai, Wen&lt;/author&gt;&lt;author&gt;Wang, Jian&lt;/author&gt;&lt;author&gt;Du, Liping&lt;/author&gt;&lt;author&gt;Huang, Yang&lt;/author&gt;&lt;author&gt;Wu, Chunsheng&lt;/author&gt;&lt;/authors&gt;&lt;/contributors&gt;&lt;titles&gt;&lt;title&gt;Delaminated Ti3C2Tx flake as an effective UV-protective material for living cells&lt;/title&gt;&lt;secondary-title&gt;Materials Letters&lt;/secondary-title&gt;&lt;/titles&gt;&lt;pages&gt;126972&lt;/pages&gt;&lt;volume&gt;260&lt;/volume&gt;&lt;keywords&gt;&lt;keyword&gt;Functional&lt;/keyword&gt;&lt;keyword&gt;Surface&lt;/keyword&gt;&lt;keyword&gt;Biomaterials&lt;/keyword&gt;&lt;keyword&gt;UV-Protection&lt;/keyword&gt;&lt;keyword&gt;MXene&lt;/keyword&gt;&lt;/keywords&gt;&lt;dates&gt;&lt;year&gt;2020&lt;/year&gt;&lt;pub-dates&gt;&lt;date&gt;2020/02/01/&lt;/date&gt;&lt;/pub-dates&gt;&lt;/dates&gt;&lt;isbn&gt;0167-577X&lt;/isbn&gt;&lt;urls&gt;&lt;related-urls&gt;&lt;url&gt;https://www.sciencedirect.com/science/article/pii/S0167577X19316040&lt;/url&gt;&lt;/related-urls&gt;&lt;/urls&gt;&lt;electronic-resource-num&gt;https://doi.org/10.1016/j.matlet.2019.126972&lt;/electronic-resource-num&gt;&lt;/record&gt;&lt;/Cite&gt;&lt;/EndNote&gt;</w:instrText>
      </w:r>
      <w:r>
        <w:rPr>
          <w:color w:val="0070C0"/>
          <w:sz w:val="21"/>
          <w:szCs w:val="21"/>
        </w:rPr>
        <w:fldChar w:fldCharType="separate"/>
      </w:r>
      <w:r>
        <w:rPr>
          <w:color w:val="0070C0"/>
          <w:sz w:val="21"/>
          <w:szCs w:val="21"/>
        </w:rPr>
        <w:t>(</w:t>
      </w:r>
      <w:hyperlink w:anchor="_ENREF_7" w:tooltip="Chen, 2020 #138" w:history="1">
        <w:r w:rsidR="00AD484B">
          <w:rPr>
            <w:color w:val="0070C0"/>
            <w:sz w:val="21"/>
            <w:szCs w:val="21"/>
          </w:rPr>
          <w:t>Chen et al., 2020</w:t>
        </w:r>
      </w:hyperlink>
      <w:r>
        <w:rPr>
          <w:color w:val="0070C0"/>
          <w:sz w:val="21"/>
          <w:szCs w:val="21"/>
        </w:rPr>
        <w:t>)</w:t>
      </w:r>
      <w:r>
        <w:rPr>
          <w:color w:val="0070C0"/>
          <w:sz w:val="21"/>
          <w:szCs w:val="21"/>
        </w:rPr>
        <w:fldChar w:fldCharType="end"/>
      </w:r>
      <w:r>
        <w:rPr>
          <w:sz w:val="21"/>
          <w:szCs w:val="21"/>
        </w:rPr>
        <w:t xml:space="preserve">. In </w:t>
      </w:r>
      <w:r>
        <w:rPr>
          <w:color w:val="0000FF"/>
          <w:sz w:val="21"/>
          <w:szCs w:val="21"/>
        </w:rPr>
        <w:t>Fig. S</w:t>
      </w:r>
      <w:r w:rsidR="00867366">
        <w:rPr>
          <w:rFonts w:hint="eastAsia"/>
          <w:color w:val="0000FF"/>
          <w:sz w:val="21"/>
          <w:szCs w:val="21"/>
        </w:rPr>
        <w:t>2</w:t>
      </w:r>
      <w:r>
        <w:rPr>
          <w:sz w:val="21"/>
          <w:szCs w:val="21"/>
        </w:rPr>
        <w:t>B, the synthesized Ti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 xml:space="preserve"> showed a prominent peak at 3480 cm</w:t>
      </w:r>
      <w:r>
        <w:rPr>
          <w:sz w:val="21"/>
          <w:szCs w:val="21"/>
          <w:vertAlign w:val="superscript"/>
        </w:rPr>
        <w:t>-1</w:t>
      </w:r>
      <w:r>
        <w:rPr>
          <w:sz w:val="21"/>
          <w:szCs w:val="21"/>
        </w:rPr>
        <w:t>, indicating the presence of abundant hydroxyl groups on the surface of the Ti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 xml:space="preserve"> nanosheets. The XRD pattern of the Ti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AlC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 xml:space="preserve"> and synthesized Ti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 xml:space="preserve"> is shown in </w:t>
      </w:r>
      <w:r>
        <w:rPr>
          <w:color w:val="0000FF"/>
          <w:sz w:val="21"/>
          <w:szCs w:val="21"/>
        </w:rPr>
        <w:t>Fig. S</w:t>
      </w:r>
      <w:r w:rsidR="00867366">
        <w:rPr>
          <w:rFonts w:hint="eastAsia"/>
          <w:color w:val="0000FF"/>
          <w:sz w:val="21"/>
          <w:szCs w:val="21"/>
        </w:rPr>
        <w:t>2</w:t>
      </w:r>
      <w:r>
        <w:rPr>
          <w:sz w:val="21"/>
          <w:szCs w:val="21"/>
        </w:rPr>
        <w:t>C. The XRD pattern of the Ti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AlC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 xml:space="preserve"> sample matched well with the reported Ti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AlC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 xml:space="preserve"> (PDF No. 52-0875). Importantly, after exfoliation, the XRD peaks for Ti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 xml:space="preserve"> exhibited broadening and a significant loss of crystallinity due to the removal of "Al". The (104) peak of Ti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 xml:space="preserve"> disappeared and the (002) peak shifted from 9.6° to 5.9°, indicating the occurrence of delamination processes and the successful conversion of Ti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AlC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 xml:space="preserve"> into Ti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 xml:space="preserve"> </w:t>
      </w:r>
      <w:r>
        <w:rPr>
          <w:color w:val="0070C0"/>
          <w:sz w:val="21"/>
          <w:szCs w:val="21"/>
        </w:rPr>
        <w:fldChar w:fldCharType="begin">
          <w:fldData xml:space="preserve">PEVuZE5vdGU+PENpdGU+PEF1dGhvcj5EaW5nPC9BdXRob3I+PFllYXI+MjAxNzwvWWVhcj48UmVj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</w:fldData>
        </w:fldChar>
      </w:r>
      <w:r>
        <w:rPr>
          <w:color w:val="0070C0"/>
          <w:sz w:val="21"/>
          <w:szCs w:val="21"/>
        </w:rPr>
        <w:instrText xml:space="preserve"> ADDIN EN.CITE </w:instrText>
      </w:r>
      <w:r>
        <w:rPr>
          <w:color w:val="0070C0"/>
          <w:sz w:val="21"/>
          <w:szCs w:val="21"/>
        </w:rPr>
        <w:fldChar w:fldCharType="begin">
          <w:fldData xml:space="preserve">PEVuZE5vdGU+PENpdGU+PEF1dGhvcj5EaW5nPC9BdXRob3I+PFllYXI+MjAxNzwvWWVhcj48UmVj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</w:fldData>
        </w:fldChar>
      </w:r>
      <w:r>
        <w:rPr>
          <w:color w:val="0070C0"/>
          <w:sz w:val="21"/>
          <w:szCs w:val="21"/>
        </w:rPr>
        <w:instrText xml:space="preserve"> ADDIN EN.CITE.DATA </w:instrText>
      </w:r>
      <w:r>
        <w:rPr>
          <w:color w:val="0070C0"/>
          <w:sz w:val="21"/>
          <w:szCs w:val="21"/>
        </w:rPr>
      </w:r>
      <w:r>
        <w:rPr>
          <w:color w:val="0070C0"/>
          <w:sz w:val="21"/>
          <w:szCs w:val="21"/>
        </w:rPr>
        <w:fldChar w:fldCharType="end"/>
      </w:r>
      <w:r>
        <w:rPr>
          <w:color w:val="0070C0"/>
          <w:sz w:val="21"/>
          <w:szCs w:val="21"/>
        </w:rPr>
      </w:r>
      <w:r>
        <w:rPr>
          <w:color w:val="0070C0"/>
          <w:sz w:val="21"/>
          <w:szCs w:val="21"/>
        </w:rPr>
        <w:fldChar w:fldCharType="separate"/>
      </w:r>
      <w:r>
        <w:rPr>
          <w:color w:val="0070C0"/>
          <w:sz w:val="21"/>
          <w:szCs w:val="21"/>
        </w:rPr>
        <w:t>(</w:t>
      </w:r>
      <w:hyperlink w:anchor="_ENREF_9" w:tooltip="Ding, 2017 #140" w:history="1">
        <w:r w:rsidR="00AD484B">
          <w:rPr>
            <w:color w:val="0070C0"/>
            <w:sz w:val="21"/>
            <w:szCs w:val="21"/>
          </w:rPr>
          <w:t>Ding et al., 2017</w:t>
        </w:r>
      </w:hyperlink>
      <w:r>
        <w:rPr>
          <w:color w:val="0070C0"/>
          <w:sz w:val="21"/>
          <w:szCs w:val="21"/>
        </w:rPr>
        <w:t xml:space="preserve">; </w:t>
      </w:r>
      <w:hyperlink w:anchor="_ENREF_38" w:tooltip="Pandey, 2018 #139" w:history="1">
        <w:r w:rsidR="00AD484B">
          <w:rPr>
            <w:color w:val="0070C0"/>
            <w:sz w:val="21"/>
            <w:szCs w:val="21"/>
          </w:rPr>
          <w:t>Pandey et al., 2018</w:t>
        </w:r>
      </w:hyperlink>
      <w:r>
        <w:rPr>
          <w:color w:val="0070C0"/>
          <w:sz w:val="21"/>
          <w:szCs w:val="21"/>
        </w:rPr>
        <w:t>)</w:t>
      </w:r>
      <w:r>
        <w:rPr>
          <w:color w:val="0070C0"/>
          <w:sz w:val="21"/>
          <w:szCs w:val="21"/>
        </w:rPr>
        <w:fldChar w:fldCharType="end"/>
      </w:r>
      <w:r>
        <w:rPr>
          <w:sz w:val="21"/>
          <w:szCs w:val="21"/>
        </w:rPr>
        <w:t>. The Raman spectrum of the Ti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AlC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 xml:space="preserve"> and synthesized Ti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 xml:space="preserve"> is presented in </w:t>
      </w:r>
      <w:r>
        <w:rPr>
          <w:color w:val="0000FF"/>
          <w:sz w:val="21"/>
          <w:szCs w:val="21"/>
        </w:rPr>
        <w:t>Fig. S</w:t>
      </w:r>
      <w:r w:rsidR="00867366">
        <w:rPr>
          <w:rFonts w:hint="eastAsia"/>
          <w:color w:val="0000FF"/>
          <w:sz w:val="21"/>
          <w:szCs w:val="21"/>
        </w:rPr>
        <w:t>2</w:t>
      </w:r>
      <w:r>
        <w:rPr>
          <w:sz w:val="21"/>
          <w:szCs w:val="21"/>
        </w:rPr>
        <w:t>D. The I-III peaks correspond to the vibration peaks of Ti-Al, while the IV-VI peaks correspond to the vibration peaks of Ti-C. Compared to Ti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AlC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, the I-III peaks of Ti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 xml:space="preserve"> were almost absent, and only three distinct IV-VI peaks were observed, indicating the selective etching of "Al" and the presence of functional groups such as =O, -OH, and -F. This observation is consistent with the Raman peaks reported for Ti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 xml:space="preserve"> in the literature</w:t>
      </w:r>
      <w:r>
        <w:rPr>
          <w:sz w:val="21"/>
          <w:szCs w:val="21"/>
          <w:vertAlign w:val="subscript"/>
        </w:rPr>
        <w:t xml:space="preserve"> </w:t>
      </w:r>
      <w:r>
        <w:rPr>
          <w:color w:val="0070C0"/>
          <w:sz w:val="21"/>
          <w:szCs w:val="21"/>
        </w:rPr>
        <w:fldChar w:fldCharType="begin"/>
      </w:r>
      <w:r>
        <w:rPr>
          <w:color w:val="0070C0"/>
          <w:sz w:val="21"/>
          <w:szCs w:val="21"/>
        </w:rPr>
        <w:instrText xml:space="preserve"> ADDIN EN.CITE &lt;EndNote&gt;&lt;Cite&gt;&lt;Author&gt;Zhao&lt;/Author&gt;&lt;Year&gt;2021&lt;/Year&gt;&lt;RecNum&gt;142&lt;/RecNum&gt;&lt;DisplayText&gt;(Zhao et al., 2021)&lt;/DisplayText&gt;&lt;record&gt;&lt;rec-number&gt;142&lt;/rec-number&gt;&lt;foreign-keys&gt;&lt;key app="EN" db-id="09dwzed2meev5aetrapxs0sp0zer95pdx9fd" timestamp="1686204537"&gt;142&lt;/key&gt;&lt;/foreign-keys&gt;&lt;ref-type name="Journal Article"&gt;17&lt;/ref-type&gt;&lt;contributors&gt;&lt;authors&gt;&lt;author&gt;Zhao, Nana&lt;/author&gt;&lt;author&gt;Zhang, Fengchu&lt;/author&gt;&lt;author&gt;Zhan, Fei&lt;/author&gt;&lt;author&gt;Yi, Ding&lt;/author&gt;&lt;author&gt;Yang, Yijun&lt;/author&gt;&lt;author&gt;Cui, Weibin&lt;/author&gt;&lt;author&gt;Wang, Xi&lt;/author&gt;&lt;/authors&gt;&lt;/contributors&gt;&lt;titles&gt;&lt;title&gt;Fe3+-stabilized Ti3C2Tx MXene enables ultrastable Li-ion storage at low temperature&lt;/title&gt;&lt;secondary-title&gt;Journal of Materials Science &amp;amp; Technology&lt;/secondary-title&gt;&lt;/titles&gt;&lt;pages&gt;156-164&lt;/pages&gt;&lt;volume&gt;67&lt;/volume&gt;&lt;keywords&gt;&lt;keyword&gt;TiCT MXene&lt;/keyword&gt;&lt;keyword&gt;Li-ion storage&lt;/keyword&gt;&lt;keyword&gt;Low temperature&lt;/keyword&gt;&lt;keyword&gt;Solid electrolyte interphase&lt;/keyword&gt;&lt;keyword&gt;Density functional theory&lt;/keyword&gt;&lt;/keywords&gt;&lt;dates&gt;&lt;year&gt;2021&lt;/year&gt;&lt;pub-dates&gt;&lt;date&gt;2021/03/20/&lt;/date&gt;&lt;/pub-dates&gt;&lt;/dates&gt;&lt;isbn&gt;1005-0302&lt;/isbn&gt;&lt;urls&gt;&lt;related-urls&gt;&lt;url&gt;https://www.sciencedirect.com/science/article/pii/S1005030220306691&lt;/url&gt;&lt;/related-urls&gt;&lt;/urls&gt;&lt;electronic-resource-num&gt;https://doi.org/10.1016/j.jmst.2020.06.037&lt;/electronic-resource-num&gt;&lt;/record&gt;&lt;/Cite&gt;&lt;/EndNote&gt;</w:instrText>
      </w:r>
      <w:r>
        <w:rPr>
          <w:color w:val="0070C0"/>
          <w:sz w:val="21"/>
          <w:szCs w:val="21"/>
        </w:rPr>
        <w:fldChar w:fldCharType="separate"/>
      </w:r>
      <w:r>
        <w:rPr>
          <w:color w:val="0070C0"/>
          <w:sz w:val="21"/>
          <w:szCs w:val="21"/>
        </w:rPr>
        <w:t>(</w:t>
      </w:r>
      <w:hyperlink w:anchor="_ENREF_54" w:tooltip="Zhao, 2021 #142" w:history="1">
        <w:r w:rsidR="00AD484B">
          <w:rPr>
            <w:color w:val="0070C0"/>
            <w:sz w:val="21"/>
            <w:szCs w:val="21"/>
          </w:rPr>
          <w:t>Zhao et al., 2021</w:t>
        </w:r>
      </w:hyperlink>
      <w:r>
        <w:rPr>
          <w:color w:val="0070C0"/>
          <w:sz w:val="21"/>
          <w:szCs w:val="21"/>
        </w:rPr>
        <w:t>)</w:t>
      </w:r>
      <w:r>
        <w:rPr>
          <w:color w:val="0070C0"/>
          <w:sz w:val="21"/>
          <w:szCs w:val="21"/>
        </w:rPr>
        <w:fldChar w:fldCharType="end"/>
      </w:r>
      <w:r>
        <w:rPr>
          <w:sz w:val="21"/>
          <w:szCs w:val="21"/>
        </w:rPr>
        <w:t>. Therefore, we can infer that the Ti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 xml:space="preserve"> nanosheets were successfully obtained.</w:t>
      </w:r>
    </w:p>
    <w:p w14:paraId="043A6E75" w14:textId="77777777" w:rsidR="00AD484B" w:rsidRDefault="00000000">
      <w:pPr>
        <w:spacing w:line="360" w:lineRule="auto"/>
        <w:ind w:firstLineChars="0" w:firstLine="0"/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1638DC1C" wp14:editId="4A4DE2DC">
            <wp:extent cx="5282565" cy="4418330"/>
            <wp:effectExtent l="0" t="0" r="0" b="1270"/>
            <wp:docPr id="19818157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815730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" t="2020"/>
                    <a:stretch>
                      <a:fillRect/>
                    </a:stretch>
                  </pic:blipFill>
                  <pic:spPr>
                    <a:xfrm>
                      <a:off x="0" y="0"/>
                      <a:ext cx="5288844" cy="4423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C2EE8" w14:textId="094FA475" w:rsidR="00AD484B" w:rsidRDefault="00000000">
      <w:pPr>
        <w:spacing w:line="360" w:lineRule="auto"/>
        <w:ind w:firstLineChars="0" w:firstLine="0"/>
        <w:jc w:val="center"/>
        <w:rPr>
          <w:sz w:val="21"/>
          <w:szCs w:val="21"/>
        </w:rPr>
      </w:pPr>
      <w:r>
        <w:rPr>
          <w:b/>
          <w:bCs/>
          <w:sz w:val="21"/>
          <w:szCs w:val="21"/>
        </w:rPr>
        <w:t>Fig. S</w:t>
      </w:r>
      <w:r w:rsidR="00867366">
        <w:rPr>
          <w:rFonts w:hint="eastAsia"/>
          <w:b/>
          <w:bCs/>
          <w:sz w:val="21"/>
          <w:szCs w:val="21"/>
        </w:rPr>
        <w:t>2</w:t>
      </w:r>
      <w:r>
        <w:rPr>
          <w:sz w:val="21"/>
          <w:szCs w:val="21"/>
        </w:rPr>
        <w:t xml:space="preserve"> UV-vis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(A), FTIR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(B), XRD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(C) and Raman (D) spectra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of Ti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AlC</w:t>
      </w:r>
      <w:r>
        <w:rPr>
          <w:sz w:val="21"/>
          <w:szCs w:val="21"/>
          <w:vertAlign w:val="subscript"/>
        </w:rPr>
        <w:t xml:space="preserve">2 </w:t>
      </w:r>
      <w:r>
        <w:rPr>
          <w:sz w:val="21"/>
          <w:szCs w:val="21"/>
        </w:rPr>
        <w:t>and Ti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C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 xml:space="preserve"> nanosheets  </w:t>
      </w:r>
    </w:p>
    <w:p w14:paraId="500D56AE" w14:textId="29DFF3F4" w:rsidR="00244D66" w:rsidRPr="00244D66" w:rsidRDefault="00244D66">
      <w:pPr>
        <w:spacing w:line="360" w:lineRule="auto"/>
        <w:ind w:firstLineChars="0" w:firstLine="0"/>
        <w:jc w:val="center"/>
        <w:rPr>
          <w:sz w:val="21"/>
          <w:szCs w:val="21"/>
        </w:rPr>
      </w:pPr>
    </w:p>
    <w:p w14:paraId="78906128" w14:textId="77777777" w:rsidR="00AD484B" w:rsidRDefault="00000000">
      <w:pPr>
        <w:spacing w:line="360" w:lineRule="auto"/>
        <w:ind w:firstLineChars="0" w:firstLine="0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>3.</w:t>
      </w:r>
      <w:r>
        <w:rPr>
          <w:b/>
          <w:bCs/>
          <w:szCs w:val="24"/>
        </w:rPr>
        <w:t>2</w:t>
      </w:r>
      <w:r>
        <w:rPr>
          <w:b/>
          <w:bCs/>
          <w:color w:val="FF0000"/>
          <w:szCs w:val="24"/>
        </w:rPr>
        <w:t xml:space="preserve"> </w:t>
      </w:r>
      <w:r>
        <w:rPr>
          <w:b/>
          <w:bCs/>
          <w:szCs w:val="24"/>
        </w:rPr>
        <w:t xml:space="preserve">Electrical properties of dual-channel SPEs </w:t>
      </w:r>
    </w:p>
    <w:p w14:paraId="55EC246E" w14:textId="591F6D1E" w:rsidR="00AD484B" w:rsidRDefault="00000000">
      <w:pPr>
        <w:spacing w:line="360" w:lineRule="auto"/>
        <w:ind w:firstLineChars="0" w:firstLine="420"/>
        <w:rPr>
          <w:sz w:val="21"/>
          <w:szCs w:val="21"/>
        </w:rPr>
      </w:pPr>
      <w:r>
        <w:rPr>
          <w:sz w:val="21"/>
          <w:szCs w:val="21"/>
        </w:rPr>
        <w:t xml:space="preserve">The dual working electrodes of SPEs were denoted as SPE(a) and SPE(b). </w:t>
      </w:r>
      <w:r>
        <w:rPr>
          <w:color w:val="3A00FF"/>
          <w:sz w:val="21"/>
          <w:szCs w:val="21"/>
        </w:rPr>
        <w:t>Fig. S</w:t>
      </w:r>
      <w:r w:rsidR="00715461">
        <w:rPr>
          <w:rFonts w:hint="eastAsia"/>
          <w:color w:val="3A00FF"/>
          <w:sz w:val="21"/>
          <w:szCs w:val="21"/>
        </w:rPr>
        <w:t>3</w:t>
      </w:r>
      <w:r>
        <w:rPr>
          <w:sz w:val="21"/>
          <w:szCs w:val="21"/>
        </w:rPr>
        <w:t>A</w:t>
      </w:r>
      <w:r>
        <w:rPr>
          <w:rFonts w:hint="eastAsia"/>
          <w:sz w:val="21"/>
          <w:szCs w:val="21"/>
        </w:rPr>
        <w:t xml:space="preserve"> and C depict the CV curves of SPE</w:t>
      </w:r>
      <w:r>
        <w:rPr>
          <w:sz w:val="21"/>
          <w:szCs w:val="21"/>
        </w:rPr>
        <w:t>(a)</w:t>
      </w:r>
      <w:r>
        <w:rPr>
          <w:rFonts w:hint="eastAsia"/>
          <w:sz w:val="21"/>
          <w:szCs w:val="21"/>
        </w:rPr>
        <w:t xml:space="preserve"> and SPE</w:t>
      </w:r>
      <w:r>
        <w:rPr>
          <w:sz w:val="21"/>
          <w:szCs w:val="21"/>
        </w:rPr>
        <w:t>(b)</w:t>
      </w:r>
      <w:r>
        <w:rPr>
          <w:rFonts w:hint="eastAsia"/>
          <w:sz w:val="21"/>
          <w:szCs w:val="21"/>
        </w:rPr>
        <w:t xml:space="preserve"> at various scan rates ranging from 100 to 800 mV</w:t>
      </w:r>
      <w:r>
        <w:rPr>
          <w:sz w:val="21"/>
          <w:szCs w:val="21"/>
        </w:rPr>
        <w:t>·</w:t>
      </w:r>
      <w:r>
        <w:rPr>
          <w:rFonts w:hint="eastAsia"/>
          <w:sz w:val="21"/>
          <w:szCs w:val="21"/>
        </w:rPr>
        <w:t>s</w:t>
      </w:r>
      <w:r>
        <w:rPr>
          <w:rFonts w:hint="eastAsia"/>
          <w:sz w:val="21"/>
          <w:szCs w:val="21"/>
          <w:vertAlign w:val="superscript"/>
        </w:rPr>
        <w:t>-1</w:t>
      </w:r>
      <w:r>
        <w:rPr>
          <w:rFonts w:hint="eastAsia"/>
          <w:sz w:val="21"/>
          <w:szCs w:val="21"/>
        </w:rPr>
        <w:t>. The results indicate a gradual increase in the redox peak current of both SPE</w:t>
      </w:r>
      <w:r>
        <w:rPr>
          <w:sz w:val="21"/>
          <w:szCs w:val="21"/>
        </w:rPr>
        <w:t>(a)</w:t>
      </w:r>
      <w:r>
        <w:rPr>
          <w:rFonts w:hint="eastAsia"/>
          <w:sz w:val="21"/>
          <w:szCs w:val="21"/>
        </w:rPr>
        <w:t xml:space="preserve"> and SPE</w:t>
      </w:r>
      <w:r>
        <w:rPr>
          <w:sz w:val="21"/>
          <w:szCs w:val="21"/>
        </w:rPr>
        <w:t>(b)</w:t>
      </w:r>
      <w:r>
        <w:rPr>
          <w:rFonts w:hint="eastAsia"/>
          <w:sz w:val="21"/>
          <w:szCs w:val="21"/>
        </w:rPr>
        <w:t xml:space="preserve"> with increasing scan rate, suggesting a reversible electrochemical reaction </w:t>
      </w:r>
      <w:r>
        <w:rPr>
          <w:sz w:val="21"/>
          <w:szCs w:val="21"/>
        </w:rPr>
        <w:t>occurring</w:t>
      </w:r>
      <w:r>
        <w:rPr>
          <w:rFonts w:hint="eastAsia"/>
          <w:sz w:val="21"/>
          <w:szCs w:val="21"/>
        </w:rPr>
        <w:t xml:space="preserve"> on the surfaces of these bare electrodes</w:t>
      </w:r>
      <w:r>
        <w:rPr>
          <w:color w:val="2E74B5" w:themeColor="accent5" w:themeShade="BF"/>
          <w:sz w:val="21"/>
          <w:szCs w:val="21"/>
        </w:rPr>
        <w:t xml:space="preserve"> </w:t>
      </w:r>
      <w:r>
        <w:rPr>
          <w:color w:val="0070C0"/>
          <w:sz w:val="21"/>
          <w:szCs w:val="21"/>
        </w:rPr>
        <w:fldChar w:fldCharType="begin"/>
      </w:r>
      <w:r>
        <w:rPr>
          <w:color w:val="0070C0"/>
          <w:sz w:val="21"/>
          <w:szCs w:val="21"/>
        </w:rPr>
        <w:instrText xml:space="preserve"> ADDIN EN.CITE &lt;EndNote&gt;&lt;Cite&gt;&lt;Author&gt;Krishnaveni&lt;/Author&gt;&lt;Year&gt;2021&lt;/Year&gt;&lt;RecNum&gt;147&lt;/RecNum&gt;&lt;DisplayText&gt;(Krishnaveni and Ganesh, 2021)&lt;/DisplayText&gt;&lt;record&gt;&lt;rec-number&gt;147&lt;/rec-number&gt;&lt;foreign-keys&gt;&lt;key app="EN" db-id="09dwzed2meev5aetrapxs0sp0zer95pdx9fd" timestamp="1686205943"&gt;147&lt;/key&gt;&lt;/foreign-keys&gt;&lt;ref-type name="Journal Article"&gt;17&lt;/ref-type&gt;&lt;contributors&gt;&lt;authors&gt;&lt;author&gt;Krishnaveni, P.&lt;/author&gt;&lt;author&gt;Ganesh, V.&lt;/author&gt;&lt;/authors&gt;&lt;/contributors&gt;&lt;titles&gt;&lt;title&gt;Electron transfer studies of a conventional redox probe in human sweat and saliva bio-mimicking conditions&lt;/title&gt;&lt;secondary-title&gt;Scientific Reports&lt;/secondary-title&gt;&lt;/titles&gt;&lt;pages&gt;7663&lt;/pages&gt;&lt;volume&gt;11&lt;/volume&gt;&lt;number&gt;1&lt;/number&gt;&lt;dates&gt;&lt;year&gt;2021&lt;/year&gt;&lt;pub-dates&gt;&lt;date&gt;2021/04/07&lt;/date&gt;&lt;/pub-dates&gt;&lt;/dates&gt;&lt;isbn&gt;2045-2322&lt;/isbn&gt;&lt;urls&gt;&lt;related-urls&gt;&lt;url&gt;https://doi.org/10.1038/s41598-021-86866-z&lt;/url&gt;&lt;/related-urls&gt;&lt;/urls&gt;&lt;electronic-resource-num&gt;10.1038/s41598-021-86866-z&lt;/electronic-resource-num&gt;&lt;/record&gt;&lt;/Cite&gt;&lt;/EndNote&gt;</w:instrText>
      </w:r>
      <w:r>
        <w:rPr>
          <w:color w:val="0070C0"/>
          <w:sz w:val="21"/>
          <w:szCs w:val="21"/>
        </w:rPr>
        <w:fldChar w:fldCharType="separate"/>
      </w:r>
      <w:r>
        <w:rPr>
          <w:color w:val="0070C0"/>
          <w:sz w:val="21"/>
          <w:szCs w:val="21"/>
        </w:rPr>
        <w:t>(</w:t>
      </w:r>
      <w:hyperlink w:anchor="_ENREF_23" w:tooltip="Krishnaveni, 2021 #147" w:history="1">
        <w:r w:rsidR="00AD484B">
          <w:rPr>
            <w:color w:val="0070C0"/>
            <w:sz w:val="21"/>
            <w:szCs w:val="21"/>
          </w:rPr>
          <w:t>Krishnaveni and Ganesh, 2021</w:t>
        </w:r>
      </w:hyperlink>
      <w:r>
        <w:rPr>
          <w:color w:val="0070C0"/>
          <w:sz w:val="21"/>
          <w:szCs w:val="21"/>
        </w:rPr>
        <w:t>)</w:t>
      </w:r>
      <w:r>
        <w:rPr>
          <w:color w:val="0070C0"/>
          <w:sz w:val="21"/>
          <w:szCs w:val="21"/>
        </w:rPr>
        <w:fldChar w:fldCharType="end"/>
      </w:r>
      <w:r>
        <w:rPr>
          <w:sz w:val="21"/>
          <w:szCs w:val="21"/>
        </w:rPr>
        <w:t>.</w:t>
      </w:r>
      <w:r>
        <w:rPr>
          <w:rFonts w:hint="eastAsia"/>
          <w:sz w:val="21"/>
          <w:szCs w:val="21"/>
        </w:rPr>
        <w:t xml:space="preserve"> To further analyze this behavior, a fitting method was employed to establish a linear relationship between the anodic or cathodic peak current and the square root of the scan rate (v</w:t>
      </w:r>
      <w:r>
        <w:rPr>
          <w:rFonts w:hint="eastAsia"/>
          <w:sz w:val="21"/>
          <w:szCs w:val="21"/>
          <w:vertAlign w:val="superscript"/>
        </w:rPr>
        <w:t>1/2</w:t>
      </w:r>
      <w:r>
        <w:rPr>
          <w:rFonts w:hint="eastAsia"/>
          <w:sz w:val="21"/>
          <w:szCs w:val="21"/>
        </w:rPr>
        <w:t>) values for SPE</w:t>
      </w:r>
      <w:r>
        <w:rPr>
          <w:sz w:val="21"/>
          <w:szCs w:val="21"/>
        </w:rPr>
        <w:t>(a)</w:t>
      </w:r>
      <w:r>
        <w:rPr>
          <w:rFonts w:hint="eastAsia"/>
          <w:sz w:val="21"/>
          <w:szCs w:val="21"/>
        </w:rPr>
        <w:t xml:space="preserve"> and SPE</w:t>
      </w:r>
      <w:r>
        <w:rPr>
          <w:sz w:val="21"/>
          <w:szCs w:val="21"/>
        </w:rPr>
        <w:t>(b)</w:t>
      </w:r>
      <w:r>
        <w:rPr>
          <w:rFonts w:hint="eastAsia"/>
          <w:sz w:val="21"/>
          <w:szCs w:val="21"/>
        </w:rPr>
        <w:t xml:space="preserve">, as illustrated in </w:t>
      </w:r>
      <w:r>
        <w:rPr>
          <w:rFonts w:hint="eastAsia"/>
          <w:color w:val="3A00FF"/>
          <w:sz w:val="21"/>
          <w:szCs w:val="21"/>
        </w:rPr>
        <w:t xml:space="preserve">Fig. </w:t>
      </w:r>
      <w:r>
        <w:rPr>
          <w:color w:val="3A00FF"/>
          <w:sz w:val="21"/>
          <w:szCs w:val="21"/>
        </w:rPr>
        <w:t>S</w:t>
      </w:r>
      <w:r w:rsidR="00715461">
        <w:rPr>
          <w:rFonts w:hint="eastAsia"/>
          <w:color w:val="3A00FF"/>
          <w:sz w:val="21"/>
          <w:szCs w:val="21"/>
        </w:rPr>
        <w:t>3</w:t>
      </w:r>
      <w:r>
        <w:rPr>
          <w:sz w:val="21"/>
          <w:szCs w:val="21"/>
        </w:rPr>
        <w:t>B and D</w:t>
      </w:r>
      <w:r>
        <w:rPr>
          <w:rFonts w:hint="eastAsia"/>
          <w:sz w:val="21"/>
          <w:szCs w:val="21"/>
        </w:rPr>
        <w:t>, respectively. The correlation coefficients (R</w:t>
      </w:r>
      <w:r>
        <w:rPr>
          <w:rFonts w:hint="eastAsia"/>
          <w:sz w:val="21"/>
          <w:szCs w:val="21"/>
          <w:vertAlign w:val="superscript"/>
        </w:rPr>
        <w:t>2</w:t>
      </w:r>
      <w:r>
        <w:rPr>
          <w:rFonts w:hint="eastAsia"/>
          <w:sz w:val="21"/>
          <w:szCs w:val="21"/>
        </w:rPr>
        <w:t>) for the anodic and cathodic fitting curves of SPE</w:t>
      </w:r>
      <w:r>
        <w:rPr>
          <w:sz w:val="21"/>
          <w:szCs w:val="21"/>
        </w:rPr>
        <w:t>(a)</w:t>
      </w:r>
      <w:r>
        <w:rPr>
          <w:rFonts w:hint="eastAsia"/>
          <w:sz w:val="21"/>
          <w:szCs w:val="21"/>
        </w:rPr>
        <w:t xml:space="preserve"> were determined to be 0.999 39 and 0.994 76, respectively. Similarly, the R</w:t>
      </w:r>
      <w:r>
        <w:rPr>
          <w:rFonts w:hint="eastAsia"/>
          <w:sz w:val="21"/>
          <w:szCs w:val="21"/>
          <w:vertAlign w:val="superscript"/>
        </w:rPr>
        <w:t>2</w:t>
      </w:r>
      <w:r>
        <w:rPr>
          <w:rFonts w:hint="eastAsia"/>
          <w:sz w:val="21"/>
          <w:szCs w:val="21"/>
        </w:rPr>
        <w:t xml:space="preserve"> values for the anodic and cathodic fitting curves of SPE</w:t>
      </w:r>
      <w:r>
        <w:rPr>
          <w:sz w:val="21"/>
          <w:szCs w:val="21"/>
        </w:rPr>
        <w:t>(b)</w:t>
      </w:r>
      <w:r>
        <w:rPr>
          <w:rFonts w:hint="eastAsia"/>
          <w:sz w:val="21"/>
          <w:szCs w:val="21"/>
        </w:rPr>
        <w:t xml:space="preserve"> were 0.999 38 and 0.995 27, respectively. These values, approaching </w:t>
      </w:r>
      <w:r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t>, indicate a strong correlation between the redox peak current and v</w:t>
      </w:r>
      <w:r>
        <w:rPr>
          <w:rFonts w:hint="eastAsia"/>
          <w:sz w:val="21"/>
          <w:szCs w:val="21"/>
          <w:vertAlign w:val="superscript"/>
        </w:rPr>
        <w:t>1/2</w:t>
      </w:r>
      <w:r>
        <w:rPr>
          <w:rFonts w:hint="eastAsia"/>
          <w:sz w:val="21"/>
          <w:szCs w:val="21"/>
        </w:rPr>
        <w:t>. Consequently, both bare SPE</w:t>
      </w:r>
      <w:r>
        <w:rPr>
          <w:sz w:val="21"/>
          <w:szCs w:val="21"/>
        </w:rPr>
        <w:t>(a)</w:t>
      </w:r>
      <w:r>
        <w:rPr>
          <w:rFonts w:hint="eastAsia"/>
          <w:sz w:val="21"/>
          <w:szCs w:val="21"/>
        </w:rPr>
        <w:t xml:space="preserve"> and SPE</w:t>
      </w:r>
      <w:r>
        <w:rPr>
          <w:sz w:val="21"/>
          <w:szCs w:val="21"/>
        </w:rPr>
        <w:t>(b)</w:t>
      </w:r>
      <w:r>
        <w:rPr>
          <w:rFonts w:hint="eastAsia"/>
          <w:sz w:val="21"/>
          <w:szCs w:val="21"/>
        </w:rPr>
        <w:t xml:space="preserve"> demonstrate excellent stability and reversibility in their electrochemical behavior.</w:t>
      </w:r>
    </w:p>
    <w:p w14:paraId="5F3E7530" w14:textId="77777777" w:rsidR="00AD484B" w:rsidRDefault="00000000">
      <w:pPr>
        <w:spacing w:line="360" w:lineRule="auto"/>
        <w:ind w:firstLineChars="0" w:firstLine="0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024F2AE1" wp14:editId="322CA845">
            <wp:extent cx="4901565" cy="4117975"/>
            <wp:effectExtent l="0" t="0" r="0" b="0"/>
            <wp:docPr id="467856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566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" t="1842"/>
                    <a:stretch>
                      <a:fillRect/>
                    </a:stretch>
                  </pic:blipFill>
                  <pic:spPr>
                    <a:xfrm>
                      <a:off x="0" y="0"/>
                      <a:ext cx="4901728" cy="41181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29B7C" w14:textId="1ECBF246" w:rsidR="00AD484B" w:rsidRDefault="00000000">
      <w:pPr>
        <w:spacing w:line="360" w:lineRule="auto"/>
        <w:ind w:firstLineChars="0" w:firstLine="0"/>
        <w:jc w:val="center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 xml:space="preserve">Fig. </w:t>
      </w:r>
      <w:r>
        <w:rPr>
          <w:b/>
          <w:bCs/>
          <w:sz w:val="21"/>
          <w:szCs w:val="21"/>
        </w:rPr>
        <w:t>S</w:t>
      </w:r>
      <w:r w:rsidR="00715461">
        <w:rPr>
          <w:rFonts w:hint="eastAsia"/>
          <w:b/>
          <w:bCs/>
          <w:sz w:val="21"/>
          <w:szCs w:val="21"/>
        </w:rPr>
        <w:t>3</w:t>
      </w:r>
      <w:r>
        <w:rPr>
          <w:b/>
          <w:bCs/>
          <w:sz w:val="21"/>
          <w:szCs w:val="21"/>
        </w:rPr>
        <w:t xml:space="preserve"> </w:t>
      </w:r>
      <w:r>
        <w:rPr>
          <w:sz w:val="21"/>
          <w:szCs w:val="21"/>
        </w:rPr>
        <w:t xml:space="preserve">CVs of bare SPE(a) (A) and SPE(b) (C); </w:t>
      </w:r>
      <w:r>
        <w:rPr>
          <w:rFonts w:hint="eastAsia"/>
          <w:sz w:val="21"/>
          <w:szCs w:val="21"/>
        </w:rPr>
        <w:t>T</w:t>
      </w:r>
      <w:r>
        <w:rPr>
          <w:sz w:val="21"/>
          <w:szCs w:val="21"/>
        </w:rPr>
        <w:t>he linear relationship between redox peak currents and all scan rate (v</w:t>
      </w:r>
      <w:r>
        <w:rPr>
          <w:sz w:val="21"/>
          <w:szCs w:val="21"/>
          <w:vertAlign w:val="superscript"/>
        </w:rPr>
        <w:t>1/2</w:t>
      </w:r>
      <w:r>
        <w:rPr>
          <w:sz w:val="21"/>
          <w:szCs w:val="21"/>
        </w:rPr>
        <w:t>) of SPE(a) (B) and SPE(b) (D)</w:t>
      </w:r>
      <w:r>
        <w:rPr>
          <w:rFonts w:hint="eastAsia"/>
          <w:sz w:val="21"/>
          <w:szCs w:val="21"/>
        </w:rPr>
        <w:t>.</w:t>
      </w:r>
    </w:p>
    <w:p w14:paraId="1A0154F3" w14:textId="77777777" w:rsidR="00AD484B" w:rsidRDefault="00AD484B" w:rsidP="004D490F">
      <w:pPr>
        <w:spacing w:line="360" w:lineRule="auto"/>
        <w:ind w:firstLineChars="0" w:firstLine="0"/>
        <w:rPr>
          <w:b/>
          <w:bCs/>
          <w:sz w:val="21"/>
          <w:szCs w:val="21"/>
        </w:rPr>
      </w:pPr>
    </w:p>
    <w:p w14:paraId="4024A1E7" w14:textId="77777777" w:rsidR="00AD484B" w:rsidRDefault="00000000">
      <w:pPr>
        <w:spacing w:beforeLines="50" w:before="163" w:afterLines="50" w:after="163" w:line="360" w:lineRule="auto"/>
        <w:ind w:firstLineChars="100" w:firstLine="211"/>
        <w:rPr>
          <w:sz w:val="21"/>
          <w:szCs w:val="21"/>
        </w:rPr>
      </w:pPr>
      <w:r>
        <w:rPr>
          <w:b/>
          <w:bCs/>
          <w:sz w:val="21"/>
          <w:szCs w:val="21"/>
        </w:rPr>
        <w:t>Table S1</w:t>
      </w:r>
      <w:r>
        <w:rPr>
          <w:sz w:val="21"/>
          <w:szCs w:val="21"/>
        </w:rPr>
        <w:t xml:space="preserve"> A brief comparison of proposed label-free EIs designed for PSA or PSMA detection</w:t>
      </w:r>
    </w:p>
    <w:tbl>
      <w:tblPr>
        <w:tblStyle w:val="a7"/>
        <w:tblW w:w="9335" w:type="dxa"/>
        <w:tblInd w:w="-331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"/>
        <w:gridCol w:w="2100"/>
        <w:gridCol w:w="1234"/>
        <w:gridCol w:w="1719"/>
        <w:gridCol w:w="1004"/>
        <w:gridCol w:w="2412"/>
      </w:tblGrid>
      <w:tr w:rsidR="00AD484B" w14:paraId="7962228C" w14:textId="77777777">
        <w:trPr>
          <w:trHeight w:val="612"/>
        </w:trPr>
        <w:tc>
          <w:tcPr>
            <w:tcW w:w="86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863FA86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Target analyte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8EDE32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Electrode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EECCC7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Detection</w:t>
            </w:r>
          </w:p>
          <w:p w14:paraId="7932B300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technique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09F67F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Detection range (ng·mL</w:t>
            </w:r>
            <w:r>
              <w:rPr>
                <w:sz w:val="18"/>
                <w:szCs w:val="18"/>
                <w:vertAlign w:val="superscript"/>
              </w:rPr>
              <w:t>-1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422466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LOD (ng·mL</w:t>
            </w:r>
            <w:r>
              <w:rPr>
                <w:sz w:val="18"/>
                <w:szCs w:val="18"/>
                <w:vertAlign w:val="superscript"/>
              </w:rPr>
              <w:t>-1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241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A7B5B15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Reference</w:t>
            </w:r>
          </w:p>
        </w:tc>
      </w:tr>
      <w:tr w:rsidR="00AD484B" w14:paraId="2AA7F275" w14:textId="77777777">
        <w:tc>
          <w:tcPr>
            <w:tcW w:w="866" w:type="dxa"/>
            <w:tcBorders>
              <w:top w:val="single" w:sz="4" w:space="0" w:color="auto"/>
              <w:bottom w:val="nil"/>
              <w:right w:val="nil"/>
            </w:tcBorders>
          </w:tcPr>
          <w:p w14:paraId="44D4409B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PSA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BF5BF1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IPA</w:t>
            </w:r>
            <w:r>
              <w:rPr>
                <w:sz w:val="18"/>
                <w:szCs w:val="18"/>
                <w:vertAlign w:val="superscript"/>
              </w:rPr>
              <w:t>a</w:t>
            </w:r>
            <w:r>
              <w:rPr>
                <w:sz w:val="18"/>
                <w:szCs w:val="18"/>
              </w:rPr>
              <w:t>/Au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36FA07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EIS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22B157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1×10</w:t>
            </w:r>
            <w:r>
              <w:rPr>
                <w:rFonts w:hint="eastAsia"/>
                <w:sz w:val="18"/>
                <w:szCs w:val="18"/>
                <w:vertAlign w:val="superscript"/>
              </w:rPr>
              <w:t>-</w:t>
            </w:r>
            <w:r>
              <w:rPr>
                <w:sz w:val="18"/>
                <w:szCs w:val="18"/>
                <w:vertAlign w:val="superscript"/>
              </w:rPr>
              <w:t xml:space="preserve">5 </w:t>
            </w:r>
            <w:r>
              <w:rPr>
                <w:sz w:val="18"/>
                <w:szCs w:val="18"/>
              </w:rPr>
              <w:t>- 1×10</w:t>
            </w:r>
            <w:r>
              <w:rPr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FA256E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>3.3×10</w:t>
            </w:r>
            <w:r>
              <w:rPr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2412" w:type="dxa"/>
            <w:tcBorders>
              <w:top w:val="single" w:sz="4" w:space="0" w:color="auto"/>
              <w:left w:val="nil"/>
              <w:bottom w:val="nil"/>
            </w:tcBorders>
          </w:tcPr>
          <w:p w14:paraId="3D7ACA19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fldChar w:fldCharType="begin"/>
            </w:r>
            <w:r>
              <w:rPr>
                <w:color w:val="0070C0"/>
                <w:sz w:val="18"/>
                <w:szCs w:val="18"/>
              </w:rPr>
              <w:instrText xml:space="preserve"> ADDIN EN.CITE &lt;EndNote&gt;&lt;Cite&gt;&lt;Author&gt;Mwanza&lt;/Author&gt;&lt;Year&gt;2022&lt;/Year&gt;&lt;RecNum&gt;192&lt;/RecNum&gt;&lt;DisplayText&gt;(Mwanza et al., 2022)&lt;/DisplayText&gt;&lt;record&gt;&lt;rec-number&gt;192&lt;/rec-number&gt;&lt;foreign-keys&gt;&lt;key app="EN" db-id="09dwzed2meev5aetrapxs0sp0zer95pdx9fd" timestamp="1700050126"&gt;192&lt;/key&gt;&lt;/foreign-keys&gt;&lt;ref-type name="Journal Article"&gt;17&lt;/ref-type&gt;&lt;contributors&gt;&lt;authors&gt;&lt;author&gt;Mwanza, Daniel&lt;/author&gt;&lt;author&gt;Adeniyi, Omotayo&lt;/author&gt;&lt;author&gt;Tesfalidet, Solomon&lt;/author&gt;&lt;author&gt;Nyokong, Tebello&lt;/author&gt;&lt;author&gt;Mashazi, Philani&lt;/author&gt;&lt;/authors&gt;&lt;/contributors&gt;&lt;titles&gt;&lt;title&gt;Capacitive label-free ultrasensitive detection of PSA on a covalently attached monoclonal anti-PSA antibody gold surface&lt;/title&gt;&lt;secondary-title&gt;Journal of Electroanalytical Chemistry&lt;/secondary-title&gt;&lt;/titles&gt;&lt;pages&gt;116983&lt;/pages&gt;&lt;volume&gt;927&lt;/volume&gt;&lt;keywords&gt;&lt;keyword&gt;Capacitance immunosensors&lt;/keyword&gt;&lt;keyword&gt;Prostate-specific antigen&lt;/keyword&gt;&lt;keyword&gt;Ultrasensitive detection&lt;/keyword&gt;&lt;keyword&gt;Prostate cancer&lt;/keyword&gt;&lt;keyword&gt;Stable thin films&lt;/keyword&gt;&lt;keyword&gt;Electrografting&lt;/keyword&gt;&lt;/keywords&gt;&lt;dates&gt;&lt;year&gt;2022&lt;/year&gt;&lt;pub-dates&gt;&lt;date&gt;2022/12/15/&lt;/date&gt;&lt;/pub-dates&gt;&lt;/dates&gt;&lt;isbn&gt;1572-6657&lt;/isbn&gt;&lt;urls&gt;&lt;related-urls&gt;&lt;url&gt;https://www.sciencedirect.com/science/article/pii/S1572665722009766&lt;/url&gt;&lt;/related-urls&gt;&lt;/urls&gt;&lt;electronic-resource-num&gt;https://doi.org/10.1016/j.jelechem.2022.116983&lt;/electronic-resource-num&gt;&lt;/record&gt;&lt;/Cite&gt;&lt;/EndNote&gt;</w:instrText>
            </w:r>
            <w:r>
              <w:rPr>
                <w:color w:val="0070C0"/>
                <w:sz w:val="18"/>
                <w:szCs w:val="18"/>
              </w:rPr>
              <w:fldChar w:fldCharType="separate"/>
            </w:r>
            <w:r>
              <w:rPr>
                <w:color w:val="0070C0"/>
                <w:sz w:val="18"/>
                <w:szCs w:val="18"/>
              </w:rPr>
              <w:t>(</w:t>
            </w:r>
            <w:hyperlink w:anchor="_ENREF_35" w:tooltip="Mwanza, 2022 #192" w:history="1">
              <w:r w:rsidR="00AD484B">
                <w:rPr>
                  <w:color w:val="0070C0"/>
                  <w:sz w:val="18"/>
                  <w:szCs w:val="18"/>
                </w:rPr>
                <w:t>Mwanza et al., 2022</w:t>
              </w:r>
            </w:hyperlink>
            <w:r>
              <w:rPr>
                <w:color w:val="0070C0"/>
                <w:sz w:val="18"/>
                <w:szCs w:val="18"/>
              </w:rPr>
              <w:t>)</w:t>
            </w:r>
            <w:r>
              <w:rPr>
                <w:color w:val="0070C0"/>
                <w:sz w:val="18"/>
                <w:szCs w:val="18"/>
              </w:rPr>
              <w:fldChar w:fldCharType="end"/>
            </w:r>
          </w:p>
        </w:tc>
      </w:tr>
      <w:tr w:rsidR="00AD484B" w14:paraId="538792A8" w14:textId="77777777">
        <w:tc>
          <w:tcPr>
            <w:tcW w:w="866" w:type="dxa"/>
            <w:tcBorders>
              <w:top w:val="nil"/>
              <w:bottom w:val="nil"/>
              <w:right w:val="nil"/>
            </w:tcBorders>
          </w:tcPr>
          <w:p w14:paraId="080D3006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7CF80E86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 NFs</w:t>
            </w:r>
            <w:r>
              <w:rPr>
                <w:sz w:val="18"/>
                <w:szCs w:val="18"/>
                <w:vertAlign w:val="superscript"/>
              </w:rPr>
              <w:t>b</w:t>
            </w:r>
            <w:r>
              <w:rPr>
                <w:sz w:val="18"/>
                <w:szCs w:val="18"/>
              </w:rPr>
              <w:t>/SPCE</w:t>
            </w:r>
            <w:r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53521B4C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CV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0FEE0CC0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0 - 100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</w:tcPr>
          <w:p w14:paraId="3A6BE8EF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0.28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</w:tcBorders>
          </w:tcPr>
          <w:p w14:paraId="58D3E1BA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fldChar w:fldCharType="begin">
                <w:fldData xml:space="preserve">PEVuZE5vdGU+PENpdGU+PEF1dGhvcj5Eb3U8L0F1dGhvcj48WWVhcj4yMDIyPC9ZZWFyPjxSZWNO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</w:fldData>
              </w:fldChar>
            </w:r>
            <w:r>
              <w:rPr>
                <w:color w:val="0070C0"/>
                <w:sz w:val="18"/>
                <w:szCs w:val="18"/>
              </w:rPr>
              <w:instrText xml:space="preserve"> ADDIN EN.CITE </w:instrText>
            </w:r>
            <w:r>
              <w:rPr>
                <w:color w:val="0070C0"/>
                <w:sz w:val="18"/>
                <w:szCs w:val="18"/>
              </w:rPr>
              <w:fldChar w:fldCharType="begin">
                <w:fldData xml:space="preserve">PEVuZE5vdGU+PENpdGU+PEF1dGhvcj5Eb3U8L0F1dGhvcj48WWVhcj4yMDIyPC9ZZWFyPjxSZWNO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</w:fldData>
              </w:fldChar>
            </w:r>
            <w:r>
              <w:rPr>
                <w:color w:val="0070C0"/>
                <w:sz w:val="18"/>
                <w:szCs w:val="18"/>
              </w:rPr>
              <w:instrText xml:space="preserve"> ADDIN EN.CITE.DATA </w:instrText>
            </w:r>
            <w:r>
              <w:rPr>
                <w:color w:val="0070C0"/>
                <w:sz w:val="18"/>
                <w:szCs w:val="18"/>
              </w:rPr>
            </w:r>
            <w:r>
              <w:rPr>
                <w:color w:val="0070C0"/>
                <w:sz w:val="18"/>
                <w:szCs w:val="18"/>
              </w:rPr>
              <w:fldChar w:fldCharType="end"/>
            </w:r>
            <w:r>
              <w:rPr>
                <w:color w:val="0070C0"/>
                <w:sz w:val="18"/>
                <w:szCs w:val="18"/>
              </w:rPr>
            </w:r>
            <w:r>
              <w:rPr>
                <w:color w:val="0070C0"/>
                <w:sz w:val="18"/>
                <w:szCs w:val="18"/>
              </w:rPr>
              <w:fldChar w:fldCharType="separate"/>
            </w:r>
            <w:r>
              <w:rPr>
                <w:color w:val="0070C0"/>
                <w:sz w:val="18"/>
                <w:szCs w:val="18"/>
              </w:rPr>
              <w:t>(</w:t>
            </w:r>
            <w:hyperlink w:anchor="_ENREF_10" w:tooltip="Dou, 2022 #193" w:history="1">
              <w:r w:rsidR="00AD484B">
                <w:rPr>
                  <w:color w:val="0070C0"/>
                  <w:sz w:val="18"/>
                  <w:szCs w:val="18"/>
                </w:rPr>
                <w:t>Dou et al., 2022</w:t>
              </w:r>
            </w:hyperlink>
            <w:r>
              <w:rPr>
                <w:color w:val="0070C0"/>
                <w:sz w:val="18"/>
                <w:szCs w:val="18"/>
              </w:rPr>
              <w:t>)</w:t>
            </w:r>
            <w:r>
              <w:rPr>
                <w:color w:val="0070C0"/>
                <w:sz w:val="18"/>
                <w:szCs w:val="18"/>
              </w:rPr>
              <w:fldChar w:fldCharType="end"/>
            </w:r>
          </w:p>
        </w:tc>
      </w:tr>
      <w:tr w:rsidR="00AD484B" w14:paraId="112FD2FA" w14:textId="77777777">
        <w:tc>
          <w:tcPr>
            <w:tcW w:w="866" w:type="dxa"/>
            <w:tcBorders>
              <w:top w:val="nil"/>
              <w:bottom w:val="nil"/>
              <w:right w:val="nil"/>
            </w:tcBorders>
          </w:tcPr>
          <w:p w14:paraId="13121B10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38A4FB19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MoS</w:t>
            </w:r>
            <w:r>
              <w:rPr>
                <w:sz w:val="18"/>
                <w:szCs w:val="18"/>
                <w:vertAlign w:val="subscript"/>
              </w:rPr>
              <w:t>2</w:t>
            </w:r>
            <w:r>
              <w:rPr>
                <w:sz w:val="18"/>
                <w:szCs w:val="18"/>
              </w:rPr>
              <w:t>/GCE</w:t>
            </w:r>
            <w:r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2C41B018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SWV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6F0D6387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1×10</w:t>
            </w:r>
            <w:r>
              <w:rPr>
                <w:rFonts w:hint="eastAsia"/>
                <w:sz w:val="18"/>
                <w:szCs w:val="18"/>
                <w:vertAlign w:val="superscript"/>
              </w:rPr>
              <w:t>-</w:t>
            </w:r>
            <w:r>
              <w:rPr>
                <w:sz w:val="18"/>
                <w:szCs w:val="18"/>
                <w:vertAlign w:val="superscript"/>
              </w:rPr>
              <w:t>6</w:t>
            </w:r>
            <w:r>
              <w:rPr>
                <w:sz w:val="18"/>
                <w:szCs w:val="18"/>
              </w:rPr>
              <w:t xml:space="preserve"> - 500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</w:tcPr>
          <w:p w14:paraId="6FB037F0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2.5×10</w:t>
            </w:r>
            <w:r>
              <w:rPr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</w:tcBorders>
          </w:tcPr>
          <w:p w14:paraId="565EE2CE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fldChar w:fldCharType="begin"/>
            </w:r>
            <w:r>
              <w:rPr>
                <w:color w:val="0070C0"/>
                <w:sz w:val="18"/>
                <w:szCs w:val="18"/>
              </w:rPr>
              <w:instrText xml:space="preserve"> ADDIN EN.CITE &lt;EndNote&gt;&lt;Cite&gt;&lt;Author&gt;Yan&lt;/Author&gt;&lt;Year&gt;2022&lt;/Year&gt;&lt;RecNum&gt;194&lt;/RecNum&gt;&lt;DisplayText&gt;(Yan et al., 2022)&lt;/DisplayText&gt;&lt;record&gt;&lt;rec-number&gt;194&lt;/rec-number&gt;&lt;foreign-keys&gt;&lt;key app="EN" db-id="09dwzed2meev5aetrapxs0sp0zer95pdx9fd" timestamp="1700051955"&gt;194&lt;/key&gt;&lt;/foreign-keys&gt;&lt;ref-type name="Journal Article"&gt;17&lt;/ref-type&gt;&lt;contributors&gt;&lt;authors&gt;&lt;author&gt;Yan, Ruohong&lt;/author&gt;&lt;author&gt;Lu, Na&lt;/author&gt;&lt;author&gt;Han, Suping&lt;/author&gt;&lt;author&gt;Lu, Zhanglu&lt;/author&gt;&lt;author&gt;Xiao, Yang&lt;/author&gt;&lt;author&gt;Zhao, Zhihang&lt;/author&gt;&lt;author&gt;Zhang, Min&lt;/author&gt;&lt;/authors&gt;&lt;/contributors&gt;&lt;titles&gt;&lt;title&gt;Simultaneous detection of dual biomarkers using hierarchical MoS2 nanostructuring and nano-signal amplification-based electrochemical aptasensor toward accurate diagnosis of prostate cancer&lt;/title&gt;&lt;secondary-title&gt;Biosensors and Bioelectronics&lt;/secondary-title&gt;&lt;/titles&gt;&lt;pages&gt;113797&lt;/pages&gt;&lt;volume&gt;197&lt;/volume&gt;&lt;keywords&gt;&lt;keyword&gt;Electrochemical aptasensor&lt;/keyword&gt;&lt;keyword&gt;Simultaneous detection&lt;/keyword&gt;&lt;keyword&gt;PSA and Sarcosine&lt;/keyword&gt;&lt;keyword&gt;MoS nanoflower&lt;/keyword&gt;&lt;keyword&gt;Nano-signal amplification&lt;/keyword&gt;&lt;keyword&gt;Prostate cancer&lt;/keyword&gt;&lt;/keywords&gt;&lt;dates&gt;&lt;year&gt;2022&lt;/year&gt;&lt;pub-dates&gt;&lt;date&gt;2022/02/01/&lt;/date&gt;&lt;/pub-dates&gt;&lt;/dates&gt;&lt;isbn&gt;0956-5663&lt;/isbn&gt;&lt;urls&gt;&lt;related-urls&gt;&lt;url&gt;https://www.sciencedirect.com/science/article/pii/S0956566321008344&lt;/url&gt;&lt;/related-urls&gt;&lt;/urls&gt;&lt;electronic-resource-num&gt;https://doi.org/10.1016/j.bios.2021.113797&lt;/electronic-resource-num&gt;&lt;/record&gt;&lt;/Cite&gt;&lt;/EndNote&gt;</w:instrText>
            </w:r>
            <w:r>
              <w:rPr>
                <w:color w:val="0070C0"/>
                <w:sz w:val="18"/>
                <w:szCs w:val="18"/>
              </w:rPr>
              <w:fldChar w:fldCharType="separate"/>
            </w:r>
            <w:r>
              <w:rPr>
                <w:color w:val="0070C0"/>
                <w:sz w:val="18"/>
                <w:szCs w:val="18"/>
              </w:rPr>
              <w:t>(</w:t>
            </w:r>
            <w:hyperlink w:anchor="_ENREF_52" w:tooltip="Yan, 2022 #194" w:history="1">
              <w:r w:rsidR="00AD484B">
                <w:rPr>
                  <w:color w:val="0070C0"/>
                  <w:sz w:val="18"/>
                  <w:szCs w:val="18"/>
                </w:rPr>
                <w:t>Yan et al., 2022</w:t>
              </w:r>
            </w:hyperlink>
            <w:r>
              <w:rPr>
                <w:color w:val="0070C0"/>
                <w:sz w:val="18"/>
                <w:szCs w:val="18"/>
              </w:rPr>
              <w:t>)</w:t>
            </w:r>
            <w:r>
              <w:rPr>
                <w:color w:val="0070C0"/>
                <w:sz w:val="18"/>
                <w:szCs w:val="18"/>
              </w:rPr>
              <w:fldChar w:fldCharType="end"/>
            </w:r>
          </w:p>
        </w:tc>
      </w:tr>
      <w:tr w:rsidR="00AD484B" w14:paraId="468BB3DD" w14:textId="77777777">
        <w:tc>
          <w:tcPr>
            <w:tcW w:w="866" w:type="dxa"/>
            <w:tcBorders>
              <w:top w:val="nil"/>
              <w:bottom w:val="nil"/>
              <w:right w:val="nil"/>
            </w:tcBorders>
          </w:tcPr>
          <w:p w14:paraId="72BD8800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6C175744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Au-GO/GCE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567BC1DD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EIS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64C9265B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0.5 - 7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</w:tcPr>
          <w:p w14:paraId="13D1608E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0.85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</w:tcBorders>
          </w:tcPr>
          <w:p w14:paraId="6271E5D9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fldChar w:fldCharType="begin"/>
            </w:r>
            <w:r>
              <w:rPr>
                <w:color w:val="0070C0"/>
                <w:sz w:val="18"/>
                <w:szCs w:val="18"/>
              </w:rPr>
              <w:instrText xml:space="preserve"> ADDIN EN.CITE &lt;EndNote&gt;&lt;Cite&gt;&lt;Author&gt;Aayanifard&lt;/Author&gt;&lt;Year&gt;2021&lt;/Year&gt;&lt;RecNum&gt;195&lt;/RecNum&gt;&lt;DisplayText&gt;(Aayanifard et al., 2021)&lt;/DisplayText&gt;&lt;record&gt;&lt;rec-number&gt;195&lt;/rec-number&gt;&lt;foreign-keys&gt;&lt;key app="EN" db-id="09dwzed2meev5aetrapxs0sp0zer95pdx9fd" timestamp="1700052723"&gt;195&lt;/key&gt;&lt;/foreign-keys&gt;&lt;ref-type name="Journal Article"&gt;17&lt;/ref-type&gt;&lt;contributors&gt;&lt;authors&gt;&lt;author&gt;Aayanifard, Z.&lt;/author&gt;&lt;author&gt;Alebrahim, T.&lt;/author&gt;&lt;author&gt;Pourmadadi, M.&lt;/author&gt;&lt;author&gt;Yazdian, F.&lt;/author&gt;&lt;author&gt;Dinani, H. S.&lt;/author&gt;&lt;author&gt;Rashedi, H.&lt;/author&gt;&lt;author&gt;Omidi, M.&lt;/author&gt;&lt;/authors&gt;&lt;/contributors&gt;&lt;auth-address&gt;School of Chemical Engineering College of Engineering University of Tehran Tehran Iran.&amp;#xD;Protein Research Center Shahid Beheshti University Tehran Iran.&amp;#xD;Department of Life Science Engineering Faculty of New Science and Technologies University of Tehran Tehran Iran.&lt;/auth-address&gt;&lt;titles&gt;&lt;title&gt;Ultra pH-sensitive detection of total and free prostate-specific antigen using electrochemical aptasensor based on reduced graphene oxide/gold nanoparticles emphasis on TiO(2)/carbon quantum dots as a redox probe&lt;/title&gt;&lt;secondary-title&gt;Eng Life Sci&lt;/secondary-title&gt;&lt;alt-title&gt;Engineering in life sciences&lt;/alt-title&gt;&lt;/titles&gt;&lt;pages&gt;739-752&lt;/pages&gt;&lt;volume&gt;21&lt;/volume&gt;&lt;number&gt;11&lt;/number&gt;&lt;edition&gt;2021/11/13&lt;/edition&gt;&lt;keywords&gt;&lt;keyword&gt;PSA detection&lt;/keyword&gt;&lt;keyword&gt;TiO2/CQD&lt;/keyword&gt;&lt;keyword&gt;electrochemical aptasensor&lt;/keyword&gt;&lt;keyword&gt;gold nanoparticle&lt;/keyword&gt;&lt;keyword&gt;graphene oxide&lt;/keyword&gt;&lt;/keywords&gt;&lt;dates&gt;&lt;year&gt;2021&lt;/year&gt;&lt;pub-dates&gt;&lt;date&gt;Nov&lt;/date&gt;&lt;/pub-dates&gt;&lt;/dates&gt;&lt;isbn&gt;1618-0240 (Print)&amp;#xD;1618-0240&lt;/isbn&gt;&lt;accession-num&gt;34764826&lt;/accession-num&gt;&lt;urls&gt;&lt;/urls&gt;&lt;custom2&gt;PMC8576073&lt;/custom2&gt;&lt;electronic-resource-num&gt;10.1002/elsc.202000118&lt;/electronic-resource-num&gt;&lt;remote-database-provider&gt;NLM&lt;/remote-database-provider&gt;&lt;language&gt;eng&lt;/language&gt;&lt;/record&gt;&lt;/Cite&gt;&lt;/EndNote&gt;</w:instrText>
            </w:r>
            <w:r>
              <w:rPr>
                <w:color w:val="0070C0"/>
                <w:sz w:val="18"/>
                <w:szCs w:val="18"/>
              </w:rPr>
              <w:fldChar w:fldCharType="separate"/>
            </w:r>
            <w:r>
              <w:rPr>
                <w:color w:val="0070C0"/>
                <w:sz w:val="18"/>
                <w:szCs w:val="18"/>
              </w:rPr>
              <w:t>(</w:t>
            </w:r>
            <w:hyperlink w:anchor="_ENREF_1" w:tooltip="Aayanifard, 2021 #195" w:history="1">
              <w:r w:rsidR="00AD484B">
                <w:rPr>
                  <w:color w:val="0070C0"/>
                  <w:sz w:val="18"/>
                  <w:szCs w:val="18"/>
                </w:rPr>
                <w:t>Aayanifard et al., 2021</w:t>
              </w:r>
            </w:hyperlink>
            <w:r>
              <w:rPr>
                <w:color w:val="0070C0"/>
                <w:sz w:val="18"/>
                <w:szCs w:val="18"/>
              </w:rPr>
              <w:t>)</w:t>
            </w:r>
            <w:r>
              <w:rPr>
                <w:color w:val="0070C0"/>
                <w:sz w:val="18"/>
                <w:szCs w:val="18"/>
              </w:rPr>
              <w:fldChar w:fldCharType="end"/>
            </w:r>
          </w:p>
        </w:tc>
      </w:tr>
      <w:tr w:rsidR="00AD484B" w14:paraId="11D92029" w14:textId="77777777">
        <w:tc>
          <w:tcPr>
            <w:tcW w:w="866" w:type="dxa"/>
            <w:tcBorders>
              <w:top w:val="nil"/>
              <w:bottom w:val="nil"/>
              <w:right w:val="nil"/>
            </w:tcBorders>
          </w:tcPr>
          <w:p w14:paraId="787FECB0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5EA8201C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Fe-Cu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LDH</w:t>
            </w:r>
            <w:r>
              <w:rPr>
                <w:sz w:val="18"/>
                <w:szCs w:val="18"/>
                <w:vertAlign w:val="superscript"/>
              </w:rPr>
              <w:t>e</w:t>
            </w:r>
            <w:r>
              <w:rPr>
                <w:sz w:val="18"/>
                <w:szCs w:val="18"/>
              </w:rPr>
              <w:t>/rGO/PGE</w:t>
            </w:r>
            <w:r>
              <w:rPr>
                <w:sz w:val="18"/>
                <w:szCs w:val="18"/>
                <w:vertAlign w:val="superscript"/>
              </w:rPr>
              <w:t>f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72E4BBE5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CV &amp; EIS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4C092558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1×10</w:t>
            </w:r>
            <w:r>
              <w:rPr>
                <w:rFonts w:hint="eastAsia"/>
                <w:sz w:val="18"/>
                <w:szCs w:val="18"/>
                <w:vertAlign w:val="superscript"/>
              </w:rPr>
              <w:t>-</w:t>
            </w:r>
            <w:r>
              <w:rPr>
                <w:sz w:val="18"/>
                <w:szCs w:val="18"/>
                <w:vertAlign w:val="superscript"/>
              </w:rPr>
              <w:t>4</w:t>
            </w:r>
            <w:r>
              <w:rPr>
                <w:sz w:val="18"/>
                <w:szCs w:val="18"/>
              </w:rPr>
              <w:t xml:space="preserve"> - 1×10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</w:tcPr>
          <w:p w14:paraId="15EA8334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eastAsia="Georgia"/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.</w:t>
            </w:r>
            <w:r>
              <w:rPr>
                <w:rFonts w:eastAsia="Georgia"/>
                <w:sz w:val="18"/>
                <w:szCs w:val="18"/>
              </w:rPr>
              <w:t>324</w:t>
            </w:r>
            <w:r>
              <w:rPr>
                <w:sz w:val="18"/>
                <w:szCs w:val="18"/>
              </w:rPr>
              <w:t>×10</w:t>
            </w:r>
            <w:r>
              <w:rPr>
                <w:rFonts w:hint="eastAsia"/>
                <w:sz w:val="18"/>
                <w:szCs w:val="18"/>
                <w:vertAlign w:val="superscript"/>
              </w:rPr>
              <w:t>-</w:t>
            </w:r>
            <w:r>
              <w:rPr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</w:tcBorders>
          </w:tcPr>
          <w:p w14:paraId="60B81A63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fldChar w:fldCharType="begin"/>
            </w:r>
            <w:r>
              <w:rPr>
                <w:color w:val="0070C0"/>
                <w:sz w:val="18"/>
                <w:szCs w:val="18"/>
              </w:rPr>
              <w:instrText xml:space="preserve"> ADDIN EN.CITE &lt;EndNote&gt;&lt;Cite&gt;&lt;Author&gt;Ghasemi&lt;/Author&gt;&lt;Year&gt;2023&lt;/Year&gt;&lt;RecNum&gt;196&lt;/RecNum&gt;&lt;DisplayText&gt;(Ghasemi et al., 2023)&lt;/DisplayText&gt;&lt;record&gt;&lt;rec-number&gt;196&lt;/rec-number&gt;&lt;foreign-keys&gt;&lt;key app="EN" db-id="09dwzed2meev5aetrapxs0sp0zer95pdx9fd" timestamp="1700053195"&gt;196&lt;/key&gt;&lt;/foreign-keys&gt;&lt;ref-type name="Journal Article"&gt;17&lt;/ref-type&gt;&lt;contributors&gt;&lt;authors&gt;&lt;author&gt;Ghasemi, Yasaman&lt;/author&gt;&lt;author&gt;Sadeghi, Marzieh&lt;/author&gt;&lt;author&gt;Ehzari, Hosna&lt;/author&gt;&lt;author&gt;Derakhshankhah, Hossein&lt;/author&gt;&lt;/authors&gt;&lt;/contributors&gt;&lt;titles&gt;&lt;title&gt;Label-free electrochemical immunosensor based on antibody-immobilized Fe-Cu layered double hydroxide nanosheetas an electrochemical probe for the detection of ultra trace amount of prostate cancer biomarker (PSA)&lt;/title&gt;&lt;secondary-title&gt;Microchemical Journal&lt;/secondary-title&gt;&lt;/titles&gt;&lt;pages&gt;109460&lt;/pages&gt;&lt;volume&gt;195&lt;/volume&gt;&lt;keywords&gt;&lt;keyword&gt;Electrochemical immunosensor&lt;/keyword&gt;&lt;keyword&gt;Reduced graphene oxide&lt;/keyword&gt;&lt;keyword&gt;Fe-Cu LDH&lt;/keyword&gt;&lt;keyword&gt;Prostate-specific antigen&lt;/keyword&gt;&lt;keyword&gt;Premature prostate cancer diagnostics&lt;/keyword&gt;&lt;/keywords&gt;&lt;dates&gt;&lt;year&gt;2023&lt;/year&gt;&lt;pub-dates&gt;&lt;date&gt;2023/12/01/&lt;/date&gt;&lt;/pub-dates&gt;&lt;/dates&gt;&lt;isbn&gt;0026-265X&lt;/isbn&gt;&lt;urls&gt;&lt;related-urls&gt;&lt;url&gt;https://www.sciencedirect.com/science/article/pii/S0026265X23010792&lt;/url&gt;&lt;/related-urls&gt;&lt;/urls&gt;&lt;electronic-resource-num&gt;https://doi.org/10.1016/j.microc.2023.109460&lt;/electronic-resource-num&gt;&lt;/record&gt;&lt;/Cite&gt;&lt;/EndNote&gt;</w:instrText>
            </w:r>
            <w:r>
              <w:rPr>
                <w:color w:val="0070C0"/>
                <w:sz w:val="18"/>
                <w:szCs w:val="18"/>
              </w:rPr>
              <w:fldChar w:fldCharType="separate"/>
            </w:r>
            <w:r>
              <w:rPr>
                <w:color w:val="0070C0"/>
                <w:sz w:val="18"/>
                <w:szCs w:val="18"/>
              </w:rPr>
              <w:t>(</w:t>
            </w:r>
            <w:hyperlink w:anchor="_ENREF_13" w:tooltip="Ghasemi, 2023 #196" w:history="1">
              <w:r w:rsidR="00AD484B">
                <w:rPr>
                  <w:color w:val="0070C0"/>
                  <w:sz w:val="18"/>
                  <w:szCs w:val="18"/>
                </w:rPr>
                <w:t>Ghasemi et al., 2023</w:t>
              </w:r>
            </w:hyperlink>
            <w:r>
              <w:rPr>
                <w:color w:val="0070C0"/>
                <w:sz w:val="18"/>
                <w:szCs w:val="18"/>
              </w:rPr>
              <w:t>)</w:t>
            </w:r>
            <w:r>
              <w:rPr>
                <w:color w:val="0070C0"/>
                <w:sz w:val="18"/>
                <w:szCs w:val="18"/>
              </w:rPr>
              <w:fldChar w:fldCharType="end"/>
            </w:r>
          </w:p>
        </w:tc>
      </w:tr>
      <w:tr w:rsidR="00AD484B" w14:paraId="4A740924" w14:textId="77777777">
        <w:tc>
          <w:tcPr>
            <w:tcW w:w="866" w:type="dxa"/>
            <w:tcBorders>
              <w:top w:val="nil"/>
              <w:bottom w:val="nil"/>
              <w:right w:val="nil"/>
            </w:tcBorders>
          </w:tcPr>
          <w:p w14:paraId="51B3705A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6BEA1405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rFonts w:eastAsiaTheme="minor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APBA/6-PICA/GCE</w:t>
            </w:r>
            <w:r>
              <w:rPr>
                <w:sz w:val="18"/>
                <w:szCs w:val="18"/>
                <w:vertAlign w:val="superscript"/>
              </w:rPr>
              <w:t>g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0E0EF02B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SWV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6E2047E8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0.5 - 100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</w:tcPr>
          <w:p w14:paraId="67738883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0.11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</w:tcBorders>
          </w:tcPr>
          <w:p w14:paraId="564905E5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fldChar w:fldCharType="begin"/>
            </w:r>
            <w:r>
              <w:rPr>
                <w:color w:val="0070C0"/>
                <w:sz w:val="18"/>
                <w:szCs w:val="18"/>
              </w:rPr>
              <w:instrText xml:space="preserve"> ADDIN EN.CITE &lt;EndNote&gt;&lt;Cite&gt;&lt;Author&gt;Martínez-Rojas&lt;/Author&gt;&lt;Year&gt;2021&lt;/Year&gt;&lt;RecNum&gt;202&lt;/RecNum&gt;&lt;DisplayText&gt;(Martínez-Rojas et al., 2021)&lt;/DisplayText&gt;&lt;record&gt;&lt;rec-number&gt;202&lt;/rec-number&gt;&lt;foreign-keys&gt;&lt;key app="EN" db-id="09dwzed2meev5aetrapxs0sp0zer95pdx9fd" timestamp="1700099652"&gt;202&lt;/key&gt;&lt;/foreign-keys&gt;&lt;ref-type name="Journal Article"&gt;17&lt;/ref-type&gt;&lt;contributors&gt;&lt;authors&gt;&lt;author&gt;Martínez-Rojas, Francisco&lt;/author&gt;&lt;author&gt;Castañeda, Erik&lt;/author&gt;&lt;author&gt;Armijo, Francisco&lt;/author&gt;&lt;/authors&gt;&lt;/contributors&gt;&lt;titles&gt;&lt;title&gt;Conducting polymer applied in a label-free electrochemical immunosensor for the detection prostate-specific antigen using its redox response as an analytical signal&lt;/title&gt;&lt;secondary-title&gt;Journal of Electroanalytical Chemistry&lt;/secondary-title&gt;&lt;/titles&gt;&lt;pages&gt;114877&lt;/pages&gt;&lt;volume&gt;880&lt;/volume&gt;&lt;keywords&gt;&lt;keyword&gt;Electrochemical&lt;/keyword&gt;&lt;keyword&gt;Immunosensor&lt;/keyword&gt;&lt;keyword&gt;Conducting polymer&lt;/keyword&gt;&lt;keyword&gt;Prostate-specific antigen&lt;/keyword&gt;&lt;/keywords&gt;&lt;dates&gt;&lt;year&gt;2021&lt;/year&gt;&lt;pub-dates&gt;&lt;date&gt;2021/01/01/&lt;/date&gt;&lt;/pub-dates&gt;&lt;/dates&gt;&lt;isbn&gt;1572-6657&lt;/isbn&gt;&lt;urls&gt;&lt;related-urls&gt;&lt;url&gt;https://www.sciencedirect.com/science/article/pii/S1572665720311061&lt;/url&gt;&lt;/related-urls&gt;&lt;/urls&gt;&lt;electronic-resource-num&gt;https://doi.org/10.1016/j.jelechem.2020.114877&lt;/electronic-resource-num&gt;&lt;/record&gt;&lt;/Cite&gt;&lt;/EndNote&gt;</w:instrText>
            </w:r>
            <w:r>
              <w:rPr>
                <w:color w:val="0070C0"/>
                <w:sz w:val="18"/>
                <w:szCs w:val="18"/>
              </w:rPr>
              <w:fldChar w:fldCharType="separate"/>
            </w:r>
            <w:r>
              <w:rPr>
                <w:color w:val="0070C0"/>
                <w:sz w:val="18"/>
                <w:szCs w:val="18"/>
              </w:rPr>
              <w:t>(</w:t>
            </w:r>
            <w:hyperlink w:anchor="_ENREF_33" w:tooltip="Martínez-Rojas, 2021 #202" w:history="1">
              <w:r w:rsidR="00AD484B">
                <w:rPr>
                  <w:color w:val="0070C0"/>
                  <w:sz w:val="18"/>
                  <w:szCs w:val="18"/>
                </w:rPr>
                <w:t>Martínez-Rojas et al., 2021</w:t>
              </w:r>
            </w:hyperlink>
            <w:r>
              <w:rPr>
                <w:color w:val="0070C0"/>
                <w:sz w:val="18"/>
                <w:szCs w:val="18"/>
              </w:rPr>
              <w:t>)</w:t>
            </w:r>
            <w:r>
              <w:rPr>
                <w:color w:val="0070C0"/>
                <w:sz w:val="18"/>
                <w:szCs w:val="18"/>
              </w:rPr>
              <w:fldChar w:fldCharType="end"/>
            </w:r>
          </w:p>
        </w:tc>
      </w:tr>
      <w:tr w:rsidR="00AD484B" w14:paraId="4200CFB5" w14:textId="77777777">
        <w:tc>
          <w:tcPr>
            <w:tcW w:w="866" w:type="dxa"/>
            <w:tcBorders>
              <w:top w:val="nil"/>
              <w:bottom w:val="nil"/>
              <w:right w:val="nil"/>
            </w:tcBorders>
          </w:tcPr>
          <w:p w14:paraId="608F99F2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0011BA06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MWCNT</w:t>
            </w:r>
            <w:r>
              <w:rPr>
                <w:sz w:val="18"/>
                <w:szCs w:val="18"/>
                <w:vertAlign w:val="superscript"/>
              </w:rPr>
              <w:t>h</w:t>
            </w:r>
            <w:r>
              <w:rPr>
                <w:sz w:val="18"/>
                <w:szCs w:val="18"/>
              </w:rPr>
              <w:t>/Au NPs/SPE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431A3B3E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rFonts w:eastAsiaTheme="minor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DPV</w:t>
            </w:r>
            <w:r>
              <w:rPr>
                <w:sz w:val="18"/>
                <w:szCs w:val="18"/>
                <w:vertAlign w:val="superscript"/>
              </w:rPr>
              <w:t>i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605F82CE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1 - 100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</w:tcPr>
          <w:p w14:paraId="4B29F2AD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1×10</w:t>
            </w:r>
            <w:r>
              <w:rPr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</w:tcBorders>
          </w:tcPr>
          <w:p w14:paraId="234FA886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fldChar w:fldCharType="begin">
                <w:fldData xml:space="preserve">PEVuZE5vdGU+PENpdGU+PEF1dGhvcj5BbG5haW1pPC9BdXRob3I+PFllYXI+MjAyMjwvWWVhcj48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</w:fldData>
              </w:fldChar>
            </w:r>
            <w:r>
              <w:rPr>
                <w:color w:val="0070C0"/>
                <w:sz w:val="18"/>
                <w:szCs w:val="18"/>
              </w:rPr>
              <w:instrText xml:space="preserve"> ADDIN EN.CITE </w:instrText>
            </w:r>
            <w:r>
              <w:rPr>
                <w:color w:val="0070C0"/>
                <w:sz w:val="18"/>
                <w:szCs w:val="18"/>
              </w:rPr>
              <w:fldChar w:fldCharType="begin">
                <w:fldData xml:space="preserve">PEVuZE5vdGU+PENpdGU+PEF1dGhvcj5BbG5haW1pPC9BdXRob3I+PFllYXI+MjAyMjwvWWVhcj48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</w:fldData>
              </w:fldChar>
            </w:r>
            <w:r>
              <w:rPr>
                <w:color w:val="0070C0"/>
                <w:sz w:val="18"/>
                <w:szCs w:val="18"/>
              </w:rPr>
              <w:instrText xml:space="preserve"> ADDIN EN.CITE.DATA </w:instrText>
            </w:r>
            <w:r>
              <w:rPr>
                <w:color w:val="0070C0"/>
                <w:sz w:val="18"/>
                <w:szCs w:val="18"/>
              </w:rPr>
            </w:r>
            <w:r>
              <w:rPr>
                <w:color w:val="0070C0"/>
                <w:sz w:val="18"/>
                <w:szCs w:val="18"/>
              </w:rPr>
              <w:fldChar w:fldCharType="end"/>
            </w:r>
            <w:r>
              <w:rPr>
                <w:color w:val="0070C0"/>
                <w:sz w:val="18"/>
                <w:szCs w:val="18"/>
              </w:rPr>
            </w:r>
            <w:r>
              <w:rPr>
                <w:color w:val="0070C0"/>
                <w:sz w:val="18"/>
                <w:szCs w:val="18"/>
              </w:rPr>
              <w:fldChar w:fldCharType="separate"/>
            </w:r>
            <w:r>
              <w:rPr>
                <w:color w:val="0070C0"/>
                <w:sz w:val="18"/>
                <w:szCs w:val="18"/>
              </w:rPr>
              <w:t>(</w:t>
            </w:r>
            <w:hyperlink w:anchor="_ENREF_3" w:tooltip="Alnaimi, 2022 #203" w:history="1">
              <w:r w:rsidR="00AD484B">
                <w:rPr>
                  <w:color w:val="0070C0"/>
                  <w:sz w:val="18"/>
                  <w:szCs w:val="18"/>
                </w:rPr>
                <w:t>Alnaimi et al., 2022</w:t>
              </w:r>
            </w:hyperlink>
            <w:r>
              <w:rPr>
                <w:color w:val="0070C0"/>
                <w:sz w:val="18"/>
                <w:szCs w:val="18"/>
              </w:rPr>
              <w:t>)</w:t>
            </w:r>
            <w:r>
              <w:rPr>
                <w:color w:val="0070C0"/>
                <w:sz w:val="18"/>
                <w:szCs w:val="18"/>
              </w:rPr>
              <w:fldChar w:fldCharType="end"/>
            </w:r>
          </w:p>
        </w:tc>
      </w:tr>
      <w:tr w:rsidR="00AD484B" w14:paraId="3DDF8B27" w14:textId="77777777">
        <w:tc>
          <w:tcPr>
            <w:tcW w:w="866" w:type="dxa"/>
            <w:tcBorders>
              <w:top w:val="nil"/>
              <w:bottom w:val="nil"/>
              <w:right w:val="nil"/>
            </w:tcBorders>
          </w:tcPr>
          <w:p w14:paraId="342D20FB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425708F0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</w:t>
            </w:r>
            <w:r>
              <w:rPr>
                <w:sz w:val="18"/>
                <w:szCs w:val="18"/>
                <w:vertAlign w:val="superscript"/>
              </w:rPr>
              <w:t>j</w:t>
            </w:r>
            <w:r>
              <w:rPr>
                <w:sz w:val="18"/>
                <w:szCs w:val="18"/>
              </w:rPr>
              <w:t>/Au NPs/Nafion/SPE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1FFEAB2B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EIS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07F94B25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0.05 - 50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</w:tcPr>
          <w:p w14:paraId="01C4789A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0.0306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</w:tcBorders>
          </w:tcPr>
          <w:p w14:paraId="69535B39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fldChar w:fldCharType="begin"/>
            </w:r>
            <w:r>
              <w:rPr>
                <w:color w:val="0070C0"/>
                <w:sz w:val="18"/>
                <w:szCs w:val="18"/>
              </w:rPr>
              <w:instrText xml:space="preserve"> ADDIN EN.CITE &lt;EndNote&gt;&lt;Cite&gt;&lt;Author&gt;Hu&lt;/Author&gt;&lt;Year&gt;2023&lt;/Year&gt;&lt;RecNum&gt;207&lt;/RecNum&gt;&lt;DisplayText&gt;(Hu et al., 2023)&lt;/DisplayText&gt;&lt;record&gt;&lt;rec-number&gt;207&lt;/rec-number&gt;&lt;foreign-keys&gt;&lt;key app="EN" db-id="09dwzed2meev5aetrapxs0sp0zer95pdx9fd" timestamp="1700099857"&gt;207&lt;/key&gt;&lt;/foreign-keys&gt;&lt;ref-type name="Journal Article"&gt;17&lt;/ref-type&gt;&lt;contributors&gt;&lt;authors&gt;&lt;author&gt;Hu, Tao&lt;/author&gt;&lt;author&gt;Bai, Zeyang&lt;/author&gt;&lt;author&gt;Wang, Di&lt;/author&gt;&lt;author&gt;Bai, Ying&lt;/author&gt;&lt;author&gt;Li, Xiao&lt;/author&gt;&lt;author&gt;Ni, Zhonghua&lt;/author&gt;&lt;/authors&gt;&lt;/contributors&gt;&lt;titles&gt;&lt;title&gt;Electrochemical aptasensor based on 3D graphene aerogel for prostate specific antigen detection&lt;/title&gt;&lt;secondary-title&gt;Microchemical Journal&lt;/secondary-title&gt;&lt;/titles&gt;&lt;pages&gt;109436&lt;/pages&gt;&lt;volume&gt;195&lt;/volume&gt;&lt;keywords&gt;&lt;keyword&gt;Prostate specific antigen&lt;/keyword&gt;&lt;keyword&gt;Graphene aerogel&lt;/keyword&gt;&lt;keyword&gt;Screen-printed electrode&lt;/keyword&gt;&lt;keyword&gt;Electrochemical impedance spectroscopy&lt;/keyword&gt;&lt;keyword&gt;Aptamer&lt;/keyword&gt;&lt;keyword&gt;Biosensor&lt;/keyword&gt;&lt;/keywords&gt;&lt;dates&gt;&lt;year&gt;2023&lt;/year&gt;&lt;pub-dates&gt;&lt;date&gt;2023/12/01/&lt;/date&gt;&lt;/pub-dates&gt;&lt;/dates&gt;&lt;isbn&gt;0026-265X&lt;/isbn&gt;&lt;urls&gt;&lt;related-urls&gt;&lt;url&gt;https://www.sciencedirect.com/science/article/pii/S0026265X2301055X&lt;/url&gt;&lt;/related-urls&gt;&lt;/urls&gt;&lt;electronic-resource-num&gt;https://doi.org/10.1016/j.microc.2023.109436&lt;/electronic-resource-num&gt;&lt;/record&gt;&lt;/Cite&gt;&lt;/EndNote&gt;</w:instrText>
            </w:r>
            <w:r>
              <w:rPr>
                <w:color w:val="0070C0"/>
                <w:sz w:val="18"/>
                <w:szCs w:val="18"/>
              </w:rPr>
              <w:fldChar w:fldCharType="separate"/>
            </w:r>
            <w:r>
              <w:rPr>
                <w:color w:val="0070C0"/>
                <w:sz w:val="18"/>
                <w:szCs w:val="18"/>
              </w:rPr>
              <w:t>(</w:t>
            </w:r>
            <w:hyperlink w:anchor="_ENREF_17" w:tooltip="Hu, 2023 #207" w:history="1">
              <w:r w:rsidR="00AD484B">
                <w:rPr>
                  <w:color w:val="0070C0"/>
                  <w:sz w:val="18"/>
                  <w:szCs w:val="18"/>
                </w:rPr>
                <w:t>Hu et al., 2023</w:t>
              </w:r>
            </w:hyperlink>
            <w:r>
              <w:rPr>
                <w:color w:val="0070C0"/>
                <w:sz w:val="18"/>
                <w:szCs w:val="18"/>
              </w:rPr>
              <w:t>)</w:t>
            </w:r>
            <w:r>
              <w:rPr>
                <w:color w:val="0070C0"/>
                <w:sz w:val="18"/>
                <w:szCs w:val="18"/>
              </w:rPr>
              <w:fldChar w:fldCharType="end"/>
            </w:r>
          </w:p>
        </w:tc>
      </w:tr>
      <w:tr w:rsidR="00AD484B" w14:paraId="0A191217" w14:textId="77777777">
        <w:tc>
          <w:tcPr>
            <w:tcW w:w="866" w:type="dxa"/>
            <w:tcBorders>
              <w:top w:val="nil"/>
              <w:bottom w:val="nil"/>
              <w:right w:val="nil"/>
            </w:tcBorders>
          </w:tcPr>
          <w:p w14:paraId="43EA21CC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081F65A8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Ag/ds-DNA/PEDOT/SPE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378B89A4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EIS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7F2C2779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1×10</w:t>
            </w:r>
            <w:r>
              <w:rPr>
                <w:sz w:val="18"/>
                <w:szCs w:val="18"/>
                <w:vertAlign w:val="superscript"/>
              </w:rPr>
              <w:t xml:space="preserve">-4 </w:t>
            </w:r>
            <w:r>
              <w:rPr>
                <w:sz w:val="18"/>
                <w:szCs w:val="18"/>
              </w:rPr>
              <w:t>- 100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</w:tcPr>
          <w:p w14:paraId="5BF3576C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eastAsia="Georgia"/>
                <w:sz w:val="18"/>
                <w:szCs w:val="18"/>
              </w:rPr>
              <w:t>1.7</w:t>
            </w:r>
            <w:r>
              <w:rPr>
                <w:sz w:val="18"/>
                <w:szCs w:val="18"/>
              </w:rPr>
              <w:t>×10</w:t>
            </w:r>
            <w:r>
              <w:rPr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</w:tcBorders>
          </w:tcPr>
          <w:p w14:paraId="216DBDDA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fldChar w:fldCharType="begin"/>
            </w:r>
            <w:r>
              <w:rPr>
                <w:color w:val="0070C0"/>
                <w:sz w:val="18"/>
                <w:szCs w:val="18"/>
              </w:rPr>
              <w:instrText xml:space="preserve"> ADDIN EN.CITE &lt;EndNote&gt;&lt;Cite&gt;&lt;Author&gt;Liu&lt;/Author&gt;&lt;Year&gt;2023&lt;/Year&gt;&lt;RecNum&gt;208&lt;/RecNum&gt;&lt;DisplayText&gt;(Liu, 2023)&lt;/DisplayText&gt;&lt;record&gt;&lt;rec-number&gt;208&lt;/rec-number&gt;&lt;foreign-keys&gt;&lt;key app="EN" db-id="09dwzed2meev5aetrapxs0sp0zer95pdx9fd" timestamp="1700099887"&gt;208&lt;/key&gt;&lt;/foreign-keys&gt;&lt;ref-type name="Journal Article"&gt;17&lt;/ref-type&gt;&lt;contributors&gt;&lt;authors&gt;&lt;author&gt;Liu, Yang&lt;/author&gt;&lt;/authors&gt;&lt;/contributors&gt;&lt;titles&gt;&lt;title&gt;Highly sensitive sensing detection of prostate-specific antigen based on point-of-care electrochemical immunosensor&lt;/title&gt;&lt;secondary-title&gt;International Journal of Electrochemical Science&lt;/secondary-title&gt;&lt;/titles&gt;&lt;pages&gt;100028&lt;/pages&gt;&lt;volume&gt;18&lt;/volume&gt;&lt;number&gt;3&lt;/number&gt;&lt;keywords&gt;&lt;keyword&gt;Point-of-care&lt;/keyword&gt;&lt;keyword&gt;Prostate-specific antigens&lt;/keyword&gt;&lt;keyword&gt;Immunosensor&lt;/keyword&gt;&lt;keyword&gt;AgNPs&lt;/keyword&gt;&lt;keyword&gt;PEDOTS&lt;/keyword&gt;&lt;/keywords&gt;&lt;dates&gt;&lt;year&gt;2023&lt;/year&gt;&lt;pub-dates&gt;&lt;date&gt;2023/03/01/&lt;/date&gt;&lt;/pub-dates&gt;&lt;/dates&gt;&lt;isbn&gt;1452-3981&lt;/isbn&gt;&lt;urls&gt;&lt;related-urls&gt;&lt;url&gt;https://www.sciencedirect.com/science/article/pii/S1452398123000354&lt;/url&gt;&lt;/related-urls&gt;&lt;/urls&gt;&lt;electronic-resource-num&gt;https://doi.org/10.1016/j.ijoes.2023.01.028&lt;/electronic-resource-num&gt;&lt;/record&gt;&lt;/Cite&gt;&lt;/EndNote&gt;</w:instrText>
            </w:r>
            <w:r>
              <w:rPr>
                <w:color w:val="0070C0"/>
                <w:sz w:val="18"/>
                <w:szCs w:val="18"/>
              </w:rPr>
              <w:fldChar w:fldCharType="separate"/>
            </w:r>
            <w:r>
              <w:rPr>
                <w:color w:val="0070C0"/>
                <w:sz w:val="18"/>
                <w:szCs w:val="18"/>
              </w:rPr>
              <w:t>(</w:t>
            </w:r>
            <w:hyperlink w:anchor="_ENREF_28" w:tooltip="Liu, 2023 #208" w:history="1">
              <w:r w:rsidR="00AD484B">
                <w:rPr>
                  <w:color w:val="0070C0"/>
                  <w:sz w:val="18"/>
                  <w:szCs w:val="18"/>
                </w:rPr>
                <w:t>Liu, 2023</w:t>
              </w:r>
            </w:hyperlink>
            <w:r>
              <w:rPr>
                <w:color w:val="0070C0"/>
                <w:sz w:val="18"/>
                <w:szCs w:val="18"/>
              </w:rPr>
              <w:t>)</w:t>
            </w:r>
            <w:r>
              <w:rPr>
                <w:color w:val="0070C0"/>
                <w:sz w:val="18"/>
                <w:szCs w:val="18"/>
              </w:rPr>
              <w:fldChar w:fldCharType="end"/>
            </w:r>
          </w:p>
        </w:tc>
      </w:tr>
      <w:tr w:rsidR="00AD484B" w14:paraId="0AE1A6B3" w14:textId="77777777">
        <w:tc>
          <w:tcPr>
            <w:tcW w:w="866" w:type="dxa"/>
            <w:tcBorders>
              <w:top w:val="nil"/>
              <w:bottom w:val="nil"/>
              <w:right w:val="nil"/>
            </w:tcBorders>
          </w:tcPr>
          <w:p w14:paraId="7ED7B12D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PSMA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33B50DB9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 NP/SPGE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43DC4E25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DPV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75AEB668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0 - 5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</w:tcPr>
          <w:p w14:paraId="4A98B33C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0.47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</w:tcBorders>
          </w:tcPr>
          <w:p w14:paraId="5F20DD96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fldChar w:fldCharType="begin"/>
            </w:r>
            <w:r>
              <w:rPr>
                <w:color w:val="0070C0"/>
                <w:sz w:val="18"/>
                <w:szCs w:val="18"/>
              </w:rPr>
              <w:instrText xml:space="preserve"> ADDIN EN.CITE &lt;EndNote&gt;&lt;Cite&gt;&lt;Author&gt;Kabay&lt;/Author&gt;&lt;Year&gt;2022&lt;/Year&gt;&lt;RecNum&gt;200&lt;/RecNum&gt;&lt;DisplayText&gt;(Kabay et al., 2022)&lt;/DisplayText&gt;&lt;record&gt;&lt;rec-number&gt;200&lt;/rec-number&gt;&lt;foreign-keys&gt;&lt;key app="EN" db-id="09dwzed2meev5aetrapxs0sp0zer95pdx9fd" timestamp="1700056391"&gt;200&lt;/key&gt;&lt;/foreign-keys&gt;&lt;ref-type name="Journal Article"&gt;17&lt;/ref-type&gt;&lt;contributors&gt;&lt;authors&gt;&lt;author&gt;Kabay, Gozde&lt;/author&gt;&lt;author&gt;Yin, Yaoqi&lt;/author&gt;&lt;author&gt;Singh, Chandra K.&lt;/author&gt;&lt;author&gt;Ahmad, Nihal&lt;/author&gt;&lt;author&gt;Gunasekaran, Sundaram&lt;/author&gt;&lt;author&gt;Mutlu, Mehmet&lt;/author&gt;&lt;/authors&gt;&lt;/contributors&gt;&lt;titles&gt;&lt;title&gt;Disposable electrochemical immunosensor for prostate cancer detection&lt;/title&gt;&lt;secondary-title&gt;Sensors and Actuators B: Chemical&lt;/secondary-title&gt;&lt;/titles&gt;&lt;pages&gt;131667&lt;/pages&gt;&lt;volume&gt;360&lt;/volume&gt;&lt;keywords&gt;&lt;keyword&gt;Prostate cancer&lt;/keyword&gt;&lt;keyword&gt;PSMA&lt;/keyword&gt;&lt;keyword&gt;Electrochemical&lt;/keyword&gt;&lt;keyword&gt;Immunosensor&lt;/keyword&gt;&lt;keyword&gt;Screen-printed electrode&lt;/keyword&gt;&lt;keyword&gt;Gold nanoparticles&lt;/keyword&gt;&lt;/keywords&gt;&lt;dates&gt;&lt;year&gt;2022&lt;/year&gt;&lt;pub-dates&gt;&lt;date&gt;2022/06/01/&lt;/date&gt;&lt;/pub-dates&gt;&lt;/dates&gt;&lt;isbn&gt;0925-4005&lt;/isbn&gt;&lt;urls&gt;&lt;related-urls&gt;&lt;url&gt;https://www.sciencedirect.com/science/article/pii/S0925400522003094&lt;/url&gt;&lt;/related-urls&gt;&lt;/urls&gt;&lt;electronic-resource-num&gt;https://doi.org/10.1016/j.snb.2022.131667&lt;/electronic-resource-num&gt;&lt;/record&gt;&lt;/Cite&gt;&lt;/EndNote&gt;</w:instrText>
            </w:r>
            <w:r>
              <w:rPr>
                <w:color w:val="0070C0"/>
                <w:sz w:val="18"/>
                <w:szCs w:val="18"/>
              </w:rPr>
              <w:fldChar w:fldCharType="separate"/>
            </w:r>
            <w:r>
              <w:rPr>
                <w:color w:val="0070C0"/>
                <w:sz w:val="18"/>
                <w:szCs w:val="18"/>
              </w:rPr>
              <w:t>(</w:t>
            </w:r>
            <w:hyperlink w:anchor="_ENREF_20" w:tooltip="Kabay, 2022 #200" w:history="1">
              <w:r w:rsidR="00AD484B">
                <w:rPr>
                  <w:color w:val="0070C0"/>
                  <w:sz w:val="18"/>
                  <w:szCs w:val="18"/>
                </w:rPr>
                <w:t>Kabay et al., 2022</w:t>
              </w:r>
            </w:hyperlink>
            <w:r>
              <w:rPr>
                <w:color w:val="0070C0"/>
                <w:sz w:val="18"/>
                <w:szCs w:val="18"/>
              </w:rPr>
              <w:t>)</w:t>
            </w:r>
            <w:r>
              <w:rPr>
                <w:color w:val="0070C0"/>
                <w:sz w:val="18"/>
                <w:szCs w:val="18"/>
              </w:rPr>
              <w:fldChar w:fldCharType="end"/>
            </w:r>
          </w:p>
        </w:tc>
      </w:tr>
      <w:tr w:rsidR="00AD484B" w14:paraId="4C26BFEA" w14:textId="77777777">
        <w:tc>
          <w:tcPr>
            <w:tcW w:w="866" w:type="dxa"/>
            <w:tcBorders>
              <w:top w:val="nil"/>
              <w:bottom w:val="nil"/>
              <w:right w:val="nil"/>
            </w:tcBorders>
          </w:tcPr>
          <w:p w14:paraId="0DC4E763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PSMA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55ED89F2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P(Thi-diSuc)</w:t>
            </w:r>
            <w:r>
              <w:rPr>
                <w:sz w:val="18"/>
                <w:szCs w:val="18"/>
                <w:vertAlign w:val="superscript"/>
              </w:rPr>
              <w:t>k</w:t>
            </w:r>
            <w:r>
              <w:rPr>
                <w:sz w:val="18"/>
                <w:szCs w:val="18"/>
              </w:rPr>
              <w:t>/ITO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14D1DF9C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CV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527C1D37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1.5×10</w:t>
            </w:r>
            <w:r>
              <w:rPr>
                <w:sz w:val="18"/>
                <w:szCs w:val="18"/>
                <w:vertAlign w:val="superscript"/>
              </w:rPr>
              <w:t>-5</w:t>
            </w:r>
            <w:r>
              <w:rPr>
                <w:sz w:val="18"/>
                <w:szCs w:val="18"/>
              </w:rPr>
              <w:t xml:space="preserve"> - 1.44 ×10</w:t>
            </w:r>
            <w:r>
              <w:rPr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</w:tcPr>
          <w:p w14:paraId="7E79B3FF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6.4×10</w:t>
            </w:r>
            <w:r>
              <w:rPr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</w:tcBorders>
          </w:tcPr>
          <w:p w14:paraId="1DFB48DB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fldChar w:fldCharType="begin"/>
            </w:r>
            <w:r>
              <w:rPr>
                <w:color w:val="0070C0"/>
                <w:sz w:val="18"/>
                <w:szCs w:val="18"/>
              </w:rPr>
              <w:instrText xml:space="preserve"> ADDIN EN.CITE &lt;EndNote&gt;&lt;Cite&gt;&lt;Author&gt;Aydın&lt;/Author&gt;&lt;Year&gt;2021&lt;/Year&gt;&lt;RecNum&gt;209&lt;/RecNum&gt;&lt;DisplayText&gt;(Aydın et al., 2021)&lt;/DisplayText&gt;&lt;record&gt;&lt;rec-number&gt;209&lt;/rec-number&gt;&lt;foreign-keys&gt;&lt;key app="EN" db-id="09dwzed2meev5aetrapxs0sp0zer95pdx9fd" timestamp="1700104944"&gt;209&lt;/key&gt;&lt;/foreign-keys&gt;&lt;ref-type name="Journal Article"&gt;17&lt;/ref-type&gt;&lt;contributors&gt;&lt;authors&gt;&lt;author&gt;Aydın, Elif Burcu&lt;/author&gt;&lt;author&gt;Aydın, Muhammet&lt;/author&gt;&lt;author&gt;Sezgintürk, Mustafa Kemal&lt;/author&gt;&lt;/authors&gt;&lt;/contributors&gt;&lt;titles&gt;&lt;title&gt;Ultrasensitive and Selective Impedimetric Determination of Prostate Specific Membrane Antigen Based on Di-Succinimide Functionalized Polythiophene Covered Cost-Effective Indium Tin Oxide&lt;/title&gt;&lt;secondary-title&gt;Macromolecular Bioscience&lt;/secondary-title&gt;&lt;/titles&gt;&lt;pages&gt;2100173&lt;/pages&gt;&lt;volume&gt;21&lt;/volume&gt;&lt;number&gt;10&lt;/number&gt;&lt;keywords&gt;&lt;keyword&gt;di-succinimide substituted polythiophene polymer&lt;/keyword&gt;&lt;keyword&gt;electrochemical impedance spectroscopy&lt;/keyword&gt;&lt;keyword&gt;indium tin oxide&lt;/keyword&gt;&lt;keyword&gt;prostate specific membrane antigen&lt;/keyword&gt;&lt;/keywords&gt;&lt;dates&gt;&lt;year&gt;2021&lt;/year&gt;&lt;pub-dates&gt;&lt;date&gt;2021/10/01&lt;/date&gt;&lt;/pub-dates&gt;&lt;/dates&gt;&lt;publisher&gt;John Wiley &amp;amp; Sons, Ltd&lt;/publisher&gt;&lt;isbn&gt;1616-5187&lt;/isbn&gt;&lt;urls&gt;&lt;related-urls&gt;&lt;url&gt;https://doi.org/10.1002/mabi.202100173&lt;/url&gt;&lt;/related-urls&gt;&lt;/urls&gt;&lt;electronic-resource-num&gt;https://doi.org/10.1002/mabi.202100173&lt;/electronic-resource-num&gt;&lt;access-date&gt;2023/11/15&lt;/access-date&gt;&lt;/record&gt;&lt;/Cite&gt;&lt;/EndNote&gt;</w:instrText>
            </w:r>
            <w:r>
              <w:rPr>
                <w:color w:val="0070C0"/>
                <w:sz w:val="18"/>
                <w:szCs w:val="18"/>
              </w:rPr>
              <w:fldChar w:fldCharType="separate"/>
            </w:r>
            <w:r>
              <w:rPr>
                <w:color w:val="0070C0"/>
                <w:sz w:val="18"/>
                <w:szCs w:val="18"/>
              </w:rPr>
              <w:t>(</w:t>
            </w:r>
            <w:hyperlink w:anchor="_ENREF_5" w:tooltip="Aydın, 2021 #209" w:history="1">
              <w:r w:rsidR="00AD484B">
                <w:rPr>
                  <w:color w:val="0070C0"/>
                  <w:sz w:val="18"/>
                  <w:szCs w:val="18"/>
                </w:rPr>
                <w:t>Aydın et al., 2021</w:t>
              </w:r>
            </w:hyperlink>
            <w:r>
              <w:rPr>
                <w:color w:val="0070C0"/>
                <w:sz w:val="18"/>
                <w:szCs w:val="18"/>
              </w:rPr>
              <w:t>)</w:t>
            </w:r>
            <w:r>
              <w:rPr>
                <w:color w:val="0070C0"/>
                <w:sz w:val="18"/>
                <w:szCs w:val="18"/>
              </w:rPr>
              <w:fldChar w:fldCharType="end"/>
            </w:r>
          </w:p>
        </w:tc>
      </w:tr>
      <w:tr w:rsidR="00AD484B" w14:paraId="1FE15B34" w14:textId="77777777">
        <w:tc>
          <w:tcPr>
            <w:tcW w:w="866" w:type="dxa"/>
            <w:tcBorders>
              <w:top w:val="nil"/>
              <w:bottom w:val="nil"/>
              <w:right w:val="nil"/>
            </w:tcBorders>
          </w:tcPr>
          <w:p w14:paraId="059D635B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PSMA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01F94A64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N-Au NPs</w:t>
            </w:r>
            <w:r>
              <w:rPr>
                <w:sz w:val="18"/>
                <w:szCs w:val="18"/>
                <w:vertAlign w:val="superscript"/>
              </w:rPr>
              <w:t>l</w:t>
            </w:r>
            <w:r>
              <w:rPr>
                <w:sz w:val="18"/>
                <w:szCs w:val="18"/>
              </w:rPr>
              <w:t>/ITO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53A797DF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DPV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5F7A3308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19 - 6,250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</w:tcPr>
          <w:p w14:paraId="6E04B5C3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12.5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</w:tcBorders>
          </w:tcPr>
          <w:p w14:paraId="45BDDD58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fldChar w:fldCharType="begin"/>
            </w:r>
            <w:r>
              <w:rPr>
                <w:color w:val="0070C0"/>
                <w:sz w:val="18"/>
                <w:szCs w:val="18"/>
              </w:rPr>
              <w:instrText xml:space="preserve"> ADDIN EN.CITE &lt;EndNote&gt;&lt;Cite&gt;&lt;Author&gt;Seenivasan&lt;/Author&gt;&lt;Year&gt;2017&lt;/Year&gt;&lt;RecNum&gt;212&lt;/RecNum&gt;&lt;DisplayText&gt;(Seenivasan et al., 2017)&lt;/DisplayText&gt;&lt;record&gt;&lt;rec-number&gt;212&lt;/rec-number&gt;&lt;foreign-keys&gt;&lt;key app="EN" db-id="09dwzed2meev5aetrapxs0sp0zer95pdx9fd" timestamp="1700109779"&gt;212&lt;/key&gt;&lt;/foreign-keys&gt;&lt;ref-type name="Journal Article"&gt;17&lt;/ref-type&gt;&lt;contributors&gt;&lt;authors&gt;&lt;author&gt;Seenivasan, Rajesh&lt;/author&gt;&lt;author&gt;Singh, Chandra K.&lt;/author&gt;&lt;author&gt;Warrick, Jay W.&lt;/author&gt;&lt;author&gt;Ahmad, Nihal&lt;/author&gt;&lt;author&gt;Gunasekaran, Sundaram&lt;/author&gt;&lt;/authors&gt;&lt;/contributors&gt;&lt;titles&gt;&lt;title&gt;Microfluidic-integrated patterned ITO immunosensor for rapid detection of prostate-specific membrane antigen biomarker in prostate cancer&lt;/title&gt;&lt;secondary-title&gt;Biosensors and Bioelectronics&lt;/secondary-title&gt;&lt;/titles&gt;&lt;pages&gt;160-167&lt;/pages&gt;&lt;volume&gt;95&lt;/volume&gt;&lt;keywords&gt;&lt;keyword&gt;ITO three-electrode patterning&lt;/keyword&gt;&lt;keyword&gt;Microfluidic&lt;/keyword&gt;&lt;keyword&gt;Electrostatic&lt;/keyword&gt;&lt;keyword&gt;Immunocomplex&lt;/keyword&gt;&lt;keyword&gt;PSMA&lt;/keyword&gt;&lt;keyword&gt;Prostate cancer&lt;/keyword&gt;&lt;/keywords&gt;&lt;dates&gt;&lt;year&gt;2017&lt;/year&gt;&lt;pub-dates&gt;&lt;date&gt;2017/09/15/&lt;/date&gt;&lt;/pub-dates&gt;&lt;/dates&gt;&lt;isbn&gt;0956-5663&lt;/isbn&gt;&lt;urls&gt;&lt;related-urls&gt;&lt;url&gt;https://www.sciencedirect.com/science/article/pii/S0956566317302452&lt;/url&gt;&lt;/related-urls&gt;&lt;/urls&gt;&lt;electronic-resource-num&gt;https://doi.org/10.1016/j.bios.2017.04.004&lt;/electronic-resource-num&gt;&lt;/record&gt;&lt;/Cite&gt;&lt;/EndNote&gt;</w:instrText>
            </w:r>
            <w:r>
              <w:rPr>
                <w:color w:val="0070C0"/>
                <w:sz w:val="18"/>
                <w:szCs w:val="18"/>
              </w:rPr>
              <w:fldChar w:fldCharType="separate"/>
            </w:r>
            <w:r>
              <w:rPr>
                <w:color w:val="0070C0"/>
                <w:sz w:val="18"/>
                <w:szCs w:val="18"/>
              </w:rPr>
              <w:t>(</w:t>
            </w:r>
            <w:hyperlink w:anchor="_ENREF_40" w:tooltip="Seenivasan, 2017 #212" w:history="1">
              <w:r w:rsidR="00AD484B">
                <w:rPr>
                  <w:color w:val="0070C0"/>
                  <w:sz w:val="18"/>
                  <w:szCs w:val="18"/>
                </w:rPr>
                <w:t>Seenivasan et al., 2017</w:t>
              </w:r>
            </w:hyperlink>
            <w:r>
              <w:rPr>
                <w:color w:val="0070C0"/>
                <w:sz w:val="18"/>
                <w:szCs w:val="18"/>
              </w:rPr>
              <w:t>)</w:t>
            </w:r>
            <w:r>
              <w:rPr>
                <w:color w:val="0070C0"/>
                <w:sz w:val="18"/>
                <w:szCs w:val="18"/>
              </w:rPr>
              <w:fldChar w:fldCharType="end"/>
            </w:r>
          </w:p>
        </w:tc>
      </w:tr>
      <w:tr w:rsidR="00AD484B" w14:paraId="655580C6" w14:textId="77777777">
        <w:tc>
          <w:tcPr>
            <w:tcW w:w="866" w:type="dxa"/>
            <w:tcBorders>
              <w:top w:val="nil"/>
              <w:bottom w:val="nil"/>
              <w:right w:val="nil"/>
            </w:tcBorders>
          </w:tcPr>
          <w:p w14:paraId="23749263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PSMA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4A20B828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rFonts w:eastAsiaTheme="minor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Au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Np-ConA/AI-IDE</w:t>
            </w:r>
            <w:r>
              <w:rPr>
                <w:sz w:val="18"/>
                <w:szCs w:val="18"/>
                <w:vertAlign w:val="superscript"/>
              </w:rPr>
              <w:t>m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6445A85A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Capacitance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5F586C05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0.01 - 100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</w:tcPr>
          <w:p w14:paraId="5E34E829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0.01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</w:tcBorders>
          </w:tcPr>
          <w:p w14:paraId="2EBB5FC3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fldChar w:fldCharType="begin"/>
            </w:r>
            <w:r>
              <w:rPr>
                <w:color w:val="0070C0"/>
                <w:sz w:val="18"/>
                <w:szCs w:val="18"/>
              </w:rPr>
              <w:instrText xml:space="preserve"> ADDIN EN.CITE &lt;EndNote&gt;&lt;Cite&gt;&lt;Author&gt;Subramani&lt;/Author&gt;&lt;Year&gt;2021&lt;/Year&gt;&lt;RecNum&gt;214&lt;/RecNum&gt;&lt;DisplayText&gt;(Subramani et al., 2021)&lt;/DisplayText&gt;&lt;record&gt;&lt;rec-number&gt;214&lt;/rec-number&gt;&lt;foreign-keys&gt;&lt;key app="EN" db-id="09dwzed2meev5aetrapxs0sp0zer95pdx9fd" timestamp="1700112439"&gt;214&lt;/key&gt;&lt;/foreign-keys&gt;&lt;ref-type name="Journal Article"&gt;17&lt;/ref-type&gt;&lt;contributors&gt;&lt;authors&gt;&lt;author&gt;Subramani, Indra Gandi&lt;/author&gt;&lt;author&gt;Ayub, R. M.&lt;/author&gt;&lt;author&gt;Gopinath, Subash C. B.&lt;/author&gt;&lt;author&gt;Perumal, Veeradasan&lt;/author&gt;&lt;author&gt;Fathil, M. F. M.&lt;/author&gt;&lt;author&gt;Md Arshad, M. K.&lt;/author&gt;&lt;/authors&gt;&lt;/contributors&gt;&lt;titles&gt;&lt;title&gt;Lectin bioreceptor approach in capacitive biosensor for prostate-specific membrane antigen detection in diagnosing prostate cancer&lt;/title&gt;&lt;secondary-title&gt;Journal of the Taiwan Institute of Chemical Engineers&lt;/secondary-title&gt;&lt;/titles&gt;&lt;pages&gt;9-16&lt;/pages&gt;&lt;volume&gt;120&lt;/volume&gt;&lt;keywords&gt;&lt;keyword&gt;Capacitive non-faradaic biosensing&lt;/keyword&gt;&lt;keyword&gt;Prostate-specific membrane antigen&lt;/keyword&gt;&lt;keyword&gt;Concanavalin A&lt;/keyword&gt;&lt;/keywords&gt;&lt;dates&gt;&lt;year&gt;2021&lt;/year&gt;&lt;pub-dates&gt;&lt;date&gt;2021/03/01/&lt;/date&gt;&lt;/pub-dates&gt;&lt;/dates&gt;&lt;isbn&gt;1876-1070&lt;/isbn&gt;&lt;urls&gt;&lt;related-urls&gt;&lt;url&gt;https://www.sciencedirect.com/science/article/pii/S1876107021001061&lt;/url&gt;&lt;/related-urls&gt;&lt;/urls&gt;&lt;electronic-resource-num&gt;https://doi.org/10.1016/j.jtice.2021.03.004&lt;/electronic-resource-num&gt;&lt;/record&gt;&lt;/Cite&gt;&lt;/EndNote&gt;</w:instrText>
            </w:r>
            <w:r>
              <w:rPr>
                <w:color w:val="0070C0"/>
                <w:sz w:val="18"/>
                <w:szCs w:val="18"/>
              </w:rPr>
              <w:fldChar w:fldCharType="separate"/>
            </w:r>
            <w:r>
              <w:rPr>
                <w:color w:val="0070C0"/>
                <w:sz w:val="18"/>
                <w:szCs w:val="18"/>
              </w:rPr>
              <w:t>(</w:t>
            </w:r>
            <w:hyperlink w:anchor="_ENREF_44" w:tooltip="Subramani, 2021 #214" w:history="1">
              <w:r w:rsidR="00AD484B">
                <w:rPr>
                  <w:color w:val="0070C0"/>
                  <w:sz w:val="18"/>
                  <w:szCs w:val="18"/>
                </w:rPr>
                <w:t>Subramani et al., 2021</w:t>
              </w:r>
            </w:hyperlink>
            <w:r>
              <w:rPr>
                <w:color w:val="0070C0"/>
                <w:sz w:val="18"/>
                <w:szCs w:val="18"/>
              </w:rPr>
              <w:t>)</w:t>
            </w:r>
            <w:r>
              <w:rPr>
                <w:color w:val="0070C0"/>
                <w:sz w:val="18"/>
                <w:szCs w:val="18"/>
              </w:rPr>
              <w:fldChar w:fldCharType="end"/>
            </w:r>
          </w:p>
        </w:tc>
      </w:tr>
      <w:tr w:rsidR="00AD484B" w14:paraId="7D5D0155" w14:textId="77777777">
        <w:trPr>
          <w:trHeight w:val="400"/>
        </w:trPr>
        <w:tc>
          <w:tcPr>
            <w:tcW w:w="866" w:type="dxa"/>
            <w:tcBorders>
              <w:top w:val="nil"/>
              <w:bottom w:val="nil"/>
              <w:right w:val="nil"/>
            </w:tcBorders>
          </w:tcPr>
          <w:p w14:paraId="1C3A09F8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PSMA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799D20FE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CNF</w:t>
            </w:r>
            <w:r>
              <w:rPr>
                <w:sz w:val="18"/>
                <w:szCs w:val="18"/>
                <w:vertAlign w:val="superscript"/>
              </w:rPr>
              <w:t>n</w:t>
            </w:r>
            <w:r>
              <w:rPr>
                <w:sz w:val="18"/>
                <w:szCs w:val="18"/>
              </w:rPr>
              <w:t>/Ag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1C07AF6E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EIS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6DE1CBE0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10 - 200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</w:tcPr>
          <w:p w14:paraId="0A574411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9.5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</w:tcBorders>
          </w:tcPr>
          <w:p w14:paraId="50DB0509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fldChar w:fldCharType="begin"/>
            </w:r>
            <w:r>
              <w:rPr>
                <w:color w:val="0070C0"/>
                <w:sz w:val="18"/>
                <w:szCs w:val="18"/>
              </w:rPr>
              <w:instrText xml:space="preserve"> ADDIN EN.CITE &lt;EndNote&gt;&lt;Cite&gt;&lt;Author&gt;Rezaei&lt;/Author&gt;&lt;Year&gt;2022&lt;/Year&gt;&lt;RecNum&gt;215&lt;/RecNum&gt;&lt;DisplayText&gt;(Rezaei et al., 2022)&lt;/DisplayText&gt;&lt;record&gt;&lt;rec-number&gt;215&lt;/rec-number&gt;&lt;foreign-keys&gt;&lt;key app="EN" db-id="09dwzed2meev5aetrapxs0sp0zer95pdx9fd" timestamp="1700112655"&gt;215&lt;/key&gt;&lt;/foreign-keys&gt;&lt;ref-type name="Journal Article"&gt;17&lt;/ref-type&gt;&lt;contributors&gt;&lt;authors&gt;&lt;author&gt;Rezaei, Zahra&lt;/author&gt;&lt;author&gt;Alemzadeh, Iran&lt;/author&gt;&lt;author&gt;Vossoughi, Manouchehr&lt;/author&gt;&lt;/authors&gt;&lt;/contributors&gt;&lt;titles&gt;&lt;title&gt;Design and fabrication of an electrochemical-based nanofibrous immunosensor for detection of prostate cancer biomarker, PSMA&lt;/title&gt;&lt;secondary-title&gt;Polymers for Advanced Technologies&lt;/secondary-title&gt;&lt;/titles&gt;&lt;pages&gt;1967-1977&lt;/pages&gt;&lt;volume&gt;33&lt;/volume&gt;&lt;number&gt;6&lt;/number&gt;&lt;keywords&gt;&lt;keyword&gt;carbon fiber&lt;/keyword&gt;&lt;keyword&gt;electrochemical immunosensor&lt;/keyword&gt;&lt;keyword&gt;electrospinning&lt;/keyword&gt;&lt;keyword&gt;patient-friendly sensor&lt;/keyword&gt;&lt;keyword&gt;prostate cancer&lt;/keyword&gt;&lt;keyword&gt;PSMA&lt;/keyword&gt;&lt;/keywords&gt;&lt;dates&gt;&lt;year&gt;2022&lt;/year&gt;&lt;pub-dates&gt;&lt;date&gt;2022/06/01&lt;/date&gt;&lt;/pub-dates&gt;&lt;/dates&gt;&lt;publisher&gt;John Wiley &amp;amp; Sons, Ltd&lt;/publisher&gt;&lt;isbn&gt;1042-7147&lt;/isbn&gt;&lt;urls&gt;&lt;related-urls&gt;&lt;url&gt;https://doi.org/10.1002/pat.5658&lt;/url&gt;&lt;/related-urls&gt;&lt;/urls&gt;&lt;electronic-resource-num&gt;https://doi.org/10.1002/pat.5658&lt;/electronic-resource-num&gt;&lt;access-date&gt;2023/11/15&lt;/access-date&gt;&lt;/record&gt;&lt;/Cite&gt;&lt;/EndNote&gt;</w:instrText>
            </w:r>
            <w:r>
              <w:rPr>
                <w:color w:val="0070C0"/>
                <w:sz w:val="18"/>
                <w:szCs w:val="18"/>
              </w:rPr>
              <w:fldChar w:fldCharType="separate"/>
            </w:r>
            <w:r>
              <w:rPr>
                <w:color w:val="0070C0"/>
                <w:sz w:val="18"/>
                <w:szCs w:val="18"/>
              </w:rPr>
              <w:t>(</w:t>
            </w:r>
            <w:hyperlink w:anchor="_ENREF_39" w:tooltip="Rezaei, 2022 #215" w:history="1">
              <w:r w:rsidR="00AD484B">
                <w:rPr>
                  <w:color w:val="0070C0"/>
                  <w:sz w:val="18"/>
                  <w:szCs w:val="18"/>
                </w:rPr>
                <w:t>Rezaei et al., 2022</w:t>
              </w:r>
            </w:hyperlink>
            <w:r>
              <w:rPr>
                <w:color w:val="0070C0"/>
                <w:sz w:val="18"/>
                <w:szCs w:val="18"/>
              </w:rPr>
              <w:t>)</w:t>
            </w:r>
            <w:r>
              <w:rPr>
                <w:color w:val="0070C0"/>
                <w:sz w:val="18"/>
                <w:szCs w:val="18"/>
              </w:rPr>
              <w:fldChar w:fldCharType="end"/>
            </w:r>
          </w:p>
        </w:tc>
      </w:tr>
      <w:tr w:rsidR="00AD484B" w14:paraId="569943D3" w14:textId="77777777">
        <w:tc>
          <w:tcPr>
            <w:tcW w:w="866" w:type="dxa"/>
            <w:tcBorders>
              <w:top w:val="nil"/>
              <w:bottom w:val="nil"/>
              <w:right w:val="nil"/>
            </w:tcBorders>
          </w:tcPr>
          <w:p w14:paraId="74091CA0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1C9C24FB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</w:t>
            </w:r>
            <w:r>
              <w:rPr>
                <w:sz w:val="18"/>
                <w:szCs w:val="18"/>
                <w:vertAlign w:val="subscript"/>
              </w:rPr>
              <w:t>3</w:t>
            </w:r>
            <w:r>
              <w:rPr>
                <w:sz w:val="18"/>
                <w:szCs w:val="18"/>
              </w:rPr>
              <w:t>O</w:t>
            </w:r>
            <w:r>
              <w:rPr>
                <w:sz w:val="18"/>
                <w:szCs w:val="18"/>
                <w:vertAlign w:val="subscript"/>
              </w:rPr>
              <w:t>4</w:t>
            </w:r>
            <w:r>
              <w:rPr>
                <w:sz w:val="18"/>
                <w:szCs w:val="18"/>
              </w:rPr>
              <w:t>-GO/SPE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2D437897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18"/>
                <w:szCs w:val="18"/>
              </w:rPr>
              <w:t>Amperometry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107616AB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18"/>
                <w:szCs w:val="18"/>
              </w:rPr>
              <w:t>9.8×10</w:t>
            </w:r>
            <w:r>
              <w:rPr>
                <w:sz w:val="18"/>
                <w:szCs w:val="18"/>
                <w:vertAlign w:val="superscript"/>
              </w:rPr>
              <w:t xml:space="preserve">-3 </w:t>
            </w:r>
            <w:r>
              <w:rPr>
                <w:sz w:val="18"/>
                <w:szCs w:val="18"/>
              </w:rPr>
              <w:t>- 0.624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</w:tcPr>
          <w:p w14:paraId="1D50617C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4.9×10</w:t>
            </w:r>
            <w:r>
              <w:rPr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</w:tcBorders>
          </w:tcPr>
          <w:p w14:paraId="2FB890D7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fldChar w:fldCharType="begin"/>
            </w:r>
            <w:r>
              <w:rPr>
                <w:color w:val="0070C0"/>
                <w:sz w:val="18"/>
                <w:szCs w:val="18"/>
              </w:rPr>
              <w:instrText xml:space="preserve"> ADDIN EN.CITE &lt;EndNote&gt;&lt;Cite&gt;&lt;Author&gt;Sharafeldin&lt;/Author&gt;&lt;Year&gt;2017&lt;/Year&gt;&lt;RecNum&gt;213&lt;/RecNum&gt;&lt;DisplayText&gt;(Sharafeldin et al., 2017)&lt;/DisplayText&gt;&lt;record&gt;&lt;rec-number&gt;213&lt;/rec-number&gt;&lt;foreign-keys&gt;&lt;key app="EN" db-id="09dwzed2meev5aetrapxs0sp0zer95pdx9fd" timestamp="1700111643"&gt;213&lt;/key&gt;&lt;/foreign-keys&gt;&lt;ref-type name="Journal Article"&gt;17&lt;/ref-type&gt;&lt;contributors&gt;&lt;authors&gt;&lt;author&gt;Sharafeldin, Mohamed&lt;/author&gt;&lt;author&gt;Bishop, Gregory W.&lt;/author&gt;&lt;author&gt;Bhakta, Snehasis&lt;/author&gt;&lt;author&gt;El-Sawy, Abdelhamid&lt;/author&gt;&lt;author&gt;Suib, Steven L.&lt;/author&gt;&lt;author&gt;Rusling, James F.&lt;/author&gt;&lt;/authors&gt;&lt;/contributors&gt;&lt;titles&gt;&lt;title&gt;Fe3O4 nanoparticles on graphene oxide sheets for isolation and ultrasensitive amperometric detection of cancer biomarker proteins&lt;/title&gt;&lt;secondary-title&gt;Biosensors and Bioelectronics&lt;/secondary-title&gt;&lt;/titles&gt;&lt;pages&gt;359-366&lt;/pages&gt;&lt;volume&gt;91&lt;/volume&gt;&lt;keywords&gt;&lt;keyword&gt;Iron oxide&lt;/keyword&gt;&lt;keyword&gt;Magnetic&lt;/keyword&gt;&lt;keyword&gt;Graphene&lt;/keyword&gt;&lt;keyword&gt;Biomarker proteins&lt;/keyword&gt;&lt;keyword&gt;Immunoarray&lt;/keyword&gt;&lt;keyword&gt;Microfluidics&lt;/keyword&gt;&lt;/keywords&gt;&lt;dates&gt;&lt;year&gt;2017&lt;/year&gt;&lt;pub-dates&gt;&lt;date&gt;2017/05/15/&lt;/date&gt;&lt;/pub-dates&gt;&lt;/dates&gt;&lt;isbn&gt;0956-5663&lt;/isbn&gt;&lt;urls&gt;&lt;related-urls&gt;&lt;url&gt;https://www.sciencedirect.com/science/article/pii/S0956566316313033&lt;/url&gt;&lt;/related-urls&gt;&lt;/urls&gt;&lt;electronic-resource-num&gt;https://doi.org/10.1016/j.bios.2016.12.052&lt;/electronic-resource-num&gt;&lt;/record&gt;&lt;/Cite&gt;&lt;/EndNote&gt;</w:instrText>
            </w:r>
            <w:r>
              <w:rPr>
                <w:color w:val="0070C0"/>
                <w:sz w:val="18"/>
                <w:szCs w:val="18"/>
              </w:rPr>
              <w:fldChar w:fldCharType="separate"/>
            </w:r>
            <w:r>
              <w:rPr>
                <w:color w:val="0070C0"/>
                <w:sz w:val="18"/>
                <w:szCs w:val="18"/>
              </w:rPr>
              <w:t>(</w:t>
            </w:r>
            <w:hyperlink w:anchor="_ENREF_42" w:tooltip="Sharafeldin, 2017 #213" w:history="1">
              <w:r w:rsidR="00AD484B">
                <w:rPr>
                  <w:color w:val="0070C0"/>
                  <w:sz w:val="18"/>
                  <w:szCs w:val="18"/>
                </w:rPr>
                <w:t>Sharafeldin et al., 2017</w:t>
              </w:r>
            </w:hyperlink>
            <w:r>
              <w:rPr>
                <w:color w:val="0070C0"/>
                <w:sz w:val="18"/>
                <w:szCs w:val="18"/>
              </w:rPr>
              <w:t>)</w:t>
            </w:r>
            <w:r>
              <w:rPr>
                <w:color w:val="0070C0"/>
                <w:sz w:val="18"/>
                <w:szCs w:val="18"/>
              </w:rPr>
              <w:fldChar w:fldCharType="end"/>
            </w:r>
          </w:p>
        </w:tc>
      </w:tr>
      <w:tr w:rsidR="00AD484B" w14:paraId="2621592C" w14:textId="77777777">
        <w:trPr>
          <w:trHeight w:val="321"/>
        </w:trPr>
        <w:tc>
          <w:tcPr>
            <w:tcW w:w="866" w:type="dxa"/>
            <w:tcBorders>
              <w:top w:val="nil"/>
              <w:bottom w:val="nil"/>
              <w:right w:val="nil"/>
            </w:tcBorders>
          </w:tcPr>
          <w:p w14:paraId="50CBC693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PSMA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348DD5D6" w14:textId="77777777" w:rsidR="00AD484B" w:rsidRDefault="00AD484B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405143D1" w14:textId="77777777" w:rsidR="00AD484B" w:rsidRDefault="00AD484B">
            <w:pPr>
              <w:spacing w:line="360" w:lineRule="auto"/>
              <w:ind w:firstLineChars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08A370F0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15.6 - 7.8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</w:tcPr>
          <w:p w14:paraId="013049A9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1.56×10</w:t>
            </w:r>
            <w:r>
              <w:rPr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</w:tcBorders>
          </w:tcPr>
          <w:p w14:paraId="34867ACA" w14:textId="77777777" w:rsidR="00AD484B" w:rsidRDefault="00AD484B">
            <w:pPr>
              <w:spacing w:line="360" w:lineRule="auto"/>
              <w:ind w:firstLineChars="0" w:firstLine="0"/>
              <w:jc w:val="center"/>
              <w:rPr>
                <w:sz w:val="21"/>
                <w:szCs w:val="21"/>
              </w:rPr>
            </w:pPr>
          </w:p>
        </w:tc>
      </w:tr>
      <w:tr w:rsidR="00AD484B" w14:paraId="351805CB" w14:textId="77777777">
        <w:tc>
          <w:tcPr>
            <w:tcW w:w="866" w:type="dxa"/>
            <w:tcBorders>
              <w:top w:val="nil"/>
              <w:bottom w:val="nil"/>
              <w:right w:val="nil"/>
            </w:tcBorders>
          </w:tcPr>
          <w:p w14:paraId="6866BE64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48A2FCE0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</w:t>
            </w:r>
            <w:r>
              <w:rPr>
                <w:sz w:val="18"/>
                <w:szCs w:val="18"/>
                <w:vertAlign w:val="subscript"/>
              </w:rPr>
              <w:t>3</w:t>
            </w:r>
            <w:r>
              <w:rPr>
                <w:sz w:val="18"/>
                <w:szCs w:val="18"/>
              </w:rPr>
              <w:t>C</w:t>
            </w:r>
            <w:r>
              <w:rPr>
                <w:sz w:val="18"/>
                <w:szCs w:val="18"/>
                <w:vertAlign w:val="subscript"/>
              </w:rPr>
              <w:t>2</w:t>
            </w:r>
            <w:r>
              <w:rPr>
                <w:sz w:val="18"/>
                <w:szCs w:val="18"/>
              </w:rPr>
              <w:t>-Ag NPs/SPE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2FCBE6CE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CV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3C6246FA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0.1 - 1,000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</w:tcPr>
          <w:p w14:paraId="2149AC01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0.045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</w:tcBorders>
          </w:tcPr>
          <w:p w14:paraId="22586B45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work</w:t>
            </w:r>
          </w:p>
        </w:tc>
      </w:tr>
      <w:tr w:rsidR="00AD484B" w14:paraId="125C6557" w14:textId="77777777">
        <w:tc>
          <w:tcPr>
            <w:tcW w:w="866" w:type="dxa"/>
            <w:tcBorders>
              <w:top w:val="nil"/>
              <w:bottom w:val="single" w:sz="4" w:space="0" w:color="auto"/>
              <w:right w:val="nil"/>
            </w:tcBorders>
          </w:tcPr>
          <w:p w14:paraId="75A2FA69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PSMA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6D7ACB" w14:textId="77777777" w:rsidR="00AD484B" w:rsidRDefault="00AD484B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0C7FE8" w14:textId="77777777" w:rsidR="00AD484B" w:rsidRDefault="00AD484B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93D008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0.1 - 1,000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A09A5A" w14:textId="77777777" w:rsidR="00AD484B" w:rsidRDefault="00000000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0.041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</w:tcBorders>
          </w:tcPr>
          <w:p w14:paraId="2A4E2133" w14:textId="77777777" w:rsidR="00AD484B" w:rsidRDefault="00AD484B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</w:p>
        </w:tc>
      </w:tr>
    </w:tbl>
    <w:p w14:paraId="7DA87CD7" w14:textId="77777777" w:rsidR="00AD484B" w:rsidRDefault="00000000">
      <w:pPr>
        <w:ind w:firstLineChars="0" w:firstLine="0"/>
        <w:rPr>
          <w:sz w:val="21"/>
          <w:szCs w:val="21"/>
        </w:rPr>
      </w:pPr>
      <w:r>
        <w:rPr>
          <w:sz w:val="21"/>
          <w:szCs w:val="21"/>
        </w:rPr>
        <w:t>Abbreviations:</w:t>
      </w:r>
    </w:p>
    <w:p w14:paraId="43CA33D3" w14:textId="77777777" w:rsidR="00AD484B" w:rsidRDefault="00000000">
      <w:pPr>
        <w:spacing w:line="360" w:lineRule="auto"/>
        <w:ind w:firstLineChars="0" w:firstLine="0"/>
        <w:rPr>
          <w:sz w:val="21"/>
          <w:szCs w:val="21"/>
        </w:rPr>
      </w:pPr>
      <w:r>
        <w:rPr>
          <w:sz w:val="21"/>
          <w:szCs w:val="21"/>
        </w:rPr>
        <w:t xml:space="preserve">a: Isophthalic acid (IPA), b: Gold nanoflowers (Au NFs), c: Screen-printed carbon electrodes (SPCE), d: Glass carbon electrode (GCE), e: Layered double hydroxide (LDH), f: Pencil graphite electrode (PGE), g: Aminophenylboronic/poly-indole-6-carboxylic acid-modified electrode (APBA/6-PICA/GCE), h: Multi-walled carbon nanotubes (MWCNT), i: Differential pulse voltammetry (DPV), j: Graphene aerogel (GA), k: Conjugated di-succinimide substituted polythiophene (P(ThidiSuc)) polymer modified indium tin oxide (P(Thi-diSuc)/ITO), l: Cysteamine capped gold nanoparticles (N-Au NPs), m: Gold nanoparticle-concanavalin A modified aluminium-interdigitated electrode (Au Np-ConA/AI-IDE), n: Carbon nanofiber (CNF). </w:t>
      </w:r>
    </w:p>
    <w:p w14:paraId="3F32F8E6" w14:textId="77777777" w:rsidR="00AD484B" w:rsidRDefault="00000000">
      <w:pPr>
        <w:spacing w:line="360" w:lineRule="auto"/>
        <w:ind w:firstLineChars="0" w:firstLine="0"/>
        <w:rPr>
          <w:b/>
          <w:bCs/>
          <w:color w:val="000000"/>
          <w:szCs w:val="24"/>
        </w:rPr>
      </w:pPr>
      <w:r>
        <w:rPr>
          <w:sz w:val="21"/>
          <w:szCs w:val="21"/>
        </w:rPr>
        <w:br/>
      </w:r>
      <w:r>
        <w:rPr>
          <w:b/>
          <w:bCs/>
          <w:color w:val="000000"/>
          <w:szCs w:val="24"/>
        </w:rPr>
        <w:t>References</w:t>
      </w:r>
    </w:p>
    <w:p w14:paraId="218361D4" w14:textId="77777777" w:rsidR="00AD484B" w:rsidRDefault="00000000">
      <w:pPr>
        <w:pStyle w:val="EndNoteBibliography"/>
        <w:rPr>
          <w:color w:val="0070CB"/>
          <w:sz w:val="21"/>
          <w:szCs w:val="21"/>
        </w:rPr>
      </w:pPr>
      <w:bookmarkStart w:id="1" w:name="_ENREF_1"/>
      <w:bookmarkStart w:id="2" w:name="_ENREF_7"/>
      <w:r>
        <w:rPr>
          <w:color w:val="0070CB"/>
          <w:sz w:val="21"/>
          <w:szCs w:val="21"/>
        </w:rPr>
        <w:t>Aayanifard, Z., Alebrahim, T., Pourmadadi, M., Yazdian, F., Dinani, H.S., Rashedi, H., Omidi, M., 2021. Eng. Life Sci. 21(11), 739-752.</w:t>
      </w:r>
      <w:bookmarkEnd w:id="1"/>
    </w:p>
    <w:p w14:paraId="484CC66D" w14:textId="77777777" w:rsidR="00AD484B" w:rsidRDefault="00000000">
      <w:pPr>
        <w:pStyle w:val="EndNoteBibliography"/>
        <w:rPr>
          <w:color w:val="0070CB"/>
          <w:sz w:val="21"/>
          <w:szCs w:val="21"/>
        </w:rPr>
      </w:pPr>
      <w:bookmarkStart w:id="3" w:name="_ENREF_3"/>
      <w:r>
        <w:rPr>
          <w:color w:val="0070CB"/>
          <w:sz w:val="21"/>
          <w:szCs w:val="21"/>
        </w:rPr>
        <w:t>Alnaimi, A., Al-Hamry, A., Makableh, Y., Adiraju, A., Kanoun, O., 2022. Biosensors (Basel) 12(12), 1130.</w:t>
      </w:r>
      <w:bookmarkEnd w:id="3"/>
    </w:p>
    <w:p w14:paraId="44651738" w14:textId="77777777" w:rsidR="00AD484B" w:rsidRDefault="00000000">
      <w:pPr>
        <w:pStyle w:val="EndNoteBibliography"/>
        <w:rPr>
          <w:color w:val="0070CB"/>
          <w:sz w:val="21"/>
          <w:szCs w:val="21"/>
        </w:rPr>
      </w:pPr>
      <w:bookmarkStart w:id="4" w:name="_ENREF_5"/>
      <w:r>
        <w:rPr>
          <w:color w:val="0070CB"/>
          <w:sz w:val="21"/>
          <w:szCs w:val="21"/>
        </w:rPr>
        <w:t>Aydın, E.B., Aydın, M., Sezgintürk, M.K., 2021. Macromol. Biosci. 21(10), 2100173.</w:t>
      </w:r>
      <w:bookmarkEnd w:id="4"/>
    </w:p>
    <w:p w14:paraId="75388E17" w14:textId="77777777" w:rsidR="00AD484B" w:rsidRDefault="00000000">
      <w:pPr>
        <w:pStyle w:val="EndNoteBibliography"/>
        <w:rPr>
          <w:color w:val="0070CB"/>
          <w:sz w:val="21"/>
          <w:szCs w:val="21"/>
        </w:rPr>
      </w:pPr>
      <w:r>
        <w:rPr>
          <w:color w:val="0070CB"/>
          <w:sz w:val="21"/>
          <w:szCs w:val="21"/>
        </w:rPr>
        <w:t>Chen, W., Kong, S., Chen, F., Cai, W., Wang, J., Du, L., Huang, Y., Wu, C., 2020. Mat. Lett. 260, 126972.</w:t>
      </w:r>
      <w:bookmarkEnd w:id="2"/>
    </w:p>
    <w:p w14:paraId="15B004E4" w14:textId="77777777" w:rsidR="00AD484B" w:rsidRDefault="00000000">
      <w:pPr>
        <w:pStyle w:val="EndNoteBibliography"/>
        <w:rPr>
          <w:color w:val="0070CB"/>
          <w:sz w:val="21"/>
          <w:szCs w:val="21"/>
        </w:rPr>
      </w:pPr>
      <w:bookmarkStart w:id="5" w:name="_ENREF_9"/>
      <w:r>
        <w:rPr>
          <w:color w:val="0070CB"/>
          <w:sz w:val="21"/>
          <w:szCs w:val="21"/>
        </w:rPr>
        <w:t>Ding, L., Wei, Y., Wang, Y., Chen, H., Caro, J., Wang, H., 2017. Angew. Chem. Int. Ed. 56(7), 1825-1829.</w:t>
      </w:r>
      <w:bookmarkStart w:id="6" w:name="_ENREF_10"/>
      <w:bookmarkEnd w:id="5"/>
    </w:p>
    <w:p w14:paraId="1CB84E1C" w14:textId="77777777" w:rsidR="00AD484B" w:rsidRDefault="00000000">
      <w:pPr>
        <w:pStyle w:val="EndNoteBibliography"/>
        <w:rPr>
          <w:color w:val="0070CB"/>
          <w:sz w:val="21"/>
          <w:szCs w:val="21"/>
        </w:rPr>
      </w:pPr>
      <w:r>
        <w:rPr>
          <w:color w:val="0070CB"/>
          <w:sz w:val="21"/>
          <w:szCs w:val="21"/>
        </w:rPr>
        <w:t>Dou, Y., Li, Z., Su, J., Song, S., 2022. Biosensors (Basel) 12(5), 259.</w:t>
      </w:r>
      <w:bookmarkEnd w:id="6"/>
    </w:p>
    <w:p w14:paraId="65995340" w14:textId="77777777" w:rsidR="00AD484B" w:rsidRDefault="00000000">
      <w:pPr>
        <w:pStyle w:val="EndNoteBibliography"/>
        <w:rPr>
          <w:color w:val="0070CB"/>
          <w:sz w:val="21"/>
          <w:szCs w:val="21"/>
        </w:rPr>
      </w:pPr>
      <w:bookmarkStart w:id="7" w:name="_ENREF_13"/>
      <w:r>
        <w:rPr>
          <w:color w:val="0070CB"/>
          <w:sz w:val="21"/>
          <w:szCs w:val="21"/>
        </w:rPr>
        <w:t>Ghasemi, Y., Sadeghi, M., Ehzari, H., Derakhshankhah, H., 2023. Microchem. J. 195, 109460.</w:t>
      </w:r>
      <w:bookmarkEnd w:id="7"/>
    </w:p>
    <w:p w14:paraId="461B983D" w14:textId="77777777" w:rsidR="00AD484B" w:rsidRDefault="00000000">
      <w:pPr>
        <w:pStyle w:val="EndNoteBibliography"/>
        <w:rPr>
          <w:color w:val="0070CB"/>
          <w:sz w:val="21"/>
          <w:szCs w:val="21"/>
        </w:rPr>
      </w:pPr>
      <w:bookmarkStart w:id="8" w:name="_ENREF_17"/>
      <w:r>
        <w:rPr>
          <w:color w:val="0070CB"/>
          <w:sz w:val="21"/>
          <w:szCs w:val="21"/>
        </w:rPr>
        <w:t>Hu, T., Bai, Z., Wang, D., Bai, Y., Li, X., Ni, Z., 2023. Microchem. J. 195, 109436.</w:t>
      </w:r>
      <w:bookmarkEnd w:id="8"/>
    </w:p>
    <w:p w14:paraId="2BAC3BC5" w14:textId="77777777" w:rsidR="00AD484B" w:rsidRDefault="00000000">
      <w:pPr>
        <w:pStyle w:val="EndNoteBibliography"/>
        <w:rPr>
          <w:color w:val="0070CB"/>
          <w:sz w:val="21"/>
          <w:szCs w:val="21"/>
        </w:rPr>
      </w:pPr>
      <w:bookmarkStart w:id="9" w:name="_ENREF_20"/>
      <w:r>
        <w:rPr>
          <w:color w:val="0070CB"/>
          <w:sz w:val="21"/>
          <w:szCs w:val="21"/>
        </w:rPr>
        <w:t>Kabay, G., Yin, Y., Singh, C.K., Ahmad, N., Gunasekaran, S., Mutlu, M., 2022. Sens. Actuators B Chem. 360, 131667.</w:t>
      </w:r>
      <w:bookmarkEnd w:id="9"/>
    </w:p>
    <w:p w14:paraId="097DC5B8" w14:textId="77777777" w:rsidR="00AD484B" w:rsidRDefault="00000000">
      <w:pPr>
        <w:pStyle w:val="EndNoteBibliography"/>
        <w:rPr>
          <w:color w:val="0070CB"/>
          <w:sz w:val="21"/>
          <w:szCs w:val="21"/>
        </w:rPr>
      </w:pPr>
      <w:bookmarkStart w:id="10" w:name="_ENREF_23"/>
      <w:r>
        <w:rPr>
          <w:color w:val="0070CB"/>
          <w:sz w:val="21"/>
          <w:szCs w:val="21"/>
        </w:rPr>
        <w:t>Krishnaveni, P., Ganesh, V., 2021. Sci. Rep. 11(1), 7663.</w:t>
      </w:r>
      <w:bookmarkEnd w:id="10"/>
    </w:p>
    <w:p w14:paraId="3916CC75" w14:textId="77777777" w:rsidR="00AD484B" w:rsidRDefault="00000000">
      <w:pPr>
        <w:pStyle w:val="EndNoteBibliography"/>
        <w:rPr>
          <w:color w:val="0070CB"/>
          <w:sz w:val="21"/>
          <w:szCs w:val="21"/>
        </w:rPr>
      </w:pPr>
      <w:bookmarkStart w:id="11" w:name="_ENREF_28"/>
      <w:r>
        <w:rPr>
          <w:color w:val="0070CB"/>
          <w:sz w:val="21"/>
          <w:szCs w:val="21"/>
        </w:rPr>
        <w:t>Liu, Y., 2023. Int. J. Electrochem. Sci. 18(3), 100028.</w:t>
      </w:r>
      <w:bookmarkEnd w:id="11"/>
    </w:p>
    <w:p w14:paraId="3AAE6937" w14:textId="77777777" w:rsidR="00AD484B" w:rsidRDefault="00000000">
      <w:pPr>
        <w:pStyle w:val="EndNoteBibliography"/>
        <w:rPr>
          <w:color w:val="0070CB"/>
          <w:sz w:val="21"/>
          <w:szCs w:val="21"/>
        </w:rPr>
      </w:pPr>
      <w:bookmarkStart w:id="12" w:name="_ENREF_33"/>
      <w:r>
        <w:rPr>
          <w:color w:val="0070CB"/>
          <w:sz w:val="21"/>
          <w:szCs w:val="21"/>
        </w:rPr>
        <w:t>Martínez-Rojas, F., Castañeda, E., Armijo, F., 2021. J. Electroanal. Chem. 880, 114877.</w:t>
      </w:r>
      <w:bookmarkEnd w:id="12"/>
    </w:p>
    <w:p w14:paraId="50072C1C" w14:textId="77777777" w:rsidR="00AD484B" w:rsidRDefault="00000000">
      <w:pPr>
        <w:pStyle w:val="EndNoteBibliography"/>
        <w:rPr>
          <w:color w:val="0070CB"/>
          <w:sz w:val="21"/>
          <w:szCs w:val="21"/>
        </w:rPr>
      </w:pPr>
      <w:bookmarkStart w:id="13" w:name="_ENREF_35"/>
      <w:r>
        <w:rPr>
          <w:color w:val="0070CB"/>
          <w:sz w:val="21"/>
          <w:szCs w:val="21"/>
        </w:rPr>
        <w:t>Mwanza, D., Adeniyi, O., Tesfalidet, S., Nyokong, T., Mashazi, P., 2022. J. Electroanal. Chem. 927, 116983.</w:t>
      </w:r>
      <w:bookmarkEnd w:id="13"/>
    </w:p>
    <w:p w14:paraId="3E3412CD" w14:textId="77777777" w:rsidR="00AD484B" w:rsidRDefault="00000000">
      <w:pPr>
        <w:pStyle w:val="EndNoteBibliography"/>
        <w:rPr>
          <w:color w:val="0070CB"/>
          <w:sz w:val="21"/>
          <w:szCs w:val="21"/>
        </w:rPr>
      </w:pPr>
      <w:bookmarkStart w:id="14" w:name="_ENREF_38"/>
      <w:r>
        <w:rPr>
          <w:color w:val="0070CB"/>
          <w:sz w:val="21"/>
          <w:szCs w:val="21"/>
        </w:rPr>
        <w:t>Pandey, R.P., Rasool, K., Madhavan, V.E., Aïssa, B., Gogotsi, Y., Mahmoud, K.A., 2018. J. Mater. Chem. A 6(8), 3522-3533.</w:t>
      </w:r>
      <w:bookmarkEnd w:id="14"/>
    </w:p>
    <w:p w14:paraId="6EC21A23" w14:textId="77777777" w:rsidR="00AD484B" w:rsidRDefault="00000000">
      <w:pPr>
        <w:pStyle w:val="EndNoteBibliography"/>
        <w:rPr>
          <w:color w:val="0070CB"/>
          <w:sz w:val="21"/>
          <w:szCs w:val="21"/>
        </w:rPr>
      </w:pPr>
      <w:bookmarkStart w:id="15" w:name="_ENREF_39"/>
      <w:r>
        <w:rPr>
          <w:color w:val="0070CB"/>
          <w:sz w:val="21"/>
          <w:szCs w:val="21"/>
        </w:rPr>
        <w:t>Rezaei, Z., Alemzadeh, I., Vossoughi, M., 2022. Polym. Adv. Technol. 33(6), 1967-1977.</w:t>
      </w:r>
      <w:bookmarkEnd w:id="15"/>
    </w:p>
    <w:p w14:paraId="27719E7D" w14:textId="77777777" w:rsidR="00AD484B" w:rsidRDefault="00000000">
      <w:pPr>
        <w:pStyle w:val="EndNoteBibliography"/>
        <w:rPr>
          <w:color w:val="0070CB"/>
          <w:sz w:val="21"/>
          <w:szCs w:val="21"/>
        </w:rPr>
      </w:pPr>
      <w:bookmarkStart w:id="16" w:name="_ENREF_40"/>
      <w:r>
        <w:rPr>
          <w:color w:val="0070CB"/>
          <w:sz w:val="21"/>
          <w:szCs w:val="21"/>
        </w:rPr>
        <w:t>Seenivasan, R., Singh, C.K., Warrick, J.W., Ahmad, N., Gunasekaran, S., 2017. Biosens. Bioelectron. 95, 160-167.</w:t>
      </w:r>
      <w:bookmarkEnd w:id="16"/>
    </w:p>
    <w:p w14:paraId="4CD9D8EE" w14:textId="77777777" w:rsidR="00AD484B" w:rsidRDefault="00000000">
      <w:pPr>
        <w:pStyle w:val="EndNoteBibliography"/>
        <w:rPr>
          <w:color w:val="0070CB"/>
          <w:sz w:val="21"/>
          <w:szCs w:val="21"/>
        </w:rPr>
      </w:pPr>
      <w:bookmarkStart w:id="17" w:name="_ENREF_42"/>
      <w:r>
        <w:rPr>
          <w:color w:val="0070CB"/>
          <w:sz w:val="21"/>
          <w:szCs w:val="21"/>
        </w:rPr>
        <w:t>Sharafeldin, M., Bishop, G.W., Bhakta, S., El-Sawy, A., Suib, S.L., Rusling, J.F., 2017. Biosens. Bioelectron. 91, 359-366.</w:t>
      </w:r>
      <w:bookmarkEnd w:id="17"/>
    </w:p>
    <w:p w14:paraId="5C641327" w14:textId="77777777" w:rsidR="00AD484B" w:rsidRDefault="00000000">
      <w:pPr>
        <w:pStyle w:val="EndNoteBibliography"/>
        <w:rPr>
          <w:color w:val="0070CB"/>
          <w:sz w:val="21"/>
          <w:szCs w:val="21"/>
        </w:rPr>
      </w:pPr>
      <w:bookmarkStart w:id="18" w:name="_ENREF_44"/>
      <w:r>
        <w:rPr>
          <w:color w:val="0070CB"/>
          <w:sz w:val="21"/>
          <w:szCs w:val="21"/>
        </w:rPr>
        <w:lastRenderedPageBreak/>
        <w:t>Subramani, I.G., Ayub, R.M., Gopinath, S.C.B., Perumal, V., Fathil, M.F.M., Md Arshad, M.K., 2021. Taiwan Inst. Chem. Eng. 120, 9-16.</w:t>
      </w:r>
      <w:bookmarkEnd w:id="18"/>
    </w:p>
    <w:p w14:paraId="063FA034" w14:textId="77777777" w:rsidR="00AD484B" w:rsidRDefault="00000000">
      <w:pPr>
        <w:pStyle w:val="EndNoteBibliography"/>
        <w:rPr>
          <w:color w:val="0070CB"/>
          <w:sz w:val="21"/>
          <w:szCs w:val="21"/>
        </w:rPr>
      </w:pPr>
      <w:bookmarkStart w:id="19" w:name="_ENREF_52"/>
      <w:r>
        <w:rPr>
          <w:color w:val="0070CB"/>
          <w:sz w:val="21"/>
          <w:szCs w:val="21"/>
        </w:rPr>
        <w:t>Yan, R., Lu, N., Han, S., Lu, Z., Xiao, Y., Zhao, Z., Zhang, M., 2022. Biosens. Bioelectron. 197, 113797.</w:t>
      </w:r>
      <w:bookmarkEnd w:id="19"/>
    </w:p>
    <w:p w14:paraId="51F1A6FB" w14:textId="77777777" w:rsidR="00AD484B" w:rsidRDefault="00000000">
      <w:pPr>
        <w:pStyle w:val="EndNoteBibliography"/>
        <w:rPr>
          <w:color w:val="0070CB"/>
          <w:sz w:val="21"/>
          <w:szCs w:val="21"/>
        </w:rPr>
      </w:pPr>
      <w:bookmarkStart w:id="20" w:name="_ENREF_54"/>
      <w:r>
        <w:rPr>
          <w:color w:val="0070CB"/>
          <w:sz w:val="21"/>
          <w:szCs w:val="21"/>
        </w:rPr>
        <w:t>Zhao, N., Zhang, F., Zhan, F., Yi, D., Yang, Y., Cui, W., Wang, X., 2021. J. Mater. Sci. Technol. 67, 156-164.</w:t>
      </w:r>
      <w:bookmarkEnd w:id="20"/>
    </w:p>
    <w:p w14:paraId="3E9FDEF3" w14:textId="0A5A42E4" w:rsidR="00AD484B" w:rsidRDefault="00AD484B">
      <w:pPr>
        <w:spacing w:line="360" w:lineRule="auto"/>
        <w:ind w:firstLineChars="0" w:firstLine="0"/>
        <w:rPr>
          <w:b/>
          <w:bCs/>
          <w:color w:val="000000"/>
          <w:szCs w:val="24"/>
        </w:rPr>
      </w:pPr>
    </w:p>
    <w:sectPr w:rsidR="00AD484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EF655" w14:textId="77777777" w:rsidR="00CB1E3A" w:rsidRDefault="00CB1E3A">
      <w:pPr>
        <w:spacing w:line="240" w:lineRule="auto"/>
      </w:pPr>
      <w:r>
        <w:separator/>
      </w:r>
    </w:p>
  </w:endnote>
  <w:endnote w:type="continuationSeparator" w:id="0">
    <w:p w14:paraId="44090681" w14:textId="77777777" w:rsidR="00CB1E3A" w:rsidRDefault="00CB1E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7EA43" w14:textId="77777777" w:rsidR="00AD484B" w:rsidRDefault="00AD484B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60114" w14:textId="77777777" w:rsidR="00AD484B" w:rsidRDefault="00AD484B">
    <w:pPr>
      <w:pStyle w:val="a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27F41" w14:textId="77777777" w:rsidR="00AD484B" w:rsidRDefault="00AD484B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D3F0D" w14:textId="77777777" w:rsidR="00CB1E3A" w:rsidRDefault="00CB1E3A">
      <w:pPr>
        <w:spacing w:line="240" w:lineRule="auto"/>
      </w:pPr>
      <w:r>
        <w:separator/>
      </w:r>
    </w:p>
  </w:footnote>
  <w:footnote w:type="continuationSeparator" w:id="0">
    <w:p w14:paraId="2A42AF5C" w14:textId="77777777" w:rsidR="00CB1E3A" w:rsidRDefault="00CB1E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14E31" w14:textId="77777777" w:rsidR="00AD484B" w:rsidRDefault="00AD484B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CE978" w14:textId="77777777" w:rsidR="00AD484B" w:rsidRDefault="00AD484B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E11BA" w14:textId="77777777" w:rsidR="00AD484B" w:rsidRDefault="00AD484B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jZhMmY1NzI3YWNhY2Y0MTAwM2MyMzMyMTRiNWY3YmEifQ=="/>
  </w:docVars>
  <w:rsids>
    <w:rsidRoot w:val="00721DA3"/>
    <w:rsid w:val="0002641A"/>
    <w:rsid w:val="00035205"/>
    <w:rsid w:val="00045AE8"/>
    <w:rsid w:val="000463CF"/>
    <w:rsid w:val="00051CF0"/>
    <w:rsid w:val="000C7099"/>
    <w:rsid w:val="00101C0B"/>
    <w:rsid w:val="001179D1"/>
    <w:rsid w:val="0012263D"/>
    <w:rsid w:val="00124182"/>
    <w:rsid w:val="00145C74"/>
    <w:rsid w:val="00174538"/>
    <w:rsid w:val="001B0591"/>
    <w:rsid w:val="001D0326"/>
    <w:rsid w:val="0021080D"/>
    <w:rsid w:val="00244D66"/>
    <w:rsid w:val="00247D1E"/>
    <w:rsid w:val="00260592"/>
    <w:rsid w:val="00261274"/>
    <w:rsid w:val="00275498"/>
    <w:rsid w:val="00277553"/>
    <w:rsid w:val="00293123"/>
    <w:rsid w:val="00294CB9"/>
    <w:rsid w:val="002A65C3"/>
    <w:rsid w:val="002C790A"/>
    <w:rsid w:val="002F7E21"/>
    <w:rsid w:val="003C0FE0"/>
    <w:rsid w:val="00433CA9"/>
    <w:rsid w:val="00454503"/>
    <w:rsid w:val="004A7EA4"/>
    <w:rsid w:val="004D490F"/>
    <w:rsid w:val="004F4D10"/>
    <w:rsid w:val="005313B8"/>
    <w:rsid w:val="00552963"/>
    <w:rsid w:val="00623E93"/>
    <w:rsid w:val="006575DA"/>
    <w:rsid w:val="006A0647"/>
    <w:rsid w:val="006D4A52"/>
    <w:rsid w:val="006E3F8B"/>
    <w:rsid w:val="00715461"/>
    <w:rsid w:val="00721DA3"/>
    <w:rsid w:val="007416CB"/>
    <w:rsid w:val="007B62A6"/>
    <w:rsid w:val="007D17CA"/>
    <w:rsid w:val="00851D1A"/>
    <w:rsid w:val="00865A7E"/>
    <w:rsid w:val="00867366"/>
    <w:rsid w:val="008A18F2"/>
    <w:rsid w:val="0093778F"/>
    <w:rsid w:val="00954A2F"/>
    <w:rsid w:val="009B7D9C"/>
    <w:rsid w:val="00A23FB4"/>
    <w:rsid w:val="00A54545"/>
    <w:rsid w:val="00A56E91"/>
    <w:rsid w:val="00AC3103"/>
    <w:rsid w:val="00AD484B"/>
    <w:rsid w:val="00B26AC0"/>
    <w:rsid w:val="00BF37D4"/>
    <w:rsid w:val="00C2185E"/>
    <w:rsid w:val="00C43F0F"/>
    <w:rsid w:val="00C84BFC"/>
    <w:rsid w:val="00CB1E3A"/>
    <w:rsid w:val="00CF2E03"/>
    <w:rsid w:val="00DD2994"/>
    <w:rsid w:val="00E02D31"/>
    <w:rsid w:val="00EB2628"/>
    <w:rsid w:val="00ED5E07"/>
    <w:rsid w:val="00ED5F2D"/>
    <w:rsid w:val="00EF7DE3"/>
    <w:rsid w:val="00F47C21"/>
    <w:rsid w:val="00F67418"/>
    <w:rsid w:val="00FA49C2"/>
    <w:rsid w:val="00FA6D7A"/>
    <w:rsid w:val="00FB391F"/>
    <w:rsid w:val="00FB65B9"/>
    <w:rsid w:val="74661A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F2C3EC"/>
  <w15:docId w15:val="{A648B608-6049-4F92-81D1-1E109A4FE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adjustRightInd w:val="0"/>
      <w:snapToGrid w:val="0"/>
      <w:spacing w:line="400" w:lineRule="atLeast"/>
      <w:ind w:firstLineChars="200" w:firstLine="480"/>
      <w:jc w:val="both"/>
    </w:pPr>
    <w:rPr>
      <w:rFonts w:ascii="Times New Roman" w:eastAsia="宋体" w:hAnsi="Times New Roman" w:cs="Times New Roman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a7">
    <w:name w:val="Table Grid"/>
    <w:basedOn w:val="a1"/>
    <w:autoRedefine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  <w:style w:type="character" w:customStyle="1" w:styleId="-">
    <w:name w:val="题名页-论文英文题目"/>
    <w:qFormat/>
    <w:rPr>
      <w:rFonts w:ascii="Times New Roman" w:eastAsia="宋体" w:hAnsi="Times New Roman"/>
      <w:sz w:val="30"/>
    </w:rPr>
  </w:style>
  <w:style w:type="paragraph" w:customStyle="1" w:styleId="EndNoteBibliography">
    <w:name w:val="EndNote Bibliography"/>
    <w:autoRedefine/>
    <w:qFormat/>
    <w:pPr>
      <w:jc w:val="both"/>
    </w:pPr>
    <w:rPr>
      <w:rFonts w:ascii="Times New Roman" w:eastAsia="宋体" w:hAnsi="Times New Roman" w:cs="Times New Roman"/>
      <w:sz w:val="24"/>
      <w:szCs w:val="22"/>
    </w:rPr>
  </w:style>
  <w:style w:type="character" w:styleId="a8">
    <w:name w:val="Hyperlink"/>
    <w:basedOn w:val="a0"/>
    <w:qFormat/>
    <w:rsid w:val="00294C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wanglei_09243633@163.com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mailto:hanlu@iccas.ac.cn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5275</Words>
  <Characters>30071</Characters>
  <Application>Microsoft Office Word</Application>
  <DocSecurity>0</DocSecurity>
  <Lines>250</Lines>
  <Paragraphs>70</Paragraphs>
  <ScaleCrop>false</ScaleCrop>
  <Company/>
  <LinksUpToDate>false</LinksUpToDate>
  <CharactersWithSpaces>35276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 han</dc:creator>
  <cp:lastModifiedBy>lu han</cp:lastModifiedBy>
  <cp:revision>3</cp:revision>
  <dcterms:created xsi:type="dcterms:W3CDTF">2025-08-06T06:08:00Z</dcterms:created>
  <dcterms:modified xsi:type="dcterms:W3CDTF">2025-08-20T11:00:00Z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A9CBCF6E9227495FB141C4E5E5469553_12</vt:lpwstr>
  </property>
</Properties>
</file>