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FC380" w14:textId="5C9A71AB" w:rsidR="000B647B" w:rsidRDefault="000B647B">
      <w:pPr>
        <w:rPr>
          <w:rFonts w:ascii="Times New Roman" w:hAnsi="Times New Roman"/>
          <w:b/>
          <w:iCs/>
          <w:color w:val="000000" w:themeColor="text1"/>
          <w:kern w:val="0"/>
        </w:rPr>
      </w:pPr>
      <w:r w:rsidRPr="0044643A">
        <w:rPr>
          <w:rFonts w:ascii="Times New Roman" w:hAnsi="Times New Roman"/>
          <w:b/>
          <w:iCs/>
          <w:color w:val="000000" w:themeColor="text1"/>
          <w:kern w:val="0"/>
        </w:rPr>
        <w:t>Supplementary Information</w:t>
      </w:r>
    </w:p>
    <w:p w14:paraId="42AF4CCD" w14:textId="3818EBF0" w:rsidR="000B647B" w:rsidRDefault="007E4F89">
      <w:pPr>
        <w:rPr>
          <w:rFonts w:ascii="Times New Roman" w:hAnsi="Times New Roman"/>
          <w:b/>
          <w:iCs/>
          <w:color w:val="000000" w:themeColor="text1"/>
          <w:kern w:val="0"/>
        </w:rPr>
      </w:pPr>
      <w:r>
        <w:rPr>
          <w:rFonts w:ascii="Times New Roman" w:hAnsi="Times New Roman"/>
          <w:b/>
          <w:iCs/>
          <w:noProof/>
          <w:color w:val="000000" w:themeColor="text1"/>
          <w:kern w:val="0"/>
        </w:rPr>
        <w:drawing>
          <wp:inline distT="0" distB="0" distL="0" distR="0" wp14:anchorId="2F201A00" wp14:editId="4EC0C9A2">
            <wp:extent cx="5065777" cy="2023872"/>
            <wp:effectExtent l="0" t="0" r="1905" b="0"/>
            <wp:docPr id="398777697" name="圖片 1" descr="一張含有 螢幕擷取畫面, 文字, 多媒體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77697" name="圖片 1" descr="一張含有 螢幕擷取畫面, 文字, 多媒體軟體 的圖片&#10;&#10;AI 產生的內容可能不正確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7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647B" w14:textId="6F3E87B5" w:rsidR="000B647B" w:rsidRDefault="000B647B" w:rsidP="000B647B">
      <w:pPr>
        <w:jc w:val="both"/>
        <w:rPr>
          <w:rFonts w:ascii="Times New Roman" w:eastAsia="AdvTTb54a34f7" w:hAnsi="Times New Roman"/>
          <w:kern w:val="0"/>
        </w:rPr>
      </w:pPr>
      <w:r w:rsidRPr="0055297D">
        <w:rPr>
          <w:rFonts w:ascii="Times New Roman" w:hAnsi="Times New Roman"/>
          <w:b/>
          <w:iCs/>
          <w:kern w:val="0"/>
        </w:rPr>
        <w:t xml:space="preserve">Supplementary Fig. </w:t>
      </w:r>
      <w:r>
        <w:rPr>
          <w:rFonts w:ascii="Times New Roman" w:hAnsi="Times New Roman" w:hint="eastAsia"/>
          <w:b/>
        </w:rPr>
        <w:t>1</w:t>
      </w:r>
      <w:r w:rsidRPr="0055297D">
        <w:rPr>
          <w:rFonts w:ascii="Times New Roman" w:hAnsi="Times New Roman"/>
          <w:b/>
        </w:rPr>
        <w:t xml:space="preserve"> </w:t>
      </w:r>
      <w:r w:rsidRPr="0055297D">
        <w:rPr>
          <w:rFonts w:ascii="Times New Roman" w:hAnsi="Times New Roman"/>
          <w:b/>
          <w:color w:val="333333"/>
          <w:shd w:val="clear" w:color="auto" w:fill="FFFFFF"/>
        </w:rPr>
        <w:t xml:space="preserve">Confocal fluorescence microscopy images of </w:t>
      </w:r>
      <w:r>
        <w:rPr>
          <w:rFonts w:ascii="Times New Roman" w:hAnsi="Times New Roman" w:hint="eastAsia"/>
          <w:b/>
          <w:color w:val="333333"/>
          <w:shd w:val="clear" w:color="auto" w:fill="FFFFFF"/>
        </w:rPr>
        <w:t>C2C12</w:t>
      </w:r>
      <w:r w:rsidRPr="0055297D">
        <w:rPr>
          <w:rFonts w:ascii="Times New Roman" w:hAnsi="Times New Roman"/>
          <w:b/>
          <w:color w:val="333333"/>
          <w:shd w:val="clear" w:color="auto" w:fill="FFFFFF"/>
        </w:rPr>
        <w:t xml:space="preserve"> cells. </w:t>
      </w:r>
    </w:p>
    <w:p w14:paraId="1B15C025" w14:textId="5C9115E2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  <w:r w:rsidRPr="000B647B">
        <w:rPr>
          <w:rFonts w:ascii="Times New Roman" w:hAnsi="Times New Roman" w:cs="Times New Roman"/>
          <w:color w:val="000000"/>
        </w:rPr>
        <w:t>The subcellular localization of RNF128 and AMPK in C2C12 cells was analyzed using confocal fluorescence microscopy (LSM980).</w:t>
      </w:r>
    </w:p>
    <w:p w14:paraId="1FE563D6" w14:textId="77777777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</w:p>
    <w:p w14:paraId="62DC7599" w14:textId="77777777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</w:p>
    <w:p w14:paraId="1F35482A" w14:textId="77777777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</w:p>
    <w:p w14:paraId="533F1AC4" w14:textId="77777777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</w:p>
    <w:p w14:paraId="0C5E759E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1995128B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04C1D7FC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399831C2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572F3CC7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660C6711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5A96EC5B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042AF322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5E830E10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1E4816AF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295D5634" w14:textId="2585FF09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2095CDB8" wp14:editId="418CB9CD">
            <wp:extent cx="5274310" cy="2369820"/>
            <wp:effectExtent l="0" t="0" r="2540" b="0"/>
            <wp:docPr id="49365463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54632" name="圖片 4936546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43D8" w14:textId="2FCEB051" w:rsidR="000B647B" w:rsidRDefault="000B647B" w:rsidP="000B647B">
      <w:pPr>
        <w:jc w:val="both"/>
        <w:rPr>
          <w:rFonts w:ascii="Times New Roman" w:eastAsia="AdvTTb54a34f7" w:hAnsi="Times New Roman"/>
          <w:kern w:val="0"/>
        </w:rPr>
      </w:pPr>
      <w:r w:rsidRPr="0055297D">
        <w:rPr>
          <w:rFonts w:ascii="Times New Roman" w:hAnsi="Times New Roman"/>
          <w:b/>
          <w:iCs/>
          <w:kern w:val="0"/>
        </w:rPr>
        <w:t xml:space="preserve">Supplementary Fig. </w:t>
      </w:r>
      <w:r>
        <w:rPr>
          <w:rFonts w:ascii="Times New Roman" w:hAnsi="Times New Roman" w:hint="eastAsia"/>
          <w:b/>
        </w:rPr>
        <w:t>2</w:t>
      </w:r>
      <w:r w:rsidRPr="0055297D">
        <w:rPr>
          <w:rFonts w:ascii="Times New Roman" w:hAnsi="Times New Roman"/>
          <w:b/>
        </w:rPr>
        <w:t xml:space="preserve"> </w:t>
      </w:r>
      <w:r w:rsidRPr="0055297D">
        <w:rPr>
          <w:rFonts w:ascii="Times New Roman" w:hAnsi="Times New Roman"/>
          <w:b/>
          <w:color w:val="333333"/>
          <w:shd w:val="clear" w:color="auto" w:fill="FFFFFF"/>
        </w:rPr>
        <w:t xml:space="preserve">Confocal fluorescence microscopy images of </w:t>
      </w:r>
      <w:r>
        <w:rPr>
          <w:rFonts w:ascii="Times New Roman" w:hAnsi="Times New Roman" w:hint="eastAsia"/>
          <w:b/>
          <w:color w:val="333333"/>
          <w:shd w:val="clear" w:color="auto" w:fill="FFFFFF"/>
        </w:rPr>
        <w:t>AML12</w:t>
      </w:r>
      <w:r w:rsidRPr="0055297D">
        <w:rPr>
          <w:rFonts w:ascii="Times New Roman" w:hAnsi="Times New Roman"/>
          <w:b/>
          <w:color w:val="333333"/>
          <w:shd w:val="clear" w:color="auto" w:fill="FFFFFF"/>
        </w:rPr>
        <w:t xml:space="preserve"> cells. </w:t>
      </w:r>
    </w:p>
    <w:p w14:paraId="3DE36BF1" w14:textId="616E0CA7" w:rsidR="000B647B" w:rsidRP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  <w:r w:rsidRPr="000B647B">
        <w:rPr>
          <w:rFonts w:ascii="Times New Roman" w:hAnsi="Times New Roman" w:cs="Times New Roman"/>
          <w:color w:val="000000"/>
        </w:rPr>
        <w:t xml:space="preserve">The subcellular localization of RNF128 and AMPK in </w:t>
      </w:r>
      <w:r>
        <w:rPr>
          <w:rFonts w:ascii="Times New Roman" w:hAnsi="Times New Roman" w:cs="Times New Roman" w:hint="eastAsia"/>
          <w:color w:val="000000"/>
        </w:rPr>
        <w:t>AML12</w:t>
      </w:r>
      <w:r w:rsidRPr="000B647B">
        <w:rPr>
          <w:rFonts w:ascii="Times New Roman" w:hAnsi="Times New Roman" w:cs="Times New Roman"/>
          <w:color w:val="000000"/>
        </w:rPr>
        <w:t xml:space="preserve"> cells was analyzed using confocal fluorescence microscopy (LSM980).</w:t>
      </w:r>
    </w:p>
    <w:p w14:paraId="7701BC28" w14:textId="77777777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</w:p>
    <w:p w14:paraId="1AA0883E" w14:textId="77777777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</w:p>
    <w:p w14:paraId="1CA0A39C" w14:textId="77777777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</w:p>
    <w:p w14:paraId="4BE39FAE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040582AE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72809F80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39C19B80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2427D8BD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05C8F473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5B86BD53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0F045B02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42EC7520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75CCAEE5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6B12FB2A" w14:textId="5810E7F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1B9FC138" wp14:editId="10DE7720">
            <wp:extent cx="5274310" cy="1808480"/>
            <wp:effectExtent l="0" t="0" r="2540" b="1270"/>
            <wp:docPr id="367203979" name="圖片 3" descr="一張含有 文字, 螢幕擷取畫面, 設計, 設備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03979" name="圖片 3" descr="一張含有 文字, 螢幕擷取畫面, 設計, 設備 的圖片&#10;&#10;AI 產生的內容可能不正確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4B31" w14:textId="20F5C666" w:rsidR="000B647B" w:rsidRPr="000B647B" w:rsidRDefault="000B647B" w:rsidP="000B647B">
      <w:pPr>
        <w:jc w:val="both"/>
        <w:rPr>
          <w:rFonts w:ascii="Times New Roman" w:hAnsi="Times New Roman" w:cs="Times New Roman"/>
          <w:b/>
          <w:color w:val="000000"/>
        </w:rPr>
      </w:pPr>
      <w:r w:rsidRPr="000B647B">
        <w:rPr>
          <w:rFonts w:ascii="Times New Roman" w:hAnsi="Times New Roman" w:cs="Times New Roman"/>
          <w:b/>
          <w:color w:val="000000"/>
        </w:rPr>
        <w:t>Supplementary Fig. 3 RNF128 expression in C2C12/shRNF128 and C2C12/RNF128 cells.</w:t>
      </w:r>
    </w:p>
    <w:p w14:paraId="3D2DDD20" w14:textId="14E4908E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  <w:r w:rsidRPr="000B647B">
        <w:rPr>
          <w:rFonts w:ascii="Times New Roman" w:hAnsi="Times New Roman" w:cs="Times New Roman"/>
          <w:color w:val="000000"/>
        </w:rPr>
        <w:t>(A, B) Immunoblot analysis assessing RNF128 expression levels in C2C12/shRNF128 and C2C12/RNF128 cells.</w:t>
      </w:r>
    </w:p>
    <w:p w14:paraId="7042EF5E" w14:textId="77777777" w:rsidR="000B647B" w:rsidRP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</w:p>
    <w:p w14:paraId="579AE5DC" w14:textId="77777777" w:rsidR="000B647B" w:rsidRDefault="000B647B" w:rsidP="000B647B">
      <w:pPr>
        <w:jc w:val="both"/>
        <w:rPr>
          <w:rFonts w:ascii="Times New Roman" w:hAnsi="Times New Roman" w:cs="Times New Roman"/>
          <w:color w:val="000000"/>
        </w:rPr>
      </w:pPr>
    </w:p>
    <w:p w14:paraId="55965BB6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0561ECC7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60BB6848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5F93DD04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0B4201E4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3E6CAA7C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33A17C0D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65E1F7D9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54134DDC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7DC9ED07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2C3748AD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747C3DCB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1D6B203B" w14:textId="77777777" w:rsidR="007E4F89" w:rsidRDefault="007E4F89" w:rsidP="000B647B">
      <w:pPr>
        <w:jc w:val="both"/>
        <w:rPr>
          <w:rFonts w:ascii="Times New Roman" w:hAnsi="Times New Roman" w:cs="Times New Roman"/>
          <w:color w:val="000000"/>
        </w:rPr>
      </w:pPr>
    </w:p>
    <w:p w14:paraId="36DE7FED" w14:textId="17330371" w:rsidR="007E4F89" w:rsidRDefault="00E46F53" w:rsidP="000B647B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1B17BC27" wp14:editId="6DD6E539">
            <wp:extent cx="5274310" cy="4660900"/>
            <wp:effectExtent l="0" t="0" r="2540" b="6350"/>
            <wp:docPr id="1791252589" name="圖片 5" descr="一張含有 文字, 螢幕擷取畫面, 平行, 圖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52589" name="圖片 5" descr="一張含有 文字, 螢幕擷取畫面, 平行, 圖表 的圖片&#10;&#10;AI 產生的內容可能不正確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56F5" w14:textId="3D2C0CDE" w:rsidR="000B647B" w:rsidRPr="000B647B" w:rsidRDefault="000B647B" w:rsidP="000B647B">
      <w:pPr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0B647B">
        <w:rPr>
          <w:rFonts w:ascii="Times New Roman" w:hAnsi="Times New Roman" w:cs="Times New Roman"/>
          <w:b/>
          <w:color w:val="000000"/>
        </w:rPr>
        <w:t xml:space="preserve">Supplementary Fig. </w:t>
      </w:r>
      <w:r>
        <w:rPr>
          <w:rFonts w:ascii="Times New Roman" w:hAnsi="Times New Roman" w:cs="Times New Roman" w:hint="eastAsia"/>
          <w:b/>
          <w:color w:val="000000"/>
        </w:rPr>
        <w:t>4</w:t>
      </w:r>
      <w:r w:rsidRPr="000B647B">
        <w:rPr>
          <w:rFonts w:ascii="Times New Roman" w:hAnsi="Times New Roman" w:cs="Times New Roman"/>
          <w:b/>
          <w:color w:val="000000"/>
        </w:rPr>
        <w:t xml:space="preserve"> RNF128 regulates AMPK phosphorylation and glycolysis gene expression in AML12 cells under glucose starvation.</w:t>
      </w:r>
    </w:p>
    <w:p w14:paraId="77A29592" w14:textId="21835450" w:rsidR="000B647B" w:rsidRDefault="008D29B7" w:rsidP="008D29B7">
      <w:pPr>
        <w:jc w:val="both"/>
        <w:rPr>
          <w:rFonts w:ascii="Times New Roman" w:hAnsi="Times New Roman" w:cs="Times New Roman"/>
          <w:color w:val="000000" w:themeColor="text1"/>
          <w:spacing w:val="3"/>
          <w:shd w:val="clear" w:color="auto" w:fill="FFFFFF"/>
        </w:rPr>
      </w:pPr>
      <w:r w:rsidRPr="008D29B7">
        <w:rPr>
          <w:rFonts w:ascii="Times New Roman" w:hAnsi="Times New Roman" w:cs="Times New Roman"/>
          <w:color w:val="000000"/>
        </w:rPr>
        <w:t>(A, B) Immunoblot analysis was performed to assess the expression levels of P-AMPK, AMPK, P-ACC,</w:t>
      </w:r>
      <w:r>
        <w:rPr>
          <w:rFonts w:ascii="Times New Roman" w:hAnsi="Times New Roman" w:cs="Times New Roman" w:hint="eastAsia"/>
          <w:color w:val="000000"/>
        </w:rPr>
        <w:t xml:space="preserve"> ACC,</w:t>
      </w:r>
      <w:r w:rsidRPr="008D29B7">
        <w:rPr>
          <w:rFonts w:ascii="Times New Roman" w:hAnsi="Times New Roman" w:cs="Times New Roman"/>
          <w:color w:val="000000"/>
        </w:rPr>
        <w:t xml:space="preserve"> and </w:t>
      </w:r>
      <w:r>
        <w:rPr>
          <w:rFonts w:ascii="Times New Roman" w:hAnsi="Times New Roman" w:cs="Times New Roman" w:hint="eastAsia"/>
          <w:color w:val="000000"/>
        </w:rPr>
        <w:t>RNF128</w:t>
      </w:r>
      <w:r w:rsidRPr="008D29B7">
        <w:rPr>
          <w:rFonts w:ascii="Times New Roman" w:hAnsi="Times New Roman" w:cs="Times New Roman"/>
          <w:color w:val="000000"/>
        </w:rPr>
        <w:t xml:space="preserve"> in </w:t>
      </w:r>
      <w:r w:rsidRPr="00F329A5">
        <w:rPr>
          <w:rFonts w:ascii="Times New Roman" w:hAnsi="Times New Roman" w:cs="Times New Roman"/>
          <w:color w:val="000000"/>
        </w:rPr>
        <w:t>specified stable cell lines</w:t>
      </w:r>
      <w:r w:rsidRPr="008D29B7">
        <w:rPr>
          <w:rFonts w:ascii="Times New Roman" w:hAnsi="Times New Roman" w:cs="Times New Roman"/>
          <w:color w:val="000000"/>
        </w:rPr>
        <w:t xml:space="preserve"> subjected to glucose deprivation medium.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 w:rsidRPr="00E74E92">
        <w:rPr>
          <w:rFonts w:ascii="Times New Roman" w:hAnsi="Times New Roman" w:cs="Times New Roman"/>
          <w:color w:val="000000"/>
        </w:rPr>
        <w:t xml:space="preserve">The mRNA levels of </w:t>
      </w:r>
      <w:r w:rsidR="003E3E04">
        <w:rPr>
          <w:rFonts w:ascii="Times New Roman" w:hAnsi="Times New Roman" w:cs="Times New Roman" w:hint="eastAsia"/>
          <w:color w:val="000000"/>
        </w:rPr>
        <w:t>H</w:t>
      </w:r>
      <w:r w:rsidRPr="00E74E92">
        <w:rPr>
          <w:rFonts w:ascii="Times New Roman" w:hAnsi="Times New Roman" w:cs="Times New Roman"/>
          <w:color w:val="000000"/>
        </w:rPr>
        <w:t xml:space="preserve">exokinase-2, </w:t>
      </w:r>
      <w:r w:rsidR="003E3E04">
        <w:rPr>
          <w:rFonts w:ascii="Times New Roman" w:hAnsi="Times New Roman" w:cs="Times New Roman" w:hint="eastAsia"/>
          <w:color w:val="000000"/>
        </w:rPr>
        <w:t>P</w:t>
      </w:r>
      <w:r w:rsidRPr="00E74E92">
        <w:rPr>
          <w:rFonts w:ascii="Times New Roman" w:hAnsi="Times New Roman" w:cs="Times New Roman"/>
          <w:color w:val="000000"/>
        </w:rPr>
        <w:t xml:space="preserve">hosphoglycerate mutase 2, </w:t>
      </w:r>
      <w:r w:rsidR="003E3E04">
        <w:rPr>
          <w:rFonts w:ascii="Times New Roman" w:hAnsi="Times New Roman" w:cs="Times New Roman" w:hint="eastAsia"/>
          <w:color w:val="000000"/>
        </w:rPr>
        <w:t>P</w:t>
      </w:r>
      <w:r w:rsidRPr="00E74E92">
        <w:rPr>
          <w:rFonts w:ascii="Times New Roman" w:hAnsi="Times New Roman" w:cs="Times New Roman"/>
          <w:color w:val="000000"/>
        </w:rPr>
        <w:t xml:space="preserve">yruvate kinase m, </w:t>
      </w:r>
      <w:r w:rsidR="003E3E04">
        <w:rPr>
          <w:rFonts w:ascii="Times New Roman" w:hAnsi="Times New Roman" w:cs="Times New Roman" w:hint="eastAsia"/>
          <w:color w:val="000000"/>
        </w:rPr>
        <w:t>A</w:t>
      </w:r>
      <w:r w:rsidRPr="00E74E92">
        <w:rPr>
          <w:rFonts w:ascii="Times New Roman" w:hAnsi="Times New Roman" w:cs="Times New Roman"/>
          <w:color w:val="000000"/>
        </w:rPr>
        <w:t xml:space="preserve">ldolase a, </w:t>
      </w:r>
      <w:r w:rsidR="003E3E04">
        <w:rPr>
          <w:rFonts w:ascii="Times New Roman" w:hAnsi="Times New Roman" w:cs="Times New Roman" w:hint="eastAsia"/>
          <w:color w:val="000000"/>
        </w:rPr>
        <w:t>P</w:t>
      </w:r>
      <w:r w:rsidRPr="00E74E92">
        <w:rPr>
          <w:rFonts w:ascii="Times New Roman" w:hAnsi="Times New Roman" w:cs="Times New Roman"/>
          <w:color w:val="000000"/>
        </w:rPr>
        <w:t xml:space="preserve">hosphoglycerate kinase 1, </w:t>
      </w:r>
      <w:r w:rsidR="003E3E04">
        <w:rPr>
          <w:rFonts w:ascii="Times New Roman" w:hAnsi="Times New Roman" w:cs="Times New Roman" w:hint="eastAsia"/>
          <w:color w:val="000000"/>
        </w:rPr>
        <w:t>T</w:t>
      </w:r>
      <w:r w:rsidRPr="00E74E92">
        <w:rPr>
          <w:rFonts w:ascii="Times New Roman" w:hAnsi="Times New Roman" w:cs="Times New Roman"/>
          <w:color w:val="000000"/>
        </w:rPr>
        <w:t xml:space="preserve">riosephosphate isomerase 1, </w:t>
      </w:r>
      <w:r w:rsidR="003E3E04">
        <w:rPr>
          <w:rFonts w:ascii="Times New Roman" w:hAnsi="Times New Roman" w:cs="Times New Roman" w:hint="eastAsia"/>
          <w:color w:val="000000"/>
        </w:rPr>
        <w:t>L</w:t>
      </w:r>
      <w:r w:rsidRPr="00E74E92">
        <w:rPr>
          <w:rFonts w:ascii="Times New Roman" w:hAnsi="Times New Roman" w:cs="Times New Roman"/>
          <w:color w:val="000000"/>
        </w:rPr>
        <w:t xml:space="preserve">actate dehydrogenase a, and </w:t>
      </w:r>
      <w:r w:rsidR="003E3E04">
        <w:rPr>
          <w:rFonts w:ascii="Times New Roman" w:hAnsi="Times New Roman" w:cs="Times New Roman" w:hint="eastAsia"/>
          <w:color w:val="000000"/>
        </w:rPr>
        <w:t>P</w:t>
      </w:r>
      <w:r w:rsidRPr="00E74E92">
        <w:rPr>
          <w:rFonts w:ascii="Times New Roman" w:hAnsi="Times New Roman" w:cs="Times New Roman"/>
          <w:color w:val="000000"/>
        </w:rPr>
        <w:t>hosphoglycerate mutase 1 (</w:t>
      </w:r>
      <w:r>
        <w:rPr>
          <w:rFonts w:ascii="Times New Roman" w:hAnsi="Times New Roman" w:cs="Times New Roman" w:hint="eastAsia"/>
          <w:color w:val="000000"/>
        </w:rPr>
        <w:t>C</w:t>
      </w:r>
      <w:r w:rsidRPr="00E74E92">
        <w:rPr>
          <w:rFonts w:ascii="Times New Roman" w:hAnsi="Times New Roman" w:cs="Times New Roman"/>
          <w:color w:val="000000"/>
        </w:rPr>
        <w:t xml:space="preserve">) were measured in </w:t>
      </w:r>
      <w:r>
        <w:rPr>
          <w:rFonts w:ascii="Times New Roman" w:hAnsi="Times New Roman" w:cs="Times New Roman" w:hint="eastAsia"/>
          <w:color w:val="000000"/>
        </w:rPr>
        <w:t>AML12</w:t>
      </w:r>
      <w:r w:rsidRPr="00E74E92">
        <w:rPr>
          <w:rFonts w:ascii="Times New Roman" w:hAnsi="Times New Roman" w:cs="Times New Roman"/>
          <w:color w:val="000000"/>
        </w:rPr>
        <w:t xml:space="preserve">/vector and </w:t>
      </w:r>
      <w:r>
        <w:rPr>
          <w:rFonts w:ascii="Times New Roman" w:hAnsi="Times New Roman" w:cs="Times New Roman" w:hint="eastAsia"/>
          <w:color w:val="000000"/>
        </w:rPr>
        <w:t>AML12</w:t>
      </w:r>
      <w:r w:rsidRPr="00E74E92">
        <w:rPr>
          <w:rFonts w:ascii="Times New Roman" w:hAnsi="Times New Roman" w:cs="Times New Roman"/>
          <w:color w:val="000000"/>
        </w:rPr>
        <w:t>/RNF128 cell lines, or (</w:t>
      </w:r>
      <w:r>
        <w:rPr>
          <w:rFonts w:ascii="Times New Roman" w:hAnsi="Times New Roman" w:cs="Times New Roman" w:hint="eastAsia"/>
          <w:color w:val="000000"/>
        </w:rPr>
        <w:t>D</w:t>
      </w:r>
      <w:r w:rsidRPr="00E74E92">
        <w:rPr>
          <w:rFonts w:ascii="Times New Roman" w:hAnsi="Times New Roman" w:cs="Times New Roman"/>
          <w:color w:val="000000"/>
        </w:rPr>
        <w:t xml:space="preserve">) in </w:t>
      </w:r>
      <w:r>
        <w:rPr>
          <w:rFonts w:ascii="Times New Roman" w:hAnsi="Times New Roman" w:cs="Times New Roman" w:hint="eastAsia"/>
          <w:color w:val="000000"/>
        </w:rPr>
        <w:t>AML12</w:t>
      </w:r>
      <w:r w:rsidRPr="00E74E92">
        <w:rPr>
          <w:rFonts w:ascii="Times New Roman" w:hAnsi="Times New Roman" w:cs="Times New Roman"/>
          <w:color w:val="000000"/>
        </w:rPr>
        <w:t>/</w:t>
      </w:r>
      <w:proofErr w:type="spellStart"/>
      <w:r w:rsidRPr="00E74E92">
        <w:rPr>
          <w:rFonts w:ascii="Times New Roman" w:hAnsi="Times New Roman" w:cs="Times New Roman"/>
          <w:color w:val="000000"/>
        </w:rPr>
        <w:t>shluc</w:t>
      </w:r>
      <w:proofErr w:type="spellEnd"/>
      <w:r w:rsidRPr="00E74E92">
        <w:rPr>
          <w:rFonts w:ascii="Times New Roman" w:hAnsi="Times New Roman" w:cs="Times New Roman"/>
          <w:color w:val="000000"/>
        </w:rPr>
        <w:t xml:space="preserve"> and </w:t>
      </w:r>
      <w:r>
        <w:rPr>
          <w:rFonts w:ascii="Times New Roman" w:hAnsi="Times New Roman" w:cs="Times New Roman" w:hint="eastAsia"/>
          <w:color w:val="000000"/>
        </w:rPr>
        <w:t>AML12</w:t>
      </w:r>
      <w:r w:rsidRPr="00E74E92">
        <w:rPr>
          <w:rFonts w:ascii="Times New Roman" w:hAnsi="Times New Roman" w:cs="Times New Roman"/>
          <w:color w:val="000000"/>
        </w:rPr>
        <w:t xml:space="preserve">/shRNF128 cell lines after exposure to glucose deprivation medium for </w:t>
      </w:r>
      <w:r>
        <w:rPr>
          <w:rFonts w:ascii="Times New Roman" w:hAnsi="Times New Roman" w:cs="Times New Roman" w:hint="eastAsia"/>
          <w:color w:val="000000"/>
        </w:rPr>
        <w:t>6</w:t>
      </w:r>
      <w:r w:rsidRPr="00E74E92">
        <w:rPr>
          <w:rFonts w:ascii="Times New Roman" w:hAnsi="Times New Roman" w:cs="Times New Roman"/>
          <w:color w:val="000000"/>
        </w:rPr>
        <w:t xml:space="preserve"> hours.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 w:rsidRPr="00697EF6">
        <w:rPr>
          <w:rFonts w:ascii="Times New Roman" w:hAnsi="Times New Roman" w:cs="Times New Roman"/>
          <w:color w:val="000000" w:themeColor="text1"/>
          <w:kern w:val="0"/>
        </w:rPr>
        <w:t>Data are presented</w:t>
      </w:r>
      <w:r w:rsidRPr="00697EF6">
        <w:rPr>
          <w:rFonts w:ascii="Times New Roman" w:hAnsi="Times New Roman" w:cs="Times New Roman" w:hint="eastAsia"/>
          <w:color w:val="000000" w:themeColor="text1"/>
          <w:kern w:val="0"/>
        </w:rPr>
        <w:t xml:space="preserve"> as</w:t>
      </w:r>
      <w:r w:rsidRPr="00697EF6">
        <w:rPr>
          <w:rFonts w:ascii="Times New Roman" w:hAnsi="Times New Roman" w:cs="Times New Roman"/>
          <w:color w:val="000000" w:themeColor="text1"/>
          <w:kern w:val="0"/>
        </w:rPr>
        <w:t xml:space="preserve"> the</w:t>
      </w:r>
      <w:r w:rsidRPr="00697EF6">
        <w:rPr>
          <w:rFonts w:ascii="Times New Roman" w:hAnsi="Times New Roman" w:cs="Times New Roman" w:hint="eastAsia"/>
          <w:color w:val="000000" w:themeColor="text1"/>
          <w:kern w:val="0"/>
        </w:rPr>
        <w:t xml:space="preserve"> mean </w:t>
      </w:r>
      <w:r w:rsidRPr="00697EF6">
        <w:rPr>
          <w:rFonts w:ascii="Times New Roman" w:eastAsia="新細明體" w:hAnsi="Times New Roman" w:cs="Times New Roman"/>
          <w:color w:val="000000" w:themeColor="text1"/>
          <w:kern w:val="0"/>
        </w:rPr>
        <w:t>± standard deviation</w:t>
      </w:r>
      <w:r>
        <w:rPr>
          <w:rFonts w:ascii="Times New Roman" w:hAnsi="Times New Roman" w:cs="Times New Roman" w:hint="eastAsia"/>
          <w:color w:val="000000"/>
        </w:rPr>
        <w:t xml:space="preserve">. </w:t>
      </w:r>
      <w:r w:rsidRPr="00697EF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One-way analysis of variance using the Newman–Keuls post hoc test or </w:t>
      </w:r>
      <w:r w:rsidRPr="00697EF6">
        <w:rPr>
          <w:rFonts w:ascii="Times New Roman" w:hAnsi="Times New Roman" w:cs="Times New Roman"/>
          <w:color w:val="000000" w:themeColor="text1"/>
          <w:spacing w:val="3"/>
          <w:shd w:val="clear" w:color="auto" w:fill="FFFFFF"/>
        </w:rPr>
        <w:t>Student's</w:t>
      </w:r>
      <w:r w:rsidRPr="00697EF6">
        <w:rPr>
          <w:rFonts w:ascii="Times New Roman" w:hAnsi="Times New Roman" w:cs="Times New Roman" w:hint="eastAsia"/>
          <w:color w:val="000000" w:themeColor="text1"/>
          <w:spacing w:val="3"/>
          <w:shd w:val="clear" w:color="auto" w:fill="FFFFFF"/>
        </w:rPr>
        <w:t xml:space="preserve"> </w:t>
      </w:r>
      <w:r w:rsidRPr="00697EF6">
        <w:rPr>
          <w:rFonts w:ascii="Times New Roman" w:hAnsi="Times New Roman" w:cs="Times New Roman"/>
          <w:i/>
          <w:iCs/>
          <w:color w:val="000000" w:themeColor="text1"/>
          <w:spacing w:val="3"/>
          <w:shd w:val="clear" w:color="auto" w:fill="FFFFFF"/>
        </w:rPr>
        <w:t>t-</w:t>
      </w:r>
      <w:r w:rsidRPr="00697EF6">
        <w:rPr>
          <w:rFonts w:ascii="Times New Roman" w:hAnsi="Times New Roman" w:cs="Times New Roman"/>
          <w:color w:val="000000" w:themeColor="text1"/>
          <w:spacing w:val="3"/>
          <w:shd w:val="clear" w:color="auto" w:fill="FFFFFF"/>
        </w:rPr>
        <w:t>test</w:t>
      </w:r>
      <w:r w:rsidRPr="00697EF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is used to assess the statistical significance.</w:t>
      </w:r>
      <w:r w:rsidRPr="00697EF6">
        <w:rPr>
          <w:rFonts w:ascii="Times New Roman" w:eastAsia="新細明體" w:hAnsi="Times New Roman" w:cs="Times New Roman"/>
          <w:color w:val="000000" w:themeColor="text1"/>
          <w:kern w:val="0"/>
        </w:rPr>
        <w:t xml:space="preserve"> </w:t>
      </w:r>
      <w:r w:rsidRPr="00697EF6">
        <w:rPr>
          <w:rFonts w:ascii="Times New Roman" w:hAnsi="Times New Roman" w:cs="Times New Roman"/>
          <w:color w:val="000000" w:themeColor="text1"/>
          <w:kern w:val="0"/>
          <w:vertAlign w:val="superscript"/>
        </w:rPr>
        <w:t>***</w:t>
      </w:r>
      <w:r w:rsidRPr="00697EF6">
        <w:rPr>
          <w:rFonts w:ascii="Times New Roman" w:hAnsi="Times New Roman" w:cs="Times New Roman"/>
          <w:i/>
          <w:iCs/>
          <w:color w:val="000000" w:themeColor="text1"/>
          <w:kern w:val="0"/>
        </w:rPr>
        <w:t xml:space="preserve">P </w:t>
      </w:r>
      <w:r w:rsidRPr="00697EF6">
        <w:rPr>
          <w:rFonts w:ascii="Times New Roman" w:hAnsi="Times New Roman" w:cs="Times New Roman"/>
          <w:color w:val="000000" w:themeColor="text1"/>
          <w:kern w:val="0"/>
        </w:rPr>
        <w:t>&lt; 0.001</w:t>
      </w:r>
      <w:r w:rsidRPr="00697EF6">
        <w:rPr>
          <w:rFonts w:ascii="Times New Roman" w:hAnsi="Times New Roman" w:cs="Times New Roman" w:hint="eastAsia"/>
          <w:color w:val="000000" w:themeColor="text1"/>
          <w:spacing w:val="3"/>
          <w:shd w:val="clear" w:color="auto" w:fill="FFFFFF"/>
        </w:rPr>
        <w:t>.</w:t>
      </w:r>
    </w:p>
    <w:p w14:paraId="2AA24626" w14:textId="77777777" w:rsidR="00065788" w:rsidRDefault="00065788" w:rsidP="008D29B7">
      <w:pPr>
        <w:jc w:val="both"/>
        <w:rPr>
          <w:rFonts w:ascii="Times New Roman" w:hAnsi="Times New Roman" w:cs="Times New Roman"/>
          <w:color w:val="000000" w:themeColor="text1"/>
          <w:spacing w:val="3"/>
          <w:shd w:val="clear" w:color="auto" w:fill="FFFFFF"/>
        </w:rPr>
      </w:pPr>
    </w:p>
    <w:p w14:paraId="2F426727" w14:textId="2D3E16F8" w:rsidR="00065788" w:rsidRDefault="00E46F53" w:rsidP="008D29B7">
      <w:pPr>
        <w:jc w:val="both"/>
        <w:rPr>
          <w:rFonts w:ascii="Times New Roman" w:hAnsi="Times New Roman" w:cs="Times New Roman"/>
          <w:color w:val="000000" w:themeColor="text1"/>
          <w:spacing w:val="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pacing w:val="3"/>
          <w:shd w:val="clear" w:color="auto" w:fill="FFFFFF"/>
        </w:rPr>
        <w:lastRenderedPageBreak/>
        <w:drawing>
          <wp:inline distT="0" distB="0" distL="0" distR="0" wp14:anchorId="4203EEAD" wp14:editId="6279985C">
            <wp:extent cx="5274310" cy="2085975"/>
            <wp:effectExtent l="0" t="0" r="2540" b="9525"/>
            <wp:docPr id="1871101171" name="圖片 6" descr="一張含有 文字, 螢幕擷取畫面, 字型, 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01171" name="圖片 6" descr="一張含有 文字, 螢幕擷取畫面, 字型, 行 的圖片&#10;&#10;AI 產生的內容可能不正確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569C" w14:textId="33597511" w:rsidR="00065788" w:rsidRDefault="005C752E" w:rsidP="005C752E">
      <w:pPr>
        <w:rPr>
          <w:rFonts w:ascii="Times New Roman" w:hAnsi="Times New Roman" w:cs="Times New Roman"/>
          <w:b/>
          <w:color w:val="000000"/>
        </w:rPr>
      </w:pPr>
      <w:r w:rsidRPr="000B647B">
        <w:rPr>
          <w:rFonts w:ascii="Times New Roman" w:hAnsi="Times New Roman" w:cs="Times New Roman"/>
          <w:b/>
          <w:color w:val="000000"/>
        </w:rPr>
        <w:t xml:space="preserve">Supplementary Fig. </w:t>
      </w:r>
      <w:r>
        <w:rPr>
          <w:rFonts w:ascii="Times New Roman" w:hAnsi="Times New Roman" w:cs="Times New Roman" w:hint="eastAsia"/>
          <w:b/>
          <w:color w:val="000000"/>
        </w:rPr>
        <w:t xml:space="preserve">5 </w:t>
      </w:r>
      <w:r w:rsidRPr="005C752E">
        <w:rPr>
          <w:rFonts w:ascii="Times New Roman" w:hAnsi="Times New Roman" w:cs="Times New Roman"/>
          <w:b/>
          <w:color w:val="000000"/>
        </w:rPr>
        <w:t>Inhibition of AMPK restores the effect of RNF128 on cell death during glucose starvation</w:t>
      </w:r>
      <w:r>
        <w:rPr>
          <w:rFonts w:ascii="Times New Roman" w:hAnsi="Times New Roman" w:cs="Times New Roman" w:hint="eastAsia"/>
          <w:b/>
          <w:color w:val="000000"/>
        </w:rPr>
        <w:t>.</w:t>
      </w:r>
    </w:p>
    <w:p w14:paraId="5FE2DA06" w14:textId="77777777" w:rsidR="00DB20F7" w:rsidRDefault="00DB20F7" w:rsidP="00DB20F7">
      <w:pPr>
        <w:jc w:val="both"/>
        <w:rPr>
          <w:rFonts w:ascii="Times New Roman" w:hAnsi="Times New Roman" w:cs="Times New Roman"/>
          <w:color w:val="000000" w:themeColor="text1"/>
          <w:spacing w:val="3"/>
          <w:shd w:val="clear" w:color="auto" w:fill="FFFFFF"/>
        </w:rPr>
      </w:pPr>
      <w:r w:rsidRPr="008D29B7">
        <w:rPr>
          <w:rFonts w:ascii="Times New Roman" w:hAnsi="Times New Roman" w:cs="Times New Roman"/>
          <w:color w:val="000000"/>
        </w:rPr>
        <w:t>(A, B)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 w:rsidRPr="00DB20F7">
        <w:rPr>
          <w:rFonts w:ascii="Times New Roman" w:hAnsi="Times New Roman" w:cs="Times New Roman"/>
          <w:color w:val="000000"/>
        </w:rPr>
        <w:t>C2C12 or HEK293 cells expressing either vector or RNF128 were cultured in glucose-free medium with or without Compound C for 24 hours, and cell viability was assessed.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 w:rsidRPr="00697EF6">
        <w:rPr>
          <w:rFonts w:ascii="Times New Roman" w:hAnsi="Times New Roman" w:cs="Times New Roman"/>
          <w:color w:val="000000" w:themeColor="text1"/>
          <w:kern w:val="0"/>
        </w:rPr>
        <w:t>Data are presented</w:t>
      </w:r>
      <w:r w:rsidRPr="00697EF6">
        <w:rPr>
          <w:rFonts w:ascii="Times New Roman" w:hAnsi="Times New Roman" w:cs="Times New Roman" w:hint="eastAsia"/>
          <w:color w:val="000000" w:themeColor="text1"/>
          <w:kern w:val="0"/>
        </w:rPr>
        <w:t xml:space="preserve"> as</w:t>
      </w:r>
      <w:r w:rsidRPr="00697EF6">
        <w:rPr>
          <w:rFonts w:ascii="Times New Roman" w:hAnsi="Times New Roman" w:cs="Times New Roman"/>
          <w:color w:val="000000" w:themeColor="text1"/>
          <w:kern w:val="0"/>
        </w:rPr>
        <w:t xml:space="preserve"> the</w:t>
      </w:r>
      <w:r w:rsidRPr="00697EF6">
        <w:rPr>
          <w:rFonts w:ascii="Times New Roman" w:hAnsi="Times New Roman" w:cs="Times New Roman" w:hint="eastAsia"/>
          <w:color w:val="000000" w:themeColor="text1"/>
          <w:kern w:val="0"/>
        </w:rPr>
        <w:t xml:space="preserve"> mean </w:t>
      </w:r>
      <w:r w:rsidRPr="00697EF6">
        <w:rPr>
          <w:rFonts w:ascii="Times New Roman" w:eastAsia="新細明體" w:hAnsi="Times New Roman" w:cs="Times New Roman"/>
          <w:color w:val="000000" w:themeColor="text1"/>
          <w:kern w:val="0"/>
        </w:rPr>
        <w:t>± standard deviation</w:t>
      </w:r>
      <w:r>
        <w:rPr>
          <w:rFonts w:ascii="Times New Roman" w:hAnsi="Times New Roman" w:cs="Times New Roman" w:hint="eastAsia"/>
          <w:color w:val="000000"/>
        </w:rPr>
        <w:t xml:space="preserve">. </w:t>
      </w:r>
      <w:r w:rsidRPr="00697EF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One-way analysis of variance using the Newman–Keuls post hoc test or </w:t>
      </w:r>
      <w:r w:rsidRPr="00697EF6">
        <w:rPr>
          <w:rFonts w:ascii="Times New Roman" w:hAnsi="Times New Roman" w:cs="Times New Roman"/>
          <w:color w:val="000000" w:themeColor="text1"/>
          <w:spacing w:val="3"/>
          <w:shd w:val="clear" w:color="auto" w:fill="FFFFFF"/>
        </w:rPr>
        <w:t>Student's</w:t>
      </w:r>
      <w:r w:rsidRPr="00697EF6">
        <w:rPr>
          <w:rFonts w:ascii="Times New Roman" w:hAnsi="Times New Roman" w:cs="Times New Roman" w:hint="eastAsia"/>
          <w:color w:val="000000" w:themeColor="text1"/>
          <w:spacing w:val="3"/>
          <w:shd w:val="clear" w:color="auto" w:fill="FFFFFF"/>
        </w:rPr>
        <w:t xml:space="preserve"> </w:t>
      </w:r>
      <w:r w:rsidRPr="00697EF6">
        <w:rPr>
          <w:rFonts w:ascii="Times New Roman" w:hAnsi="Times New Roman" w:cs="Times New Roman"/>
          <w:i/>
          <w:iCs/>
          <w:color w:val="000000" w:themeColor="text1"/>
          <w:spacing w:val="3"/>
          <w:shd w:val="clear" w:color="auto" w:fill="FFFFFF"/>
        </w:rPr>
        <w:t>t-</w:t>
      </w:r>
      <w:r w:rsidRPr="00697EF6">
        <w:rPr>
          <w:rFonts w:ascii="Times New Roman" w:hAnsi="Times New Roman" w:cs="Times New Roman"/>
          <w:color w:val="000000" w:themeColor="text1"/>
          <w:spacing w:val="3"/>
          <w:shd w:val="clear" w:color="auto" w:fill="FFFFFF"/>
        </w:rPr>
        <w:t>test</w:t>
      </w:r>
      <w:r w:rsidRPr="00697EF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is used to assess the statistical significance.</w:t>
      </w:r>
      <w:r w:rsidRPr="00697EF6">
        <w:rPr>
          <w:rFonts w:ascii="Times New Roman" w:eastAsia="新細明體" w:hAnsi="Times New Roman" w:cs="Times New Roman"/>
          <w:color w:val="000000" w:themeColor="text1"/>
          <w:kern w:val="0"/>
        </w:rPr>
        <w:t xml:space="preserve"> </w:t>
      </w:r>
      <w:r w:rsidRPr="00697EF6">
        <w:rPr>
          <w:rFonts w:ascii="Times New Roman" w:hAnsi="Times New Roman" w:cs="Times New Roman"/>
          <w:color w:val="000000" w:themeColor="text1"/>
          <w:kern w:val="0"/>
          <w:vertAlign w:val="superscript"/>
        </w:rPr>
        <w:t>***</w:t>
      </w:r>
      <w:r w:rsidRPr="00697EF6">
        <w:rPr>
          <w:rFonts w:ascii="Times New Roman" w:hAnsi="Times New Roman" w:cs="Times New Roman"/>
          <w:i/>
          <w:iCs/>
          <w:color w:val="000000" w:themeColor="text1"/>
          <w:kern w:val="0"/>
        </w:rPr>
        <w:t xml:space="preserve">P </w:t>
      </w:r>
      <w:r w:rsidRPr="00697EF6">
        <w:rPr>
          <w:rFonts w:ascii="Times New Roman" w:hAnsi="Times New Roman" w:cs="Times New Roman"/>
          <w:color w:val="000000" w:themeColor="text1"/>
          <w:kern w:val="0"/>
        </w:rPr>
        <w:t>&lt; 0.001</w:t>
      </w:r>
      <w:r w:rsidRPr="00697EF6">
        <w:rPr>
          <w:rFonts w:ascii="Times New Roman" w:hAnsi="Times New Roman" w:cs="Times New Roman" w:hint="eastAsia"/>
          <w:color w:val="000000" w:themeColor="text1"/>
          <w:spacing w:val="3"/>
          <w:shd w:val="clear" w:color="auto" w:fill="FFFFFF"/>
        </w:rPr>
        <w:t>.</w:t>
      </w:r>
    </w:p>
    <w:p w14:paraId="74E95CA3" w14:textId="1CD30B20" w:rsidR="00065788" w:rsidRDefault="00065788" w:rsidP="00DB20F7">
      <w:pPr>
        <w:rPr>
          <w:rFonts w:ascii="Times New Roman" w:hAnsi="Times New Roman" w:cs="Times New Roman"/>
          <w:color w:val="000000"/>
        </w:rPr>
      </w:pPr>
    </w:p>
    <w:p w14:paraId="00B99EA0" w14:textId="77777777" w:rsidR="00B70A8F" w:rsidRDefault="00B70A8F" w:rsidP="00DB20F7">
      <w:pPr>
        <w:rPr>
          <w:rFonts w:ascii="Times New Roman" w:hAnsi="Times New Roman" w:cs="Times New Roman"/>
          <w:color w:val="000000"/>
        </w:rPr>
      </w:pPr>
    </w:p>
    <w:p w14:paraId="63CD4C0B" w14:textId="77777777" w:rsidR="00B70A8F" w:rsidRDefault="00B70A8F" w:rsidP="00DB20F7">
      <w:pPr>
        <w:rPr>
          <w:rFonts w:ascii="Times New Roman" w:hAnsi="Times New Roman" w:cs="Times New Roman"/>
          <w:color w:val="000000"/>
        </w:rPr>
      </w:pPr>
    </w:p>
    <w:p w14:paraId="020D9164" w14:textId="77777777" w:rsidR="003E3E04" w:rsidRDefault="003E3E04" w:rsidP="00DB20F7">
      <w:pPr>
        <w:rPr>
          <w:rFonts w:ascii="Times New Roman" w:hAnsi="Times New Roman" w:cs="Times New Roman"/>
          <w:color w:val="000000"/>
        </w:rPr>
      </w:pPr>
    </w:p>
    <w:p w14:paraId="62048432" w14:textId="77777777" w:rsidR="003E3E04" w:rsidRDefault="003E3E04" w:rsidP="00DB20F7">
      <w:pPr>
        <w:rPr>
          <w:rFonts w:ascii="Times New Roman" w:hAnsi="Times New Roman" w:cs="Times New Roman"/>
          <w:color w:val="000000"/>
        </w:rPr>
      </w:pPr>
    </w:p>
    <w:p w14:paraId="3FC25A0A" w14:textId="77777777" w:rsidR="003E3E04" w:rsidRDefault="003E3E04" w:rsidP="00DB20F7">
      <w:pPr>
        <w:rPr>
          <w:rFonts w:ascii="Times New Roman" w:hAnsi="Times New Roman" w:cs="Times New Roman"/>
          <w:color w:val="000000"/>
        </w:rPr>
      </w:pPr>
    </w:p>
    <w:p w14:paraId="44DD7860" w14:textId="77777777" w:rsidR="003E3E04" w:rsidRDefault="003E3E04" w:rsidP="00DB20F7">
      <w:pPr>
        <w:rPr>
          <w:rFonts w:ascii="Times New Roman" w:hAnsi="Times New Roman" w:cs="Times New Roman"/>
          <w:color w:val="000000"/>
        </w:rPr>
      </w:pPr>
    </w:p>
    <w:p w14:paraId="1B7B9621" w14:textId="77777777" w:rsidR="003E3E04" w:rsidRDefault="003E3E04" w:rsidP="00DB20F7">
      <w:pPr>
        <w:rPr>
          <w:rFonts w:ascii="Times New Roman" w:hAnsi="Times New Roman" w:cs="Times New Roman"/>
          <w:color w:val="000000"/>
        </w:rPr>
      </w:pPr>
    </w:p>
    <w:p w14:paraId="4ACC5DE7" w14:textId="77777777" w:rsidR="003E3E04" w:rsidRDefault="003E3E04" w:rsidP="00DB20F7">
      <w:pPr>
        <w:rPr>
          <w:rFonts w:ascii="Times New Roman" w:hAnsi="Times New Roman" w:cs="Times New Roman"/>
          <w:color w:val="000000"/>
        </w:rPr>
      </w:pPr>
    </w:p>
    <w:p w14:paraId="0524A4AB" w14:textId="77777777" w:rsidR="003E3E04" w:rsidRDefault="003E3E04" w:rsidP="00DB20F7">
      <w:pPr>
        <w:rPr>
          <w:rFonts w:ascii="Times New Roman" w:hAnsi="Times New Roman" w:cs="Times New Roman"/>
          <w:color w:val="000000"/>
        </w:rPr>
      </w:pPr>
    </w:p>
    <w:p w14:paraId="4F89A7A0" w14:textId="77777777" w:rsidR="003E3E04" w:rsidRDefault="003E3E04" w:rsidP="00DB20F7">
      <w:pPr>
        <w:rPr>
          <w:rFonts w:ascii="Times New Roman" w:hAnsi="Times New Roman" w:cs="Times New Roman"/>
          <w:color w:val="000000"/>
        </w:rPr>
      </w:pPr>
    </w:p>
    <w:tbl>
      <w:tblPr>
        <w:tblStyle w:val="ae"/>
        <w:tblW w:w="8522" w:type="dxa"/>
        <w:tblLayout w:type="fixed"/>
        <w:tblLook w:val="04A0" w:firstRow="1" w:lastRow="0" w:firstColumn="1" w:lastColumn="0" w:noHBand="0" w:noVBand="1"/>
      </w:tblPr>
      <w:tblGrid>
        <w:gridCol w:w="1526"/>
        <w:gridCol w:w="3402"/>
        <w:gridCol w:w="3594"/>
      </w:tblGrid>
      <w:tr w:rsidR="00FC0709" w:rsidRPr="00FC0709" w14:paraId="451D3FBD" w14:textId="77777777" w:rsidTr="00E825B4">
        <w:tc>
          <w:tcPr>
            <w:tcW w:w="8522" w:type="dxa"/>
            <w:gridSpan w:val="3"/>
          </w:tcPr>
          <w:p w14:paraId="5533F3CF" w14:textId="77777777" w:rsidR="00B70A8F" w:rsidRPr="00FC0709" w:rsidRDefault="00B70A8F" w:rsidP="00E825B4">
            <w:pPr>
              <w:rPr>
                <w:rFonts w:ascii="Times New Roman" w:hAnsi="Times New Roman"/>
                <w:b/>
              </w:rPr>
            </w:pPr>
            <w:r w:rsidRPr="00FC0709">
              <w:rPr>
                <w:rFonts w:ascii="Times New Roman" w:hAnsi="Times New Roman"/>
                <w:b/>
                <w:iCs/>
                <w:kern w:val="0"/>
                <w:szCs w:val="24"/>
              </w:rPr>
              <w:lastRenderedPageBreak/>
              <w:t>Supplementary</w:t>
            </w:r>
            <w:r w:rsidRPr="00FC0709">
              <w:rPr>
                <w:rFonts w:ascii="Times New Roman" w:hAnsi="Times New Roman"/>
                <w:b/>
              </w:rPr>
              <w:t xml:space="preserve"> Table </w:t>
            </w:r>
            <w:r w:rsidRPr="00FC0709">
              <w:rPr>
                <w:rFonts w:ascii="Times New Roman" w:hAnsi="Times New Roman" w:hint="eastAsia"/>
                <w:b/>
              </w:rPr>
              <w:t>1</w:t>
            </w:r>
            <w:r w:rsidRPr="00FC0709">
              <w:rPr>
                <w:rFonts w:ascii="Times New Roman" w:hAnsi="Times New Roman"/>
                <w:b/>
              </w:rPr>
              <w:t xml:space="preserve"> | Primers used for Q-PCR analysis</w:t>
            </w:r>
          </w:p>
        </w:tc>
      </w:tr>
      <w:tr w:rsidR="00FC0709" w:rsidRPr="00FC0709" w14:paraId="5F2EF280" w14:textId="77777777" w:rsidTr="00E825B4">
        <w:tc>
          <w:tcPr>
            <w:tcW w:w="1526" w:type="dxa"/>
          </w:tcPr>
          <w:p w14:paraId="0E2312F3" w14:textId="77777777" w:rsidR="00B70A8F" w:rsidRPr="00FC0709" w:rsidRDefault="00B70A8F" w:rsidP="00E825B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C0709">
              <w:rPr>
                <w:rFonts w:ascii="Times New Roman" w:hAnsi="Times New Roman"/>
                <w:b/>
                <w:sz w:val="18"/>
                <w:szCs w:val="18"/>
              </w:rPr>
              <w:t>Primers</w:t>
            </w:r>
          </w:p>
        </w:tc>
        <w:tc>
          <w:tcPr>
            <w:tcW w:w="3402" w:type="dxa"/>
          </w:tcPr>
          <w:p w14:paraId="729AAD38" w14:textId="77777777" w:rsidR="00B70A8F" w:rsidRPr="00FC0709" w:rsidRDefault="00B70A8F" w:rsidP="00E825B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FC0709">
              <w:rPr>
                <w:rFonts w:ascii="Times New Roman" w:hAnsi="Times New Roman"/>
                <w:b/>
                <w:sz w:val="18"/>
                <w:szCs w:val="18"/>
              </w:rPr>
              <w:t>Forward sequence</w:t>
            </w:r>
          </w:p>
        </w:tc>
        <w:tc>
          <w:tcPr>
            <w:tcW w:w="3594" w:type="dxa"/>
          </w:tcPr>
          <w:p w14:paraId="32F43F58" w14:textId="77777777" w:rsidR="00B70A8F" w:rsidRPr="00FC0709" w:rsidRDefault="00B70A8F" w:rsidP="00E825B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FC0709">
              <w:rPr>
                <w:rFonts w:ascii="Times New Roman" w:hAnsi="Times New Roman"/>
                <w:b/>
                <w:sz w:val="18"/>
                <w:szCs w:val="18"/>
              </w:rPr>
              <w:t>Reverse sequence</w:t>
            </w:r>
          </w:p>
        </w:tc>
      </w:tr>
      <w:tr w:rsidR="00FC0709" w:rsidRPr="00FC0709" w14:paraId="180ADCBE" w14:textId="77777777" w:rsidTr="00E825B4">
        <w:tc>
          <w:tcPr>
            <w:tcW w:w="1526" w:type="dxa"/>
          </w:tcPr>
          <w:p w14:paraId="271A090B" w14:textId="77777777" w:rsidR="00B70A8F" w:rsidRPr="00FC0709" w:rsidRDefault="00B70A8F" w:rsidP="00E825B4">
            <w:pPr>
              <w:jc w:val="center"/>
              <w:rPr>
                <w:rFonts w:ascii="Times New Roman" w:hAnsi="Times New Roman"/>
                <w:b/>
                <w:sz w:val="16"/>
                <w:szCs w:val="18"/>
              </w:rPr>
            </w:pPr>
            <w:r w:rsidRPr="00FC0709">
              <w:rPr>
                <w:rFonts w:ascii="Times New Roman" w:hAnsi="Times New Roman" w:hint="eastAsia"/>
                <w:b/>
                <w:sz w:val="16"/>
                <w:szCs w:val="18"/>
              </w:rPr>
              <w:t>RNF128</w:t>
            </w:r>
          </w:p>
        </w:tc>
        <w:tc>
          <w:tcPr>
            <w:tcW w:w="3402" w:type="dxa"/>
          </w:tcPr>
          <w:p w14:paraId="2CD9BE18" w14:textId="77777777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sz w:val="16"/>
                <w:szCs w:val="18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Pr="00FC0709">
              <w:rPr>
                <w:rFonts w:ascii="Times New Roman" w:hAnsi="Times New Roman"/>
                <w:i/>
                <w:sz w:val="16"/>
              </w:rPr>
              <w:t>GCGTCTGGAGCCGTCATCTTTA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385E630E" w14:textId="77777777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sz w:val="16"/>
                <w:szCs w:val="18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Pr="00FC0709">
              <w:rPr>
                <w:rFonts w:ascii="Times New Roman" w:hAnsi="Times New Roman"/>
                <w:i/>
                <w:sz w:val="16"/>
              </w:rPr>
              <w:t>GGGCCATGTTTTTTCCCTACTTCTAT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  <w:tr w:rsidR="00FC0709" w:rsidRPr="00FC0709" w14:paraId="02EA731E" w14:textId="77777777" w:rsidTr="00E825B4">
        <w:tc>
          <w:tcPr>
            <w:tcW w:w="1526" w:type="dxa"/>
          </w:tcPr>
          <w:p w14:paraId="73C31187" w14:textId="77777777" w:rsidR="00B70A8F" w:rsidRPr="00FC0709" w:rsidRDefault="00B70A8F" w:rsidP="00E825B4">
            <w:pPr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FC0709">
              <w:rPr>
                <w:rFonts w:ascii="Times New Roman" w:hAnsi="Times New Roman" w:hint="eastAsia"/>
                <w:b/>
                <w:sz w:val="16"/>
                <w:szCs w:val="20"/>
              </w:rPr>
              <w:t>GAPDH</w:t>
            </w:r>
          </w:p>
        </w:tc>
        <w:tc>
          <w:tcPr>
            <w:tcW w:w="3402" w:type="dxa"/>
          </w:tcPr>
          <w:p w14:paraId="1D846434" w14:textId="77777777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Pr="00FC0709">
              <w:rPr>
                <w:rFonts w:ascii="Times New Roman" w:hAnsi="Times New Roman"/>
                <w:i/>
                <w:sz w:val="16"/>
                <w:szCs w:val="20"/>
              </w:rPr>
              <w:t>TTCACCACCATGGAGAAGGC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7B04D19D" w14:textId="77777777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Pr="00FC0709">
              <w:rPr>
                <w:rFonts w:ascii="Times New Roman" w:hAnsi="Times New Roman"/>
                <w:i/>
                <w:sz w:val="16"/>
                <w:szCs w:val="20"/>
              </w:rPr>
              <w:t>GATGGCATGGACTGTGGTC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  <w:tr w:rsidR="00FC0709" w:rsidRPr="00FC0709" w14:paraId="54AA7921" w14:textId="77777777" w:rsidTr="00E825B4">
        <w:tc>
          <w:tcPr>
            <w:tcW w:w="1526" w:type="dxa"/>
          </w:tcPr>
          <w:p w14:paraId="774EFBC5" w14:textId="6DB0B973" w:rsidR="00B70A8F" w:rsidRPr="00FC0709" w:rsidRDefault="00203CFC" w:rsidP="00E825B4">
            <w:pPr>
              <w:jc w:val="center"/>
              <w:rPr>
                <w:rFonts w:ascii="Times New Roman" w:hAnsi="Times New Roman"/>
                <w:b/>
                <w:sz w:val="16"/>
                <w:szCs w:val="18"/>
              </w:rPr>
            </w:pPr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mTPI1</w:t>
            </w:r>
          </w:p>
        </w:tc>
        <w:tc>
          <w:tcPr>
            <w:tcW w:w="3402" w:type="dxa"/>
          </w:tcPr>
          <w:p w14:paraId="2C1DA56A" w14:textId="7DB1237F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sz w:val="16"/>
                <w:szCs w:val="24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GCATCGGGGAGAAGCTAGAC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085F8CD5" w14:textId="3DC725D7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sz w:val="16"/>
                <w:szCs w:val="24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GAGCCACCCCATCATTGACA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  <w:tr w:rsidR="00FC0709" w:rsidRPr="00FC0709" w14:paraId="0F5D5F02" w14:textId="77777777" w:rsidTr="00E825B4">
        <w:tc>
          <w:tcPr>
            <w:tcW w:w="1526" w:type="dxa"/>
          </w:tcPr>
          <w:p w14:paraId="2AF5D835" w14:textId="264E32DE" w:rsidR="00B70A8F" w:rsidRPr="00FC0709" w:rsidRDefault="00203CFC" w:rsidP="00E825B4">
            <w:pPr>
              <w:jc w:val="center"/>
              <w:rPr>
                <w:rFonts w:ascii="Times New Roman" w:hAnsi="Times New Roman"/>
                <w:b/>
                <w:sz w:val="16"/>
                <w:szCs w:val="18"/>
              </w:rPr>
            </w:pPr>
            <w:proofErr w:type="spellStart"/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mPKM</w:t>
            </w:r>
            <w:proofErr w:type="spellEnd"/>
          </w:p>
        </w:tc>
        <w:tc>
          <w:tcPr>
            <w:tcW w:w="3402" w:type="dxa"/>
          </w:tcPr>
          <w:p w14:paraId="34742E57" w14:textId="04EB95E7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CAGTCCTGGATGGAGCAGAC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68228536" w14:textId="7976AD39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CTTCAAACAGCAGACGGTG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  <w:tr w:rsidR="00FC0709" w:rsidRPr="00FC0709" w14:paraId="0FB52ACF" w14:textId="77777777" w:rsidTr="00E825B4">
        <w:tc>
          <w:tcPr>
            <w:tcW w:w="1526" w:type="dxa"/>
          </w:tcPr>
          <w:p w14:paraId="0C1282E8" w14:textId="5568EEB8" w:rsidR="00B70A8F" w:rsidRPr="00FC0709" w:rsidRDefault="00203CFC" w:rsidP="00E825B4">
            <w:pPr>
              <w:jc w:val="center"/>
              <w:rPr>
                <w:rFonts w:ascii="Times New Roman" w:hAnsi="Times New Roman"/>
                <w:b/>
                <w:sz w:val="16"/>
                <w:szCs w:val="18"/>
              </w:rPr>
            </w:pPr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mP</w:t>
            </w:r>
            <w:r w:rsidRPr="00FC0709">
              <w:rPr>
                <w:rFonts w:ascii="Times New Roman" w:hAnsi="Times New Roman" w:hint="eastAsia"/>
                <w:b/>
                <w:sz w:val="16"/>
                <w:szCs w:val="18"/>
              </w:rPr>
              <w:t>GAM</w:t>
            </w:r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2</w:t>
            </w:r>
            <w:r w:rsidR="00B70A8F" w:rsidRPr="00FC0709">
              <w:rPr>
                <w:rFonts w:ascii="Times New Roman" w:hAnsi="Times New Roman" w:hint="eastAsia"/>
                <w:b/>
                <w:sz w:val="16"/>
                <w:szCs w:val="18"/>
              </w:rPr>
              <w:t xml:space="preserve">  </w:t>
            </w:r>
          </w:p>
        </w:tc>
        <w:tc>
          <w:tcPr>
            <w:tcW w:w="3402" w:type="dxa"/>
          </w:tcPr>
          <w:p w14:paraId="3D34B415" w14:textId="7E397DF0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ACCGCCTAGTAATGGTTCGC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29ED4D24" w14:textId="4A3EB1E7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ATCTTTGATAGCGGTGGCCC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  <w:tr w:rsidR="00FC0709" w:rsidRPr="00FC0709" w14:paraId="4FB348FA" w14:textId="77777777" w:rsidTr="00E825B4">
        <w:tc>
          <w:tcPr>
            <w:tcW w:w="1526" w:type="dxa"/>
          </w:tcPr>
          <w:p w14:paraId="3437FAAD" w14:textId="22DE75BA" w:rsidR="00B70A8F" w:rsidRPr="00FC0709" w:rsidRDefault="00203CFC" w:rsidP="00E825B4">
            <w:pPr>
              <w:jc w:val="center"/>
              <w:rPr>
                <w:rFonts w:ascii="Times New Roman" w:hAnsi="Times New Roman"/>
                <w:b/>
                <w:sz w:val="16"/>
                <w:szCs w:val="18"/>
              </w:rPr>
            </w:pPr>
            <w:proofErr w:type="spellStart"/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mALDOA</w:t>
            </w:r>
            <w:proofErr w:type="spellEnd"/>
          </w:p>
        </w:tc>
        <w:tc>
          <w:tcPr>
            <w:tcW w:w="3402" w:type="dxa"/>
          </w:tcPr>
          <w:p w14:paraId="62989085" w14:textId="729988BF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GCAGGCCTCTGCTCTAAAGG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11ED17B6" w14:textId="7FA50F68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GAAGAGAGATTCACTGGCTGC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  <w:tr w:rsidR="00FC0709" w:rsidRPr="00FC0709" w14:paraId="74632098" w14:textId="77777777" w:rsidTr="00E825B4">
        <w:tc>
          <w:tcPr>
            <w:tcW w:w="1526" w:type="dxa"/>
          </w:tcPr>
          <w:p w14:paraId="2C0390F0" w14:textId="4D284CDE" w:rsidR="00B70A8F" w:rsidRPr="00FC0709" w:rsidRDefault="00203CFC" w:rsidP="00E825B4">
            <w:pPr>
              <w:jc w:val="center"/>
              <w:rPr>
                <w:rFonts w:ascii="Times New Roman" w:hAnsi="Times New Roman"/>
                <w:b/>
                <w:sz w:val="16"/>
                <w:szCs w:val="18"/>
              </w:rPr>
            </w:pPr>
            <w:proofErr w:type="spellStart"/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mLDHA</w:t>
            </w:r>
            <w:proofErr w:type="spellEnd"/>
            <w:r w:rsidR="00B70A8F" w:rsidRPr="00FC0709">
              <w:rPr>
                <w:rFonts w:ascii="Times New Roman" w:hAnsi="Times New Roman" w:hint="eastAsia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3402" w:type="dxa"/>
          </w:tcPr>
          <w:p w14:paraId="1FDC132B" w14:textId="2C310228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CAAGCTGCTGATCGTCTCC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58D81324" w14:textId="42ECCEC3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CACTGGAGTCGCCATGTTC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  <w:tr w:rsidR="00FC0709" w:rsidRPr="00FC0709" w14:paraId="5C127F3E" w14:textId="77777777" w:rsidTr="00E825B4">
        <w:tc>
          <w:tcPr>
            <w:tcW w:w="1526" w:type="dxa"/>
          </w:tcPr>
          <w:p w14:paraId="19E6633A" w14:textId="5472C8CE" w:rsidR="00B70A8F" w:rsidRPr="00FC0709" w:rsidRDefault="00203CFC" w:rsidP="00E825B4">
            <w:pPr>
              <w:jc w:val="center"/>
              <w:rPr>
                <w:rFonts w:ascii="Times New Roman" w:hAnsi="Times New Roman"/>
                <w:b/>
                <w:sz w:val="16"/>
                <w:szCs w:val="18"/>
              </w:rPr>
            </w:pPr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mP</w:t>
            </w:r>
            <w:r w:rsidRPr="00FC0709">
              <w:rPr>
                <w:rFonts w:ascii="Times New Roman" w:hAnsi="Times New Roman" w:hint="eastAsia"/>
                <w:b/>
                <w:sz w:val="16"/>
                <w:szCs w:val="18"/>
              </w:rPr>
              <w:t>GAM</w:t>
            </w:r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1</w:t>
            </w:r>
          </w:p>
        </w:tc>
        <w:tc>
          <w:tcPr>
            <w:tcW w:w="3402" w:type="dxa"/>
          </w:tcPr>
          <w:p w14:paraId="36797339" w14:textId="72EC9A1D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CATCAGCAAGGATCGCAGGT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6C4632A9" w14:textId="755C4EAE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GATGCTTAACGATGCCCCGA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  <w:tr w:rsidR="00FC0709" w:rsidRPr="00FC0709" w14:paraId="28B43A01" w14:textId="77777777" w:rsidTr="00E825B4">
        <w:tc>
          <w:tcPr>
            <w:tcW w:w="1526" w:type="dxa"/>
          </w:tcPr>
          <w:p w14:paraId="4CA8657C" w14:textId="547509C9" w:rsidR="00B70A8F" w:rsidRPr="00FC0709" w:rsidRDefault="00203CFC" w:rsidP="00E825B4">
            <w:pPr>
              <w:jc w:val="center"/>
              <w:rPr>
                <w:rFonts w:ascii="Times New Roman" w:hAnsi="Times New Roman"/>
                <w:b/>
                <w:sz w:val="16"/>
                <w:szCs w:val="18"/>
              </w:rPr>
            </w:pPr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mPGK1</w:t>
            </w:r>
          </w:p>
        </w:tc>
        <w:tc>
          <w:tcPr>
            <w:tcW w:w="3402" w:type="dxa"/>
          </w:tcPr>
          <w:p w14:paraId="734A1877" w14:textId="285286B7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GATGCTTTCCGAGCCTCACT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7C9985F0" w14:textId="3034C050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CCAGCCTTCTGTGGCAGATT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  <w:tr w:rsidR="00FC0709" w:rsidRPr="00FC0709" w14:paraId="0DCE6DB3" w14:textId="77777777" w:rsidTr="00E825B4">
        <w:tc>
          <w:tcPr>
            <w:tcW w:w="1526" w:type="dxa"/>
          </w:tcPr>
          <w:p w14:paraId="25220EE8" w14:textId="4DD21D10" w:rsidR="00B70A8F" w:rsidRPr="00FC0709" w:rsidRDefault="00203CFC" w:rsidP="00E825B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C0709">
              <w:rPr>
                <w:rFonts w:ascii="Times New Roman" w:hAnsi="Times New Roman"/>
                <w:b/>
                <w:sz w:val="16"/>
                <w:szCs w:val="18"/>
              </w:rPr>
              <w:t>mHK2</w:t>
            </w:r>
            <w:r w:rsidR="00B70A8F" w:rsidRPr="00FC0709">
              <w:rPr>
                <w:rFonts w:ascii="Times New Roman" w:hAnsi="Times New Roman" w:hint="eastAsia"/>
                <w:b/>
                <w:sz w:val="16"/>
                <w:szCs w:val="18"/>
              </w:rPr>
              <w:t xml:space="preserve">  </w:t>
            </w:r>
          </w:p>
        </w:tc>
        <w:tc>
          <w:tcPr>
            <w:tcW w:w="3402" w:type="dxa"/>
          </w:tcPr>
          <w:p w14:paraId="26A2AC41" w14:textId="15D4CADC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CAAAGAGAAGAAGCTCCCGC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  <w:tc>
          <w:tcPr>
            <w:tcW w:w="3594" w:type="dxa"/>
          </w:tcPr>
          <w:p w14:paraId="49B70883" w14:textId="44DCE306" w:rsidR="00B70A8F" w:rsidRPr="00FC0709" w:rsidRDefault="00B70A8F" w:rsidP="00E825B4">
            <w:pPr>
              <w:jc w:val="center"/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</w:pP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5’-</w:t>
            </w:r>
            <w:r w:rsidR="00203CFC"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AATGTCAAAGTCCCCTCTGCG</w:t>
            </w:r>
            <w:r w:rsidRPr="00FC0709">
              <w:rPr>
                <w:rFonts w:ascii="Times New Roman" w:hAnsi="Times New Roman"/>
                <w:i/>
                <w:iCs/>
                <w:kern w:val="0"/>
                <w:sz w:val="16"/>
                <w:szCs w:val="20"/>
              </w:rPr>
              <w:t>-3’</w:t>
            </w:r>
          </w:p>
        </w:tc>
      </w:tr>
    </w:tbl>
    <w:p w14:paraId="1DA3B0F5" w14:textId="77777777" w:rsidR="00B70A8F" w:rsidRPr="0044643A" w:rsidRDefault="00B70A8F" w:rsidP="00B70A8F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</w:p>
    <w:p w14:paraId="2BC865A5" w14:textId="77777777" w:rsidR="00B70A8F" w:rsidRPr="0044643A" w:rsidRDefault="00B70A8F" w:rsidP="00B70A8F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</w:p>
    <w:p w14:paraId="41F03F16" w14:textId="77777777" w:rsidR="00B70A8F" w:rsidRPr="0044643A" w:rsidRDefault="00B70A8F" w:rsidP="00B70A8F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</w:p>
    <w:p w14:paraId="38B10828" w14:textId="77777777" w:rsidR="00B70A8F" w:rsidRPr="0044643A" w:rsidRDefault="00B70A8F" w:rsidP="00B70A8F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</w:p>
    <w:p w14:paraId="7A92C636" w14:textId="77777777" w:rsidR="00B70A8F" w:rsidRPr="0044643A" w:rsidRDefault="00B70A8F" w:rsidP="00B70A8F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kern w:val="0"/>
        </w:rPr>
      </w:pPr>
      <w:r w:rsidRPr="0044643A">
        <w:rPr>
          <w:rFonts w:ascii="Times New Roman" w:hAnsi="Times New Roman"/>
          <w:b/>
          <w:iCs/>
          <w:color w:val="000000" w:themeColor="text1"/>
          <w:kern w:val="0"/>
        </w:rPr>
        <w:t>Supplementary</w:t>
      </w:r>
      <w:r w:rsidRPr="0044643A">
        <w:rPr>
          <w:rFonts w:ascii="Times New Roman" w:hAnsi="Times New Roman" w:hint="eastAsia"/>
          <w:b/>
          <w:iCs/>
          <w:color w:val="000000" w:themeColor="text1"/>
          <w:kern w:val="0"/>
        </w:rPr>
        <w:t xml:space="preserve"> methods</w:t>
      </w:r>
    </w:p>
    <w:p w14:paraId="6BCB0418" w14:textId="77777777" w:rsidR="00B70A8F" w:rsidRPr="0044643A" w:rsidRDefault="00B70A8F" w:rsidP="00B70A8F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kern w:val="0"/>
        </w:rPr>
      </w:pPr>
    </w:p>
    <w:p w14:paraId="6668FDEF" w14:textId="77777777" w:rsidR="00B70A8F" w:rsidRPr="0044643A" w:rsidRDefault="00B70A8F" w:rsidP="00B70A8F">
      <w:pPr>
        <w:rPr>
          <w:rFonts w:ascii="Times New Roman" w:hAnsi="Times New Roman"/>
          <w:b/>
          <w:bCs/>
          <w:color w:val="000000" w:themeColor="text1"/>
        </w:rPr>
      </w:pPr>
      <w:r w:rsidRPr="0044643A">
        <w:rPr>
          <w:rFonts w:ascii="Times New Roman" w:hAnsi="Times New Roman"/>
          <w:b/>
          <w:bCs/>
          <w:color w:val="000000" w:themeColor="text1"/>
        </w:rPr>
        <w:t xml:space="preserve">Liquid-chromatography (LC)-MS/MS analysis </w:t>
      </w:r>
    </w:p>
    <w:p w14:paraId="64E2A558" w14:textId="77777777" w:rsidR="00B70A8F" w:rsidRPr="0044643A" w:rsidRDefault="00B70A8F" w:rsidP="00B70A8F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kern w:val="0"/>
        </w:rPr>
      </w:pPr>
      <w:r w:rsidRPr="0044643A">
        <w:rPr>
          <w:rFonts w:ascii="Times New Roman" w:hAnsi="Times New Roman" w:hint="eastAsia"/>
          <w:color w:val="000000" w:themeColor="text1"/>
        </w:rPr>
        <w:t>The</w:t>
      </w:r>
      <w:r w:rsidRPr="0044643A">
        <w:rPr>
          <w:rFonts w:ascii="Times New Roman" w:hAnsi="Times New Roman"/>
          <w:color w:val="000000" w:themeColor="text1"/>
        </w:rPr>
        <w:t xml:space="preserve"> Samples were digested with modified porcine trypsin at 37°C for 16-hours.</w:t>
      </w:r>
      <w:r w:rsidRPr="0044643A">
        <w:rPr>
          <w:rFonts w:ascii="Times New Roman" w:hAnsi="Times New Roman" w:hint="eastAsia"/>
          <w:color w:val="000000" w:themeColor="text1"/>
        </w:rPr>
        <w:t xml:space="preserve"> </w:t>
      </w:r>
      <w:r w:rsidRPr="0044643A">
        <w:rPr>
          <w:rFonts w:ascii="Times New Roman" w:hAnsi="Times New Roman"/>
          <w:color w:val="000000" w:themeColor="text1"/>
        </w:rPr>
        <w:t xml:space="preserve">The peptides were extracted with 0.1% formic acid and loaded on to a reverse-phase column. The desalted peptides were subjected to LC-MS/MS by using an Orbitrap Elite Hybrid Ion Trap-Orbitrap tandem-mass spectrometer interfaced with an 1D-LC (RP), </w:t>
      </w:r>
      <w:proofErr w:type="spellStart"/>
      <w:r w:rsidRPr="0044643A">
        <w:rPr>
          <w:rFonts w:ascii="Times New Roman" w:hAnsi="Times New Roman"/>
          <w:color w:val="000000" w:themeColor="text1"/>
        </w:rPr>
        <w:t>Dionex</w:t>
      </w:r>
      <w:proofErr w:type="spellEnd"/>
      <w:r w:rsidRPr="0044643A">
        <w:rPr>
          <w:rFonts w:ascii="Times New Roman" w:hAnsi="Times New Roman"/>
          <w:color w:val="000000" w:themeColor="text1"/>
        </w:rPr>
        <w:t xml:space="preserve"> Ultimate 3000 </w:t>
      </w:r>
      <w:proofErr w:type="spellStart"/>
      <w:r w:rsidRPr="0044643A">
        <w:rPr>
          <w:rFonts w:ascii="Times New Roman" w:hAnsi="Times New Roman"/>
          <w:color w:val="000000" w:themeColor="text1"/>
        </w:rPr>
        <w:t>RSLCnano</w:t>
      </w:r>
      <w:proofErr w:type="spellEnd"/>
      <w:r w:rsidRPr="0044643A">
        <w:rPr>
          <w:rFonts w:ascii="Times New Roman" w:hAnsi="Times New Roman"/>
          <w:color w:val="000000" w:themeColor="text1"/>
        </w:rPr>
        <w:t xml:space="preserve"> system (TOOLS Biotech Company). The data analysis was performed</w:t>
      </w:r>
      <w:r w:rsidRPr="0044643A">
        <w:rPr>
          <w:rFonts w:ascii="Times New Roman" w:hAnsi="Times New Roman" w:hint="eastAsia"/>
          <w:color w:val="000000" w:themeColor="text1"/>
        </w:rPr>
        <w:t xml:space="preserve"> </w:t>
      </w:r>
      <w:r w:rsidRPr="0044643A">
        <w:rPr>
          <w:rFonts w:ascii="Times New Roman" w:hAnsi="Times New Roman"/>
          <w:color w:val="000000" w:themeColor="text1"/>
        </w:rPr>
        <w:t xml:space="preserve">using Proteome Discoverer software (version 1.4, </w:t>
      </w:r>
      <w:proofErr w:type="spellStart"/>
      <w:r w:rsidRPr="0044643A">
        <w:rPr>
          <w:rFonts w:ascii="Times New Roman" w:hAnsi="Times New Roman"/>
          <w:color w:val="000000" w:themeColor="text1"/>
        </w:rPr>
        <w:t>Thermo</w:t>
      </w:r>
      <w:proofErr w:type="spellEnd"/>
      <w:r w:rsidRPr="0044643A">
        <w:rPr>
          <w:rFonts w:ascii="Times New Roman" w:hAnsi="Times New Roman"/>
          <w:color w:val="000000" w:themeColor="text1"/>
        </w:rPr>
        <w:t xml:space="preserve"> Fisher Scientific). The MS/MS spectra were searched against the </w:t>
      </w:r>
      <w:proofErr w:type="spellStart"/>
      <w:r w:rsidRPr="0044643A">
        <w:rPr>
          <w:rFonts w:ascii="Times New Roman" w:hAnsi="Times New Roman"/>
          <w:color w:val="000000" w:themeColor="text1"/>
        </w:rPr>
        <w:t>Swissprot</w:t>
      </w:r>
      <w:proofErr w:type="spellEnd"/>
      <w:r w:rsidRPr="0044643A">
        <w:rPr>
          <w:rFonts w:ascii="Times New Roman" w:hAnsi="Times New Roman"/>
          <w:color w:val="000000" w:themeColor="text1"/>
        </w:rPr>
        <w:t xml:space="preserve"> database using the Mascot search engine (Matrix Science, London, UK; version 2.5) for peptides identification.</w:t>
      </w:r>
    </w:p>
    <w:p w14:paraId="39DC584A" w14:textId="77777777" w:rsidR="00B70A8F" w:rsidRPr="00B70A8F" w:rsidRDefault="00B70A8F" w:rsidP="00DB20F7">
      <w:pPr>
        <w:rPr>
          <w:rFonts w:ascii="Times New Roman" w:hAnsi="Times New Roman" w:cs="Times New Roman"/>
          <w:color w:val="000000"/>
        </w:rPr>
      </w:pPr>
    </w:p>
    <w:sectPr w:rsidR="00B70A8F" w:rsidRPr="00B70A8F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45D0A" w14:textId="77777777" w:rsidR="00824592" w:rsidRDefault="00824592" w:rsidP="007E4F89">
      <w:pPr>
        <w:spacing w:after="0" w:line="240" w:lineRule="auto"/>
      </w:pPr>
      <w:r>
        <w:separator/>
      </w:r>
    </w:p>
  </w:endnote>
  <w:endnote w:type="continuationSeparator" w:id="0">
    <w:p w14:paraId="55355C2B" w14:textId="77777777" w:rsidR="00824592" w:rsidRDefault="00824592" w:rsidP="007E4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vTTb54a34f7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26166784"/>
      <w:docPartObj>
        <w:docPartGallery w:val="Page Numbers (Bottom of Page)"/>
        <w:docPartUnique/>
      </w:docPartObj>
    </w:sdtPr>
    <w:sdtContent>
      <w:p w14:paraId="7B76FD51" w14:textId="3C633A94" w:rsidR="007E4F89" w:rsidRDefault="007E4F8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00E185E6" w14:textId="77777777" w:rsidR="007E4F89" w:rsidRDefault="007E4F8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35866" w14:textId="77777777" w:rsidR="00824592" w:rsidRDefault="00824592" w:rsidP="007E4F89">
      <w:pPr>
        <w:spacing w:after="0" w:line="240" w:lineRule="auto"/>
      </w:pPr>
      <w:r>
        <w:separator/>
      </w:r>
    </w:p>
  </w:footnote>
  <w:footnote w:type="continuationSeparator" w:id="0">
    <w:p w14:paraId="669A5BCA" w14:textId="77777777" w:rsidR="00824592" w:rsidRDefault="00824592" w:rsidP="007E4F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47B"/>
    <w:rsid w:val="00065788"/>
    <w:rsid w:val="000B647B"/>
    <w:rsid w:val="001061BF"/>
    <w:rsid w:val="001B033A"/>
    <w:rsid w:val="00203CFC"/>
    <w:rsid w:val="002B0411"/>
    <w:rsid w:val="002B5FF5"/>
    <w:rsid w:val="003E3E04"/>
    <w:rsid w:val="005C752E"/>
    <w:rsid w:val="007E4F89"/>
    <w:rsid w:val="00824592"/>
    <w:rsid w:val="008D29B7"/>
    <w:rsid w:val="00B70A8F"/>
    <w:rsid w:val="00BB2D32"/>
    <w:rsid w:val="00DB20F7"/>
    <w:rsid w:val="00E46F53"/>
    <w:rsid w:val="00E952D6"/>
    <w:rsid w:val="00FC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08EB7"/>
  <w15:chartTrackingRefBased/>
  <w15:docId w15:val="{66240C35-8A6E-4BAD-9813-FD62079CE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B647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64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47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47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4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647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647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647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647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647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B64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B647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B64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B647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B647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B647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B647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B64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647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B6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647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B647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B64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B64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B647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B647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B64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B647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B647B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59"/>
    <w:rsid w:val="00B70A8F"/>
    <w:pPr>
      <w:spacing w:after="0" w:line="240" w:lineRule="auto"/>
    </w:pPr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E4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7E4F89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7E4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7E4F8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524</Words>
  <Characters>2991</Characters>
  <Application>Microsoft Office Word</Application>
  <DocSecurity>0</DocSecurity>
  <Lines>24</Lines>
  <Paragraphs>7</Paragraphs>
  <ScaleCrop>false</ScaleCrop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yingchuan chen</dc:creator>
  <cp:keywords/>
  <dc:description/>
  <cp:lastModifiedBy>yingchuan chen</cp:lastModifiedBy>
  <cp:revision>2</cp:revision>
  <dcterms:created xsi:type="dcterms:W3CDTF">2025-08-27T05:00:00Z</dcterms:created>
  <dcterms:modified xsi:type="dcterms:W3CDTF">2025-08-27T05:00:00Z</dcterms:modified>
</cp:coreProperties>
</file>