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C6673" w14:textId="77777777" w:rsidR="00835EE4" w:rsidRPr="00835EE4" w:rsidRDefault="00835EE4" w:rsidP="00835EE4">
      <w:pPr>
        <w:spacing w:line="276" w:lineRule="auto"/>
        <w:rPr>
          <w:rFonts w:ascii="Times New Roman" w:hAnsi="Times New Roman" w:cs="Times New Roman"/>
          <w:b/>
          <w:sz w:val="28"/>
        </w:rPr>
      </w:pPr>
      <w:bookmarkStart w:id="0" w:name="_Toc200841158"/>
      <w:bookmarkStart w:id="1" w:name="_Toc203353597"/>
      <w:bookmarkStart w:id="2" w:name="_Toc200841216"/>
      <w:bookmarkStart w:id="3" w:name="_Toc203353654"/>
      <w:r w:rsidRPr="00835EE4">
        <w:rPr>
          <w:rFonts w:ascii="Times New Roman" w:hAnsi="Times New Roman" w:cs="Times New Roman"/>
          <w:b/>
          <w:sz w:val="28"/>
        </w:rPr>
        <w:t>Pathways to productivity: how functional ecosystem service flow determine crop yield in prairie landscape</w:t>
      </w:r>
      <w:bookmarkEnd w:id="0"/>
      <w:bookmarkEnd w:id="1"/>
    </w:p>
    <w:p w14:paraId="01205015" w14:textId="77777777" w:rsidR="00835EE4" w:rsidRPr="00835EE4" w:rsidRDefault="00835EE4" w:rsidP="00835EE4">
      <w:bookmarkStart w:id="4" w:name="_GoBack"/>
      <w:bookmarkEnd w:id="4"/>
    </w:p>
    <w:p w14:paraId="325FEEDA" w14:textId="7F26355F" w:rsidR="00835EE4" w:rsidRPr="00061524" w:rsidRDefault="00835EE4" w:rsidP="00061524">
      <w:pPr>
        <w:pStyle w:val="ListParagraph"/>
        <w:numPr>
          <w:ilvl w:val="0"/>
          <w:numId w:val="4"/>
        </w:numPr>
        <w:rPr>
          <w:rFonts w:ascii="Times New Roman" w:hAnsi="Times New Roman" w:cs="Times New Roman"/>
          <w:b/>
          <w:sz w:val="24"/>
        </w:rPr>
      </w:pPr>
      <w:r w:rsidRPr="00061524">
        <w:rPr>
          <w:rFonts w:ascii="Times New Roman" w:hAnsi="Times New Roman" w:cs="Times New Roman"/>
          <w:b/>
          <w:sz w:val="24"/>
        </w:rPr>
        <w:t>Detailed Methodology for Ecosystem Service Mapping</w:t>
      </w:r>
    </w:p>
    <w:p w14:paraId="37F1811C" w14:textId="33431FD3" w:rsidR="00835EE4" w:rsidRPr="008C2D0A" w:rsidRDefault="00835EE4" w:rsidP="00835EE4">
      <w:pPr>
        <w:rPr>
          <w:rFonts w:ascii="Times New Roman" w:hAnsi="Times New Roman" w:cs="Times New Roman"/>
        </w:rPr>
      </w:pPr>
      <w:r w:rsidRPr="008C2D0A">
        <w:rPr>
          <w:rFonts w:ascii="Times New Roman" w:hAnsi="Times New Roman" w:cs="Times New Roman"/>
          <w:b/>
        </w:rPr>
        <w:t>Note:</w:t>
      </w:r>
      <w:r w:rsidRPr="008C2D0A">
        <w:rPr>
          <w:rFonts w:ascii="Times New Roman" w:hAnsi="Times New Roman" w:cs="Times New Roman"/>
        </w:rPr>
        <w:t xml:space="preserve"> </w:t>
      </w:r>
      <w:r w:rsidRPr="008C2D0A">
        <w:rPr>
          <w:rFonts w:ascii="Times New Roman" w:hAnsi="Times New Roman" w:cs="Times New Roman"/>
          <w:i/>
        </w:rPr>
        <w:t>T</w:t>
      </w:r>
      <w:r w:rsidRPr="008C2D0A">
        <w:rPr>
          <w:rFonts w:ascii="Times New Roman" w:hAnsi="Times New Roman" w:cs="Times New Roman"/>
          <w:i/>
          <w:iCs/>
          <w:shd w:val="clear" w:color="auto" w:fill="FCFCFC"/>
        </w:rPr>
        <w:t xml:space="preserve">he following detailed methodological description for the mapping of the six ecosystem services is taken directly from a companion manuscript (Pashanejad et al., submitted for publication, Journal of Cleaner Production), which focuses on the spatial patterns and trade-offs of these services across the Canadian prairies. It is reproduced here to provide the </w:t>
      </w:r>
      <w:r w:rsidR="00061524">
        <w:rPr>
          <w:rFonts w:ascii="Times New Roman" w:hAnsi="Times New Roman" w:cs="Times New Roman"/>
          <w:i/>
          <w:iCs/>
          <w:shd w:val="clear" w:color="auto" w:fill="FCFCFC"/>
        </w:rPr>
        <w:t>reviewers</w:t>
      </w:r>
      <w:r w:rsidRPr="008C2D0A">
        <w:rPr>
          <w:rFonts w:ascii="Times New Roman" w:hAnsi="Times New Roman" w:cs="Times New Roman"/>
          <w:i/>
          <w:iCs/>
          <w:shd w:val="clear" w:color="auto" w:fill="FCFCFC"/>
        </w:rPr>
        <w:t xml:space="preserve"> of this paper with all necessary information to understand how the input data for our statistical models were generated</w:t>
      </w:r>
      <w:r w:rsidRPr="008C2D0A">
        <w:rPr>
          <w:rFonts w:ascii="Times New Roman" w:hAnsi="Times New Roman" w:cs="Times New Roman"/>
          <w:i/>
          <w:iCs/>
          <w:color w:val="1A1C1E"/>
          <w:shd w:val="clear" w:color="auto" w:fill="FCFCFC"/>
        </w:rPr>
        <w:t>.</w:t>
      </w:r>
      <w:r w:rsidRPr="008C2D0A">
        <w:rPr>
          <w:rFonts w:ascii="Times New Roman" w:hAnsi="Times New Roman" w:cs="Times New Roman"/>
        </w:rPr>
        <w:t xml:space="preserve"> </w:t>
      </w:r>
    </w:p>
    <w:p w14:paraId="255AE95A" w14:textId="77777777" w:rsidR="00835EE4" w:rsidRPr="008C2D0A" w:rsidRDefault="00835EE4" w:rsidP="008C2D0A">
      <w:pPr>
        <w:spacing w:line="360" w:lineRule="auto"/>
        <w:rPr>
          <w:rFonts w:ascii="Times New Roman" w:hAnsi="Times New Roman" w:cs="Times New Roman"/>
          <w:sz w:val="24"/>
        </w:rPr>
      </w:pPr>
      <w:r w:rsidRPr="008C2D0A">
        <w:rPr>
          <w:rFonts w:ascii="Times New Roman" w:hAnsi="Times New Roman" w:cs="Times New Roman"/>
          <w:bCs/>
          <w:sz w:val="24"/>
        </w:rPr>
        <w:t>Table 1</w:t>
      </w:r>
      <w:r w:rsidRPr="008C2D0A">
        <w:rPr>
          <w:rFonts w:ascii="Times New Roman" w:hAnsi="Times New Roman" w:cs="Times New Roman"/>
          <w:sz w:val="24"/>
        </w:rPr>
        <w:t xml:space="preserve"> provides an overview of all ecosystem service models used in this study, including the data sources utilized for each model. Additionally, it lists the studies and references employed to parameterize the models to the specific context of the Canadian prairies. This comprehensive summary highlights the integration of multiple datasets and research inputs to develop robust and context-specific ecosystem service assessments.</w:t>
      </w:r>
    </w:p>
    <w:p w14:paraId="2BB6F877" w14:textId="67FD3B42" w:rsidR="00835EE4" w:rsidRPr="00835EE4" w:rsidRDefault="00835EE4" w:rsidP="00835EE4">
      <w:pPr>
        <w:pStyle w:val="Caption"/>
      </w:pPr>
      <w:r w:rsidRPr="00835EE4">
        <w:t xml:space="preserve">Table </w:t>
      </w:r>
      <w:r w:rsidRPr="00835EE4">
        <w:fldChar w:fldCharType="begin"/>
      </w:r>
      <w:r w:rsidRPr="00835EE4">
        <w:instrText xml:space="preserve"> SEQ Table \* ARABIC </w:instrText>
      </w:r>
      <w:r w:rsidRPr="00835EE4">
        <w:fldChar w:fldCharType="separate"/>
      </w:r>
      <w:r w:rsidR="008C2D0A">
        <w:rPr>
          <w:noProof/>
        </w:rPr>
        <w:t>1</w:t>
      </w:r>
      <w:r w:rsidRPr="00835EE4">
        <w:rPr>
          <w:noProof/>
        </w:rPr>
        <w:fldChar w:fldCharType="end"/>
      </w:r>
      <w:r w:rsidRPr="00835EE4">
        <w:t>. Overview of all ecosystem service models with data sources</w:t>
      </w:r>
    </w:p>
    <w:tbl>
      <w:tblPr>
        <w:tblStyle w:val="GridTable1Light"/>
        <w:tblW w:w="0" w:type="auto"/>
        <w:tblLook w:val="04A0" w:firstRow="1" w:lastRow="0" w:firstColumn="1" w:lastColumn="0" w:noHBand="0" w:noVBand="1"/>
      </w:tblPr>
      <w:tblGrid>
        <w:gridCol w:w="1900"/>
        <w:gridCol w:w="1909"/>
        <w:gridCol w:w="2756"/>
        <w:gridCol w:w="2785"/>
      </w:tblGrid>
      <w:tr w:rsidR="00835EE4" w:rsidRPr="00835EE4" w14:paraId="5E3B978B" w14:textId="77777777" w:rsidTr="00F30C4C">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566ADBF" w14:textId="77777777" w:rsidR="00835EE4" w:rsidRPr="00835EE4" w:rsidRDefault="00835EE4" w:rsidP="00F30C4C">
            <w:pPr>
              <w:jc w:val="center"/>
              <w:rPr>
                <w:rFonts w:ascii="Times New Roman" w:hAnsi="Times New Roman" w:cs="Times New Roman"/>
                <w:b w:val="0"/>
                <w:i/>
                <w:szCs w:val="24"/>
              </w:rPr>
            </w:pPr>
            <w:r w:rsidRPr="00835EE4">
              <w:rPr>
                <w:rFonts w:ascii="Times New Roman" w:hAnsi="Times New Roman" w:cs="Times New Roman"/>
                <w:i/>
                <w:szCs w:val="24"/>
              </w:rPr>
              <w:t>ES</w:t>
            </w:r>
          </w:p>
        </w:tc>
        <w:tc>
          <w:tcPr>
            <w:tcW w:w="0" w:type="auto"/>
            <w:vAlign w:val="center"/>
          </w:tcPr>
          <w:p w14:paraId="6F243AEC" w14:textId="77777777" w:rsidR="00835EE4" w:rsidRPr="00835EE4" w:rsidRDefault="00835EE4" w:rsidP="00F30C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Cs w:val="24"/>
              </w:rPr>
            </w:pPr>
            <w:r w:rsidRPr="00835EE4">
              <w:rPr>
                <w:rFonts w:ascii="Times New Roman" w:hAnsi="Times New Roman" w:cs="Times New Roman"/>
                <w:i/>
                <w:szCs w:val="24"/>
              </w:rPr>
              <w:t>ES model and platform</w:t>
            </w:r>
          </w:p>
        </w:tc>
        <w:tc>
          <w:tcPr>
            <w:tcW w:w="2756" w:type="dxa"/>
            <w:vAlign w:val="center"/>
          </w:tcPr>
          <w:p w14:paraId="5BF554F6" w14:textId="77777777" w:rsidR="00835EE4" w:rsidRPr="00835EE4" w:rsidRDefault="00835EE4" w:rsidP="00F30C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Cs w:val="24"/>
              </w:rPr>
            </w:pPr>
            <w:r w:rsidRPr="00835EE4">
              <w:rPr>
                <w:rFonts w:ascii="Times New Roman" w:hAnsi="Times New Roman" w:cs="Times New Roman"/>
                <w:i/>
                <w:szCs w:val="24"/>
              </w:rPr>
              <w:t>Data requirements</w:t>
            </w:r>
          </w:p>
        </w:tc>
        <w:tc>
          <w:tcPr>
            <w:tcW w:w="2785" w:type="dxa"/>
            <w:vAlign w:val="center"/>
          </w:tcPr>
          <w:p w14:paraId="6DC94A7D" w14:textId="77777777" w:rsidR="00835EE4" w:rsidRPr="00835EE4" w:rsidRDefault="00835EE4" w:rsidP="00F30C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Cs w:val="24"/>
              </w:rPr>
            </w:pPr>
            <w:r w:rsidRPr="00835EE4">
              <w:rPr>
                <w:rFonts w:ascii="Times New Roman" w:hAnsi="Times New Roman" w:cs="Times New Roman"/>
                <w:i/>
                <w:szCs w:val="24"/>
              </w:rPr>
              <w:t>Data sources</w:t>
            </w:r>
          </w:p>
        </w:tc>
      </w:tr>
      <w:tr w:rsidR="00835EE4" w:rsidRPr="00835EE4" w14:paraId="6D81B5E1" w14:textId="77777777" w:rsidTr="00F30C4C">
        <w:trPr>
          <w:trHeight w:val="156"/>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F318C55" w14:textId="77777777" w:rsidR="00835EE4" w:rsidRPr="00835EE4" w:rsidRDefault="00835EE4" w:rsidP="00F30C4C">
            <w:pPr>
              <w:jc w:val="center"/>
              <w:rPr>
                <w:rFonts w:ascii="Times New Roman" w:hAnsi="Times New Roman" w:cs="Times New Roman"/>
                <w:b w:val="0"/>
                <w:i/>
                <w:sz w:val="16"/>
                <w:szCs w:val="24"/>
              </w:rPr>
            </w:pPr>
            <w:r w:rsidRPr="00835EE4">
              <w:rPr>
                <w:rFonts w:ascii="Times New Roman" w:hAnsi="Times New Roman" w:cs="Times New Roman"/>
                <w:i/>
                <w:sz w:val="16"/>
                <w:szCs w:val="24"/>
              </w:rPr>
              <w:t>Carbon Storage</w:t>
            </w:r>
          </w:p>
        </w:tc>
        <w:tc>
          <w:tcPr>
            <w:tcW w:w="0" w:type="auto"/>
            <w:vMerge w:val="restart"/>
          </w:tcPr>
          <w:p w14:paraId="1AE174BE"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proofErr w:type="spellStart"/>
            <w:r w:rsidRPr="00835EE4">
              <w:rPr>
                <w:rFonts w:ascii="Times New Roman" w:hAnsi="Times New Roman" w:cs="Times New Roman"/>
                <w:sz w:val="16"/>
                <w:szCs w:val="24"/>
              </w:rPr>
              <w:t>InVEST</w:t>
            </w:r>
            <w:proofErr w:type="spellEnd"/>
            <w:r w:rsidRPr="00835EE4">
              <w:rPr>
                <w:rFonts w:ascii="Times New Roman" w:hAnsi="Times New Roman" w:cs="Times New Roman"/>
                <w:sz w:val="16"/>
                <w:szCs w:val="24"/>
              </w:rPr>
              <w:t xml:space="preserve"> carbon model</w:t>
            </w:r>
          </w:p>
          <w:sdt>
            <w:sdtPr>
              <w:rPr>
                <w:rFonts w:ascii="Times New Roman" w:hAnsi="Times New Roman" w:cs="Times New Roman"/>
                <w:color w:val="000000"/>
                <w:sz w:val="16"/>
                <w:szCs w:val="24"/>
              </w:rPr>
              <w:tag w:val="MENDELEY_CITATION_v3_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"/>
              <w:id w:val="1782680036"/>
              <w:placeholder>
                <w:docPart w:val="6ACC1282E35944EDB42E417E12A0D38C"/>
              </w:placeholder>
            </w:sdtPr>
            <w:sdtEndPr/>
            <w:sdtContent>
              <w:p w14:paraId="56486B06"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color w:val="000000"/>
                    <w:sz w:val="16"/>
                    <w:szCs w:val="24"/>
                  </w:rPr>
                  <w:t>(Sharp et al. 2014)</w:t>
                </w:r>
              </w:p>
            </w:sdtContent>
          </w:sdt>
        </w:tc>
        <w:tc>
          <w:tcPr>
            <w:tcW w:w="2756" w:type="dxa"/>
          </w:tcPr>
          <w:p w14:paraId="333EA264"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LULC</w:t>
            </w:r>
          </w:p>
        </w:tc>
        <w:tc>
          <w:tcPr>
            <w:tcW w:w="2785" w:type="dxa"/>
          </w:tcPr>
          <w:p w14:paraId="04E8AEAC"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Annual crop inventory</w:t>
            </w:r>
            <w:r w:rsidRPr="00835EE4">
              <w:rPr>
                <w:rStyle w:val="FootnoteReference"/>
                <w:rFonts w:ascii="Times New Roman" w:hAnsi="Times New Roman"/>
              </w:rPr>
              <w:footnoteReference w:id="1"/>
            </w:r>
          </w:p>
        </w:tc>
      </w:tr>
      <w:tr w:rsidR="00835EE4" w:rsidRPr="00835EE4" w14:paraId="314B3AD7" w14:textId="77777777" w:rsidTr="00F30C4C">
        <w:trPr>
          <w:trHeight w:val="126"/>
        </w:trPr>
        <w:tc>
          <w:tcPr>
            <w:cnfStyle w:val="001000000000" w:firstRow="0" w:lastRow="0" w:firstColumn="1" w:lastColumn="0" w:oddVBand="0" w:evenVBand="0" w:oddHBand="0" w:evenHBand="0" w:firstRowFirstColumn="0" w:firstRowLastColumn="0" w:lastRowFirstColumn="0" w:lastRowLastColumn="0"/>
            <w:tcW w:w="0" w:type="auto"/>
            <w:vMerge/>
          </w:tcPr>
          <w:p w14:paraId="242B57D3" w14:textId="77777777" w:rsidR="00835EE4" w:rsidRPr="00835EE4" w:rsidRDefault="00835EE4" w:rsidP="00F30C4C">
            <w:pPr>
              <w:jc w:val="center"/>
              <w:rPr>
                <w:rFonts w:ascii="Times New Roman" w:hAnsi="Times New Roman" w:cs="Times New Roman"/>
                <w:b w:val="0"/>
                <w:i/>
                <w:sz w:val="16"/>
                <w:szCs w:val="24"/>
              </w:rPr>
            </w:pPr>
          </w:p>
        </w:tc>
        <w:tc>
          <w:tcPr>
            <w:tcW w:w="0" w:type="auto"/>
            <w:vMerge/>
          </w:tcPr>
          <w:p w14:paraId="2DD50076"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p>
        </w:tc>
        <w:tc>
          <w:tcPr>
            <w:tcW w:w="2756" w:type="dxa"/>
          </w:tcPr>
          <w:p w14:paraId="5F7F7B4B"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Global aboveground</w:t>
            </w:r>
            <w:r w:rsidRPr="00835EE4">
              <w:rPr>
                <w:rFonts w:ascii="Times New Roman" w:hAnsi="Times New Roman" w:cs="Times New Roman"/>
                <w:sz w:val="16"/>
                <w:szCs w:val="24"/>
                <w:rtl/>
              </w:rPr>
              <w:t xml:space="preserve"> </w:t>
            </w:r>
            <w:r w:rsidRPr="00835EE4">
              <w:rPr>
                <w:rFonts w:ascii="Times New Roman" w:hAnsi="Times New Roman" w:cs="Times New Roman"/>
                <w:sz w:val="16"/>
                <w:szCs w:val="24"/>
              </w:rPr>
              <w:t>&amp; belowground biomass</w:t>
            </w:r>
          </w:p>
        </w:tc>
        <w:tc>
          <w:tcPr>
            <w:tcW w:w="2785" w:type="dxa"/>
          </w:tcPr>
          <w:p w14:paraId="38A9D093"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lang w:val="fr-FR"/>
              </w:rPr>
            </w:pPr>
            <w:r w:rsidRPr="00835EE4">
              <w:rPr>
                <w:rFonts w:ascii="Times New Roman" w:hAnsi="Times New Roman" w:cs="Times New Roman"/>
                <w:sz w:val="16"/>
                <w:szCs w:val="24"/>
                <w:lang w:val="fr-FR"/>
              </w:rPr>
              <w:t>ORNL DAAC</w:t>
            </w:r>
            <w:r w:rsidRPr="00835EE4">
              <w:rPr>
                <w:rStyle w:val="FootnoteReference"/>
                <w:rFonts w:ascii="Times New Roman" w:hAnsi="Times New Roman"/>
              </w:rPr>
              <w:footnoteReference w:id="2"/>
            </w:r>
          </w:p>
          <w:p w14:paraId="65B3798E"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lang w:val="fr-FR"/>
              </w:rPr>
            </w:pPr>
            <w:r w:rsidRPr="00835EE4">
              <w:rPr>
                <w:rFonts w:ascii="Times New Roman" w:hAnsi="Times New Roman" w:cs="Times New Roman"/>
                <w:sz w:val="16"/>
                <w:szCs w:val="24"/>
              </w:rPr>
              <w:fldChar w:fldCharType="begin" w:fldLock="1"/>
            </w:r>
            <w:r w:rsidRPr="00835EE4">
              <w:rPr>
                <w:rFonts w:ascii="Times New Roman" w:hAnsi="Times New Roman" w:cs="Times New Roman"/>
                <w:sz w:val="16"/>
                <w:szCs w:val="24"/>
                <w:lang w:val="fr-FR"/>
              </w:rPr>
              <w:instrText>ADDIN CSL_CITATION {"citationItems":[{"id":"ITEM-1","itemData":{"DOI":"10.1038/s41597-020-0444-4","ISSN":"2052-4463","abstract":"Remotely sensed biomass carbon density maps are widely used for myriad scientific and policy applications, but all remain limited in scope. They often only represent a single vegetation type and rarely account for carbon stocks in belowground biomass. To date, no global product integrates these disparate estimates into an all-encompassing map at a scale appropriate for many modelling or decision-making applications. We developed an approach for harmonizing vegetation-specific maps of both above and belowground biomass into a single, comprehensive representation of each. We overlaid input maps and allocated their estimates in proportion to the relative spatial extent of each vegetation type using ancillary maps of percent tree cover and landcover, and a rule-based decision schema. The resulting maps consistently and seamlessly report biomass carbon density estimates across a wide range of vegetation types in 2010 with quantified uncertainty. They do so for the globe at an unprecedented 300-meter spatial resolution and can be used to more holistically account for diverse vegetation carbon stocks in global analyses and greenhouse gas inventories.","author":[{"dropping-particle":"","family":"Spawn","given":"Seth A","non-dropping-particle":"","parse-names":false,"suffix":""},{"dropping-particle":"","family":"Sullivan","given":"Clare C","non-dropping-particle":"","parse-names":false,"suffix":""},{"dropping-particle":"","family":"Lark","given":"Tyler J","non-dropping-particle":"","parse-names":false,"suffix":""},{"dropping-particle":"","family":"Gibbs","given":"Holly K","non-dropping-particle":"","parse-names":false,"suffix":""}],"container-title":"Scientific Data","id":"ITEM-1","issue":"1","issued":{"date-parts":[["2020"]]},"page":"112","title":"Harmonized global maps of above and belowground biomass carbon density in the year 2010","type":"article-journal","volume":"7"},"uris":["http://www.mendeley.com/documents/?uuid=4fc04a47-8ab8-426d-a506-4c08128f32b0"]}],"mendeley":{"formattedCitation":"(Spawn et al. 2020)","plainTextFormattedCitation":"(Spawn et al. 2020)","previouslyFormattedCitation":"(Spawn et al. 2020)"},"properties":{"noteIndex":0},"schema":"https://github.com/citation-style-language/schema/raw/master/csl-citation.json"}</w:instrText>
            </w:r>
            <w:r w:rsidRPr="00835EE4">
              <w:rPr>
                <w:rFonts w:ascii="Times New Roman" w:hAnsi="Times New Roman" w:cs="Times New Roman"/>
                <w:sz w:val="16"/>
                <w:szCs w:val="24"/>
              </w:rPr>
              <w:fldChar w:fldCharType="separate"/>
            </w:r>
            <w:r w:rsidRPr="00835EE4">
              <w:rPr>
                <w:rFonts w:ascii="Times New Roman" w:hAnsi="Times New Roman" w:cs="Times New Roman"/>
                <w:noProof/>
                <w:sz w:val="16"/>
                <w:szCs w:val="24"/>
                <w:lang w:val="fr-FR"/>
              </w:rPr>
              <w:t>(Spawn et al. 2020)</w:t>
            </w:r>
            <w:r w:rsidRPr="00835EE4">
              <w:rPr>
                <w:rFonts w:ascii="Times New Roman" w:hAnsi="Times New Roman" w:cs="Times New Roman"/>
                <w:sz w:val="16"/>
                <w:szCs w:val="24"/>
              </w:rPr>
              <w:fldChar w:fldCharType="end"/>
            </w:r>
          </w:p>
        </w:tc>
      </w:tr>
      <w:tr w:rsidR="00835EE4" w:rsidRPr="00835EE4" w14:paraId="2A6693F5" w14:textId="77777777" w:rsidTr="00F30C4C">
        <w:trPr>
          <w:trHeight w:val="953"/>
        </w:trPr>
        <w:tc>
          <w:tcPr>
            <w:cnfStyle w:val="001000000000" w:firstRow="0" w:lastRow="0" w:firstColumn="1" w:lastColumn="0" w:oddVBand="0" w:evenVBand="0" w:oddHBand="0" w:evenHBand="0" w:firstRowFirstColumn="0" w:firstRowLastColumn="0" w:lastRowFirstColumn="0" w:lastRowLastColumn="0"/>
            <w:tcW w:w="0" w:type="auto"/>
            <w:vMerge/>
          </w:tcPr>
          <w:p w14:paraId="2E1D266B" w14:textId="77777777" w:rsidR="00835EE4" w:rsidRPr="00835EE4" w:rsidRDefault="00835EE4" w:rsidP="00F30C4C">
            <w:pPr>
              <w:jc w:val="center"/>
              <w:rPr>
                <w:rFonts w:ascii="Times New Roman" w:hAnsi="Times New Roman" w:cs="Times New Roman"/>
                <w:b w:val="0"/>
                <w:i/>
                <w:sz w:val="16"/>
                <w:szCs w:val="24"/>
                <w:lang w:val="fr-FR"/>
              </w:rPr>
            </w:pPr>
          </w:p>
        </w:tc>
        <w:tc>
          <w:tcPr>
            <w:tcW w:w="0" w:type="auto"/>
            <w:vMerge/>
          </w:tcPr>
          <w:p w14:paraId="2F57A852"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lang w:val="fr-FR"/>
              </w:rPr>
            </w:pPr>
          </w:p>
        </w:tc>
        <w:tc>
          <w:tcPr>
            <w:tcW w:w="2756" w:type="dxa"/>
          </w:tcPr>
          <w:p w14:paraId="50E11646"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Carbon storage and distribution in terrestrial ecosystems of Canada</w:t>
            </w:r>
          </w:p>
        </w:tc>
        <w:tc>
          <w:tcPr>
            <w:tcW w:w="2785" w:type="dxa"/>
          </w:tcPr>
          <w:p w14:paraId="66205604"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WWF Canada</w:t>
            </w:r>
            <w:r w:rsidRPr="00835EE4">
              <w:rPr>
                <w:rStyle w:val="FootnoteReference"/>
                <w:rFonts w:ascii="Times New Roman" w:hAnsi="Times New Roman"/>
              </w:rPr>
              <w:footnoteReference w:id="3"/>
            </w:r>
          </w:p>
          <w:p w14:paraId="0190C873"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fldChar w:fldCharType="begin" w:fldLock="1"/>
            </w:r>
            <w:r w:rsidRPr="00835EE4">
              <w:rPr>
                <w:rFonts w:ascii="Times New Roman" w:hAnsi="Times New Roman" w:cs="Times New Roman"/>
                <w:sz w:val="16"/>
                <w:szCs w:val="24"/>
              </w:rPr>
              <w:instrText>ADDIN CSL_CITATION {"citationItems":[{"id":"ITEM-1","itemData":{"DOI":"10.1029/2021GB007213","ISSN":"0886-6236","author":[{"dropping-particle":"","family":"Sothe","given":"Camile","non-dropping-particle":"","parse-names":false,"suffix":""},{"dropping-particle":"","family":"Gonsamo","given":"Alemu","non-dropping-particle":"","parse-names":false,"suffix":""},{"dropping-particle":"","family":"Arabian","given":"Joyce","non-dropping-particle":"","parse-names":false,"suffix":""},{"dropping-particle":"","family":"Kurz","given":"Werner A.","non-dropping-particle":"","parse-names":false,"suffix":""},{"dropping-particle":"","family":"Finkelstein","given":"Sarah A.","non-dropping-particle":"","parse-names":false,"suffix":""},{"dropping-particle":"","family":"Snider","given":"James","non-dropping-particle":"","parse-names":false,"suffix":""}],"container-title":"Global Biogeochemical Cycles","id":"ITEM-1","issue":"2","issued":{"date-parts":[["2022","2","17"]]},"title":"Large Soil Carbon Storage in Terrestrial Ecosystems of Canada","type":"article-journal","volume":"36"},"uris":["http://www.mendeley.com/documents/?uuid=32fc7aa5-8cae-4f93-b63e-0a39d8953405"]}],"mendeley":{"formattedCitation":"(Sothe et al. 2022)","plainTextFormattedCitation":"(Sothe et al. 2022)","previouslyFormattedCitation":"(Sothe et al. 2022)"},"properties":{"noteIndex":0},"schema":"https://github.com/citation-style-language/schema/raw/master/csl-citation.json"}</w:instrText>
            </w:r>
            <w:r w:rsidRPr="00835EE4">
              <w:rPr>
                <w:rFonts w:ascii="Times New Roman" w:hAnsi="Times New Roman" w:cs="Times New Roman"/>
                <w:sz w:val="16"/>
                <w:szCs w:val="24"/>
              </w:rPr>
              <w:fldChar w:fldCharType="separate"/>
            </w:r>
            <w:r w:rsidRPr="00835EE4">
              <w:rPr>
                <w:rFonts w:ascii="Times New Roman" w:hAnsi="Times New Roman" w:cs="Times New Roman"/>
                <w:noProof/>
                <w:sz w:val="16"/>
                <w:szCs w:val="24"/>
              </w:rPr>
              <w:t>(Sothe et al. 2022)</w:t>
            </w:r>
            <w:r w:rsidRPr="00835EE4">
              <w:rPr>
                <w:rFonts w:ascii="Times New Roman" w:hAnsi="Times New Roman" w:cs="Times New Roman"/>
                <w:sz w:val="16"/>
                <w:szCs w:val="24"/>
              </w:rPr>
              <w:fldChar w:fldCharType="end"/>
            </w:r>
          </w:p>
        </w:tc>
      </w:tr>
      <w:tr w:rsidR="00835EE4" w:rsidRPr="00835EE4" w14:paraId="1F0AC1EA" w14:textId="77777777" w:rsidTr="00F30C4C">
        <w:trPr>
          <w:trHeight w:val="377"/>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C46EFFA" w14:textId="77777777" w:rsidR="00835EE4" w:rsidRPr="00835EE4" w:rsidRDefault="00835EE4" w:rsidP="00F30C4C">
            <w:pPr>
              <w:jc w:val="center"/>
              <w:rPr>
                <w:rFonts w:ascii="Times New Roman" w:hAnsi="Times New Roman" w:cs="Times New Roman"/>
                <w:b w:val="0"/>
                <w:i/>
                <w:sz w:val="16"/>
                <w:szCs w:val="24"/>
              </w:rPr>
            </w:pPr>
            <w:r w:rsidRPr="00835EE4">
              <w:rPr>
                <w:rFonts w:ascii="Times New Roman" w:hAnsi="Times New Roman" w:cs="Times New Roman"/>
                <w:i/>
                <w:sz w:val="16"/>
                <w:szCs w:val="24"/>
              </w:rPr>
              <w:t>Soil Erosion Control</w:t>
            </w:r>
          </w:p>
        </w:tc>
        <w:tc>
          <w:tcPr>
            <w:tcW w:w="0" w:type="auto"/>
            <w:vMerge w:val="restart"/>
          </w:tcPr>
          <w:p w14:paraId="0871243A"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 xml:space="preserve">Sediment Delivery Ratio (SDR), </w:t>
            </w:r>
            <w:proofErr w:type="spellStart"/>
            <w:r w:rsidRPr="00835EE4">
              <w:rPr>
                <w:rFonts w:ascii="Times New Roman" w:hAnsi="Times New Roman" w:cs="Times New Roman"/>
                <w:sz w:val="16"/>
                <w:szCs w:val="24"/>
              </w:rPr>
              <w:t>InVEST</w:t>
            </w:r>
            <w:proofErr w:type="spellEnd"/>
          </w:p>
          <w:sdt>
            <w:sdtPr>
              <w:rPr>
                <w:rFonts w:ascii="Times New Roman" w:hAnsi="Times New Roman" w:cs="Times New Roman"/>
                <w:color w:val="000000"/>
                <w:sz w:val="16"/>
                <w:szCs w:val="24"/>
              </w:rPr>
              <w:tag w:val="MENDELEY_CITATION_v3_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"/>
              <w:id w:val="-767389050"/>
              <w:placeholder>
                <w:docPart w:val="38C160F359BC48D9A5E6721E1F3990DD"/>
              </w:placeholder>
            </w:sdtPr>
            <w:sdtEndPr/>
            <w:sdtContent>
              <w:p w14:paraId="77876B21"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color w:val="000000"/>
                    <w:sz w:val="16"/>
                    <w:szCs w:val="24"/>
                  </w:rPr>
                  <w:t>(Sharp et al. 2014)</w:t>
                </w:r>
              </w:p>
            </w:sdtContent>
          </w:sdt>
        </w:tc>
        <w:tc>
          <w:tcPr>
            <w:tcW w:w="2756" w:type="dxa"/>
          </w:tcPr>
          <w:p w14:paraId="2125DBAF"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LULC, precipitation, evapotranspiration</w:t>
            </w:r>
          </w:p>
        </w:tc>
        <w:tc>
          <w:tcPr>
            <w:tcW w:w="2785" w:type="dxa"/>
          </w:tcPr>
          <w:p w14:paraId="44698471"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Climate NA</w:t>
            </w:r>
            <w:r w:rsidRPr="00835EE4">
              <w:rPr>
                <w:rStyle w:val="FootnoteReference"/>
                <w:rFonts w:ascii="Times New Roman" w:hAnsi="Times New Roman"/>
              </w:rPr>
              <w:footnoteReference w:id="4"/>
            </w:r>
          </w:p>
        </w:tc>
      </w:tr>
      <w:tr w:rsidR="00835EE4" w:rsidRPr="00835EE4" w14:paraId="763B04EF" w14:textId="77777777" w:rsidTr="00F30C4C">
        <w:trPr>
          <w:trHeight w:val="206"/>
        </w:trPr>
        <w:tc>
          <w:tcPr>
            <w:cnfStyle w:val="001000000000" w:firstRow="0" w:lastRow="0" w:firstColumn="1" w:lastColumn="0" w:oddVBand="0" w:evenVBand="0" w:oddHBand="0" w:evenHBand="0" w:firstRowFirstColumn="0" w:firstRowLastColumn="0" w:lastRowFirstColumn="0" w:lastRowLastColumn="0"/>
            <w:tcW w:w="0" w:type="auto"/>
            <w:vMerge/>
          </w:tcPr>
          <w:p w14:paraId="7ABDDFD5" w14:textId="77777777" w:rsidR="00835EE4" w:rsidRPr="00835EE4" w:rsidRDefault="00835EE4" w:rsidP="00F30C4C">
            <w:pPr>
              <w:jc w:val="center"/>
              <w:rPr>
                <w:rFonts w:ascii="Times New Roman" w:hAnsi="Times New Roman" w:cs="Times New Roman"/>
                <w:i/>
                <w:sz w:val="16"/>
                <w:szCs w:val="24"/>
              </w:rPr>
            </w:pPr>
          </w:p>
        </w:tc>
        <w:tc>
          <w:tcPr>
            <w:tcW w:w="0" w:type="auto"/>
            <w:vMerge/>
          </w:tcPr>
          <w:p w14:paraId="6140E690"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p>
        </w:tc>
        <w:tc>
          <w:tcPr>
            <w:tcW w:w="2756" w:type="dxa"/>
          </w:tcPr>
          <w:p w14:paraId="11DA09A4"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Digital Elevation Model (DEM)</w:t>
            </w:r>
          </w:p>
        </w:tc>
        <w:tc>
          <w:tcPr>
            <w:tcW w:w="2785" w:type="dxa"/>
          </w:tcPr>
          <w:p w14:paraId="74B09E8F"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FABDEM V1-2</w:t>
            </w:r>
            <w:r w:rsidRPr="00835EE4">
              <w:rPr>
                <w:rStyle w:val="FootnoteReference"/>
                <w:rFonts w:ascii="Times New Roman" w:hAnsi="Times New Roman"/>
              </w:rPr>
              <w:footnoteReference w:id="5"/>
            </w:r>
          </w:p>
          <w:p w14:paraId="36BFC6D1"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p>
        </w:tc>
      </w:tr>
      <w:tr w:rsidR="00835EE4" w:rsidRPr="00835EE4" w14:paraId="70FF0A7A" w14:textId="77777777" w:rsidTr="00F30C4C">
        <w:trPr>
          <w:trHeight w:val="223"/>
        </w:trPr>
        <w:tc>
          <w:tcPr>
            <w:cnfStyle w:val="001000000000" w:firstRow="0" w:lastRow="0" w:firstColumn="1" w:lastColumn="0" w:oddVBand="0" w:evenVBand="0" w:oddHBand="0" w:evenHBand="0" w:firstRowFirstColumn="0" w:firstRowLastColumn="0" w:lastRowFirstColumn="0" w:lastRowLastColumn="0"/>
            <w:tcW w:w="0" w:type="auto"/>
            <w:vMerge/>
          </w:tcPr>
          <w:p w14:paraId="26D32173" w14:textId="77777777" w:rsidR="00835EE4" w:rsidRPr="00835EE4" w:rsidRDefault="00835EE4" w:rsidP="00F30C4C">
            <w:pPr>
              <w:jc w:val="center"/>
              <w:rPr>
                <w:rFonts w:ascii="Times New Roman" w:hAnsi="Times New Roman" w:cs="Times New Roman"/>
                <w:i/>
                <w:sz w:val="16"/>
                <w:szCs w:val="24"/>
              </w:rPr>
            </w:pPr>
          </w:p>
        </w:tc>
        <w:tc>
          <w:tcPr>
            <w:tcW w:w="0" w:type="auto"/>
            <w:vMerge/>
          </w:tcPr>
          <w:p w14:paraId="0CB6FDDD"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p>
        </w:tc>
        <w:tc>
          <w:tcPr>
            <w:tcW w:w="2756" w:type="dxa"/>
          </w:tcPr>
          <w:p w14:paraId="6335CCE4"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Digital Elevation Model (DEM)</w:t>
            </w:r>
          </w:p>
        </w:tc>
        <w:tc>
          <w:tcPr>
            <w:tcW w:w="2785" w:type="dxa"/>
          </w:tcPr>
          <w:p w14:paraId="22023D38"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FABDEM V1-2</w:t>
            </w:r>
          </w:p>
          <w:p w14:paraId="4AF34085"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p>
        </w:tc>
      </w:tr>
      <w:tr w:rsidR="00835EE4" w:rsidRPr="00835EE4" w14:paraId="41C4C4A3" w14:textId="77777777" w:rsidTr="00F30C4C">
        <w:tc>
          <w:tcPr>
            <w:cnfStyle w:val="001000000000" w:firstRow="0" w:lastRow="0" w:firstColumn="1" w:lastColumn="0" w:oddVBand="0" w:evenVBand="0" w:oddHBand="0" w:evenHBand="0" w:firstRowFirstColumn="0" w:firstRowLastColumn="0" w:lastRowFirstColumn="0" w:lastRowLastColumn="0"/>
            <w:tcW w:w="0" w:type="auto"/>
          </w:tcPr>
          <w:p w14:paraId="0341D433" w14:textId="77777777" w:rsidR="00835EE4" w:rsidRPr="00835EE4" w:rsidRDefault="00835EE4" w:rsidP="00F30C4C">
            <w:pPr>
              <w:jc w:val="center"/>
              <w:rPr>
                <w:rFonts w:ascii="Times New Roman" w:hAnsi="Times New Roman" w:cs="Times New Roman"/>
                <w:b w:val="0"/>
                <w:i/>
                <w:sz w:val="16"/>
                <w:szCs w:val="24"/>
              </w:rPr>
            </w:pPr>
            <w:r w:rsidRPr="00835EE4">
              <w:rPr>
                <w:rFonts w:ascii="Times New Roman" w:hAnsi="Times New Roman" w:cs="Times New Roman"/>
                <w:i/>
                <w:sz w:val="16"/>
                <w:szCs w:val="24"/>
              </w:rPr>
              <w:t>Crop Pollination</w:t>
            </w:r>
          </w:p>
        </w:tc>
        <w:tc>
          <w:tcPr>
            <w:tcW w:w="0" w:type="auto"/>
          </w:tcPr>
          <w:p w14:paraId="0F764EF8"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proofErr w:type="spellStart"/>
            <w:r w:rsidRPr="00835EE4">
              <w:rPr>
                <w:rFonts w:ascii="Times New Roman" w:hAnsi="Times New Roman" w:cs="Times New Roman"/>
                <w:sz w:val="16"/>
                <w:szCs w:val="24"/>
              </w:rPr>
              <w:t>InVest</w:t>
            </w:r>
            <w:proofErr w:type="spellEnd"/>
            <w:r w:rsidRPr="00835EE4">
              <w:rPr>
                <w:rFonts w:ascii="Times New Roman" w:hAnsi="Times New Roman" w:cs="Times New Roman"/>
                <w:sz w:val="16"/>
                <w:szCs w:val="24"/>
              </w:rPr>
              <w:t>, a guild-based pollination model</w:t>
            </w:r>
          </w:p>
        </w:tc>
        <w:tc>
          <w:tcPr>
            <w:tcW w:w="2756" w:type="dxa"/>
          </w:tcPr>
          <w:p w14:paraId="48C03A8A"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LULC</w:t>
            </w:r>
          </w:p>
        </w:tc>
        <w:tc>
          <w:tcPr>
            <w:tcW w:w="2785" w:type="dxa"/>
          </w:tcPr>
          <w:p w14:paraId="1192A4B1"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Annual crop inventory</w:t>
            </w:r>
          </w:p>
        </w:tc>
      </w:tr>
      <w:tr w:rsidR="00835EE4" w:rsidRPr="00835EE4" w14:paraId="66620B94" w14:textId="77777777" w:rsidTr="00F30C4C">
        <w:trPr>
          <w:trHeight w:val="169"/>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3BC3DD6" w14:textId="77777777" w:rsidR="00835EE4" w:rsidRPr="00835EE4" w:rsidRDefault="00835EE4" w:rsidP="00F30C4C">
            <w:pPr>
              <w:jc w:val="center"/>
              <w:rPr>
                <w:rFonts w:ascii="Times New Roman" w:hAnsi="Times New Roman" w:cs="Times New Roman"/>
                <w:b w:val="0"/>
                <w:i/>
                <w:sz w:val="16"/>
                <w:szCs w:val="24"/>
              </w:rPr>
            </w:pPr>
            <w:r w:rsidRPr="00835EE4">
              <w:rPr>
                <w:rFonts w:ascii="Times New Roman" w:hAnsi="Times New Roman" w:cs="Times New Roman"/>
                <w:i/>
                <w:sz w:val="16"/>
                <w:szCs w:val="24"/>
              </w:rPr>
              <w:t>Habitat provisioning &amp; Habitat Quality</w:t>
            </w:r>
          </w:p>
        </w:tc>
        <w:tc>
          <w:tcPr>
            <w:tcW w:w="0" w:type="auto"/>
            <w:vMerge w:val="restart"/>
          </w:tcPr>
          <w:p w14:paraId="779D0F1C"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proofErr w:type="spellStart"/>
            <w:r w:rsidRPr="00835EE4">
              <w:rPr>
                <w:rFonts w:ascii="Times New Roman" w:hAnsi="Times New Roman" w:cs="Times New Roman"/>
                <w:sz w:val="16"/>
                <w:szCs w:val="24"/>
              </w:rPr>
              <w:t>InVEST</w:t>
            </w:r>
            <w:proofErr w:type="spellEnd"/>
            <w:r w:rsidRPr="00835EE4">
              <w:rPr>
                <w:rFonts w:ascii="Times New Roman" w:hAnsi="Times New Roman" w:cs="Times New Roman"/>
                <w:sz w:val="16"/>
                <w:szCs w:val="24"/>
              </w:rPr>
              <w:t xml:space="preserve"> Habitat Quality</w:t>
            </w:r>
          </w:p>
        </w:tc>
        <w:tc>
          <w:tcPr>
            <w:tcW w:w="2756" w:type="dxa"/>
          </w:tcPr>
          <w:p w14:paraId="5F59933D"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LULC</w:t>
            </w:r>
          </w:p>
        </w:tc>
        <w:tc>
          <w:tcPr>
            <w:tcW w:w="2785" w:type="dxa"/>
          </w:tcPr>
          <w:p w14:paraId="0A7284EC"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Annual crop inventory,</w:t>
            </w:r>
          </w:p>
        </w:tc>
      </w:tr>
      <w:tr w:rsidR="00835EE4" w:rsidRPr="00835EE4" w14:paraId="6A9337A5" w14:textId="77777777" w:rsidTr="00F30C4C">
        <w:trPr>
          <w:trHeight w:val="275"/>
        </w:trPr>
        <w:tc>
          <w:tcPr>
            <w:cnfStyle w:val="001000000000" w:firstRow="0" w:lastRow="0" w:firstColumn="1" w:lastColumn="0" w:oddVBand="0" w:evenVBand="0" w:oddHBand="0" w:evenHBand="0" w:firstRowFirstColumn="0" w:firstRowLastColumn="0" w:lastRowFirstColumn="0" w:lastRowLastColumn="0"/>
            <w:tcW w:w="0" w:type="auto"/>
            <w:vMerge/>
          </w:tcPr>
          <w:p w14:paraId="5A630F4C" w14:textId="77777777" w:rsidR="00835EE4" w:rsidRPr="00835EE4" w:rsidRDefault="00835EE4" w:rsidP="00F30C4C">
            <w:pPr>
              <w:jc w:val="center"/>
              <w:rPr>
                <w:rFonts w:ascii="Times New Roman" w:hAnsi="Times New Roman" w:cs="Times New Roman"/>
                <w:i/>
                <w:sz w:val="16"/>
                <w:szCs w:val="24"/>
              </w:rPr>
            </w:pPr>
          </w:p>
        </w:tc>
        <w:tc>
          <w:tcPr>
            <w:tcW w:w="0" w:type="auto"/>
            <w:vMerge/>
          </w:tcPr>
          <w:p w14:paraId="254EAAFB"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p>
        </w:tc>
        <w:tc>
          <w:tcPr>
            <w:tcW w:w="2756" w:type="dxa"/>
          </w:tcPr>
          <w:p w14:paraId="560226E4"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Road (major &amp; secondary) and Railways</w:t>
            </w:r>
          </w:p>
        </w:tc>
        <w:tc>
          <w:tcPr>
            <w:tcW w:w="2785" w:type="dxa"/>
          </w:tcPr>
          <w:p w14:paraId="2B9ACC26"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Statistic Canada</w:t>
            </w:r>
          </w:p>
          <w:p w14:paraId="6C96A70B"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 xml:space="preserve">National Railway Network - NRWN - </w:t>
            </w:r>
            <w:proofErr w:type="spellStart"/>
            <w:r w:rsidRPr="00835EE4">
              <w:rPr>
                <w:rFonts w:ascii="Times New Roman" w:hAnsi="Times New Roman" w:cs="Times New Roman"/>
                <w:sz w:val="16"/>
                <w:szCs w:val="24"/>
              </w:rPr>
              <w:t>GeoBase</w:t>
            </w:r>
            <w:proofErr w:type="spellEnd"/>
            <w:r w:rsidRPr="00835EE4">
              <w:rPr>
                <w:rFonts w:ascii="Times New Roman" w:hAnsi="Times New Roman" w:cs="Times New Roman"/>
                <w:sz w:val="16"/>
                <w:szCs w:val="24"/>
              </w:rPr>
              <w:t xml:space="preserve"> Series</w:t>
            </w:r>
          </w:p>
        </w:tc>
      </w:tr>
      <w:tr w:rsidR="00835EE4" w:rsidRPr="00835EE4" w14:paraId="781704BB" w14:textId="77777777" w:rsidTr="00F30C4C">
        <w:trPr>
          <w:trHeight w:val="346"/>
        </w:trPr>
        <w:tc>
          <w:tcPr>
            <w:cnfStyle w:val="001000000000" w:firstRow="0" w:lastRow="0" w:firstColumn="1" w:lastColumn="0" w:oddVBand="0" w:evenVBand="0" w:oddHBand="0" w:evenHBand="0" w:firstRowFirstColumn="0" w:firstRowLastColumn="0" w:lastRowFirstColumn="0" w:lastRowLastColumn="0"/>
            <w:tcW w:w="0" w:type="auto"/>
            <w:vMerge/>
          </w:tcPr>
          <w:p w14:paraId="2CCAAF73" w14:textId="77777777" w:rsidR="00835EE4" w:rsidRPr="00835EE4" w:rsidRDefault="00835EE4" w:rsidP="00F30C4C">
            <w:pPr>
              <w:jc w:val="center"/>
              <w:rPr>
                <w:rFonts w:ascii="Times New Roman" w:hAnsi="Times New Roman" w:cs="Times New Roman"/>
                <w:i/>
                <w:sz w:val="16"/>
                <w:szCs w:val="24"/>
              </w:rPr>
            </w:pPr>
          </w:p>
        </w:tc>
        <w:tc>
          <w:tcPr>
            <w:tcW w:w="0" w:type="auto"/>
            <w:vMerge/>
          </w:tcPr>
          <w:p w14:paraId="76B9A7F0"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p>
        </w:tc>
        <w:tc>
          <w:tcPr>
            <w:tcW w:w="2756" w:type="dxa"/>
          </w:tcPr>
          <w:p w14:paraId="4B6CA83C"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 xml:space="preserve">Urban areas </w:t>
            </w:r>
          </w:p>
        </w:tc>
        <w:tc>
          <w:tcPr>
            <w:tcW w:w="2785" w:type="dxa"/>
          </w:tcPr>
          <w:p w14:paraId="227EDDFD"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835EE4">
              <w:rPr>
                <w:rFonts w:ascii="Times New Roman" w:hAnsi="Times New Roman" w:cs="Times New Roman"/>
                <w:sz w:val="16"/>
                <w:szCs w:val="24"/>
              </w:rPr>
              <w:t>Statistic Canada</w:t>
            </w:r>
          </w:p>
        </w:tc>
      </w:tr>
      <w:tr w:rsidR="00835EE4" w:rsidRPr="00835EE4" w14:paraId="599C754A" w14:textId="77777777" w:rsidTr="00F30C4C">
        <w:trPr>
          <w:trHeight w:val="191"/>
        </w:trPr>
        <w:tc>
          <w:tcPr>
            <w:cnfStyle w:val="001000000000" w:firstRow="0" w:lastRow="0" w:firstColumn="1" w:lastColumn="0" w:oddVBand="0" w:evenVBand="0" w:oddHBand="0" w:evenHBand="0" w:firstRowFirstColumn="0" w:firstRowLastColumn="0" w:lastRowFirstColumn="0" w:lastRowLastColumn="0"/>
            <w:tcW w:w="0" w:type="auto"/>
            <w:vMerge/>
          </w:tcPr>
          <w:p w14:paraId="261D6143" w14:textId="77777777" w:rsidR="00835EE4" w:rsidRPr="00835EE4" w:rsidRDefault="00835EE4" w:rsidP="00F30C4C">
            <w:pPr>
              <w:jc w:val="center"/>
              <w:rPr>
                <w:rFonts w:ascii="Times New Roman" w:hAnsi="Times New Roman" w:cs="Times New Roman"/>
                <w:i/>
                <w:sz w:val="16"/>
                <w:szCs w:val="24"/>
              </w:rPr>
            </w:pPr>
          </w:p>
        </w:tc>
        <w:tc>
          <w:tcPr>
            <w:tcW w:w="0" w:type="auto"/>
            <w:vMerge/>
          </w:tcPr>
          <w:p w14:paraId="50290D66" w14:textId="77777777" w:rsidR="00835EE4" w:rsidRPr="00835EE4" w:rsidRDefault="00835EE4" w:rsidP="00F30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p>
        </w:tc>
        <w:tc>
          <w:tcPr>
            <w:tcW w:w="2756" w:type="dxa"/>
          </w:tcPr>
          <w:p w14:paraId="51F3D586" w14:textId="77777777" w:rsidR="00835EE4" w:rsidRPr="00835EE4" w:rsidRDefault="00835EE4" w:rsidP="00F30C4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7"/>
              </w:rPr>
            </w:pPr>
            <w:r w:rsidRPr="00835EE4">
              <w:rPr>
                <w:rFonts w:ascii="Times New Roman" w:hAnsi="Times New Roman" w:cs="Times New Roman"/>
                <w:sz w:val="16"/>
                <w:szCs w:val="17"/>
              </w:rPr>
              <w:t>Energy infrastructure</w:t>
            </w:r>
          </w:p>
        </w:tc>
        <w:tc>
          <w:tcPr>
            <w:tcW w:w="2785" w:type="dxa"/>
          </w:tcPr>
          <w:p w14:paraId="12535CDC" w14:textId="77777777" w:rsidR="00835EE4" w:rsidRPr="00835EE4" w:rsidRDefault="00835EE4" w:rsidP="00F30C4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7"/>
              </w:rPr>
            </w:pPr>
            <w:r w:rsidRPr="00835EE4">
              <w:rPr>
                <w:rFonts w:ascii="Times New Roman" w:hAnsi="Times New Roman" w:cs="Times New Roman"/>
                <w:sz w:val="16"/>
                <w:szCs w:val="17"/>
              </w:rPr>
              <w:t xml:space="preserve">Alberta Energy Regulator (AER) </w:t>
            </w:r>
          </w:p>
          <w:p w14:paraId="231E1BF8" w14:textId="77777777" w:rsidR="00835EE4" w:rsidRPr="00835EE4" w:rsidRDefault="00835EE4" w:rsidP="00F30C4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7"/>
              </w:rPr>
            </w:pPr>
            <w:r w:rsidRPr="00835EE4">
              <w:rPr>
                <w:rFonts w:ascii="Times New Roman" w:hAnsi="Times New Roman" w:cs="Times New Roman"/>
                <w:sz w:val="16"/>
                <w:szCs w:val="17"/>
              </w:rPr>
              <w:t>Government of Manitoba Petroleum: Interactive GIS Map Gallery</w:t>
            </w:r>
          </w:p>
          <w:p w14:paraId="5523CDD6" w14:textId="77777777" w:rsidR="00835EE4" w:rsidRPr="00835EE4" w:rsidRDefault="00835EE4" w:rsidP="00F30C4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7"/>
              </w:rPr>
            </w:pPr>
            <w:r w:rsidRPr="00835EE4">
              <w:rPr>
                <w:rFonts w:ascii="Times New Roman" w:hAnsi="Times New Roman" w:cs="Times New Roman"/>
                <w:sz w:val="16"/>
                <w:szCs w:val="17"/>
              </w:rPr>
              <w:t xml:space="preserve">Government of </w:t>
            </w:r>
            <w:proofErr w:type="spellStart"/>
            <w:r w:rsidRPr="00835EE4">
              <w:rPr>
                <w:rFonts w:ascii="Times New Roman" w:hAnsi="Times New Roman" w:cs="Times New Roman"/>
                <w:sz w:val="16"/>
                <w:szCs w:val="17"/>
              </w:rPr>
              <w:t>Saskatchewn</w:t>
            </w:r>
            <w:proofErr w:type="spellEnd"/>
            <w:r w:rsidRPr="00835EE4">
              <w:rPr>
                <w:rFonts w:ascii="Times New Roman" w:hAnsi="Times New Roman" w:cs="Times New Roman"/>
                <w:sz w:val="16"/>
                <w:szCs w:val="17"/>
              </w:rPr>
              <w:t xml:space="preserve">. (2019). Mining and petroleum </w:t>
            </w:r>
            <w:proofErr w:type="spellStart"/>
            <w:r w:rsidRPr="00835EE4">
              <w:rPr>
                <w:rFonts w:ascii="Times New Roman" w:hAnsi="Times New Roman" w:cs="Times New Roman"/>
                <w:sz w:val="16"/>
                <w:szCs w:val="17"/>
              </w:rPr>
              <w:t>GeoAtlas</w:t>
            </w:r>
            <w:proofErr w:type="spellEnd"/>
            <w:r w:rsidRPr="00835EE4">
              <w:rPr>
                <w:rFonts w:ascii="Times New Roman" w:hAnsi="Times New Roman" w:cs="Times New Roman"/>
                <w:sz w:val="16"/>
                <w:szCs w:val="17"/>
              </w:rPr>
              <w:t xml:space="preserve">. </w:t>
            </w:r>
          </w:p>
        </w:tc>
      </w:tr>
    </w:tbl>
    <w:p w14:paraId="624C7CF6" w14:textId="77777777" w:rsidR="00835EE4" w:rsidRPr="00835EE4" w:rsidRDefault="00835EE4" w:rsidP="00835EE4">
      <w:pPr>
        <w:rPr>
          <w:rFonts w:ascii="Times New Roman" w:hAnsi="Times New Roman" w:cs="Times New Roman"/>
        </w:rPr>
      </w:pPr>
    </w:p>
    <w:p w14:paraId="345B9D98" w14:textId="3037DA4C" w:rsidR="00061524" w:rsidRPr="00061524" w:rsidRDefault="00835EE4" w:rsidP="00061524">
      <w:pPr>
        <w:pStyle w:val="ListParagraph"/>
        <w:numPr>
          <w:ilvl w:val="1"/>
          <w:numId w:val="4"/>
        </w:numPr>
        <w:spacing w:line="360" w:lineRule="auto"/>
        <w:rPr>
          <w:rFonts w:ascii="Times New Roman" w:hAnsi="Times New Roman" w:cs="Times New Roman"/>
          <w:b/>
          <w:bCs/>
          <w:sz w:val="24"/>
          <w:szCs w:val="24"/>
        </w:rPr>
      </w:pPr>
      <w:r w:rsidRPr="00061524">
        <w:rPr>
          <w:rFonts w:ascii="Times New Roman" w:hAnsi="Times New Roman" w:cs="Times New Roman"/>
          <w:b/>
          <w:bCs/>
          <w:sz w:val="24"/>
          <w:szCs w:val="24"/>
        </w:rPr>
        <w:t>Pollination</w:t>
      </w:r>
    </w:p>
    <w:p w14:paraId="2B62C47B" w14:textId="32A9BA44" w:rsidR="00835EE4" w:rsidRPr="008C2D0A" w:rsidRDefault="00835EE4" w:rsidP="008C2D0A">
      <w:pPr>
        <w:spacing w:line="360" w:lineRule="auto"/>
        <w:rPr>
          <w:rFonts w:ascii="Times New Roman" w:hAnsi="Times New Roman" w:cs="Times New Roman"/>
          <w:sz w:val="24"/>
          <w:szCs w:val="24"/>
        </w:rPr>
      </w:pPr>
      <w:r w:rsidRPr="008C2D0A">
        <w:rPr>
          <w:rFonts w:ascii="Times New Roman" w:hAnsi="Times New Roman" w:cs="Times New Roman"/>
          <w:sz w:val="24"/>
          <w:szCs w:val="24"/>
        </w:rPr>
        <w:t xml:space="preserve"> Pollinator habitat sufficiency was assessed using the </w:t>
      </w:r>
      <w:proofErr w:type="spellStart"/>
      <w:r w:rsidRPr="008C2D0A">
        <w:rPr>
          <w:rFonts w:ascii="Times New Roman" w:hAnsi="Times New Roman" w:cs="Times New Roman"/>
          <w:sz w:val="24"/>
          <w:szCs w:val="24"/>
        </w:rPr>
        <w:t>InVEST</w:t>
      </w:r>
      <w:proofErr w:type="spellEnd"/>
      <w:r w:rsidRPr="008C2D0A">
        <w:rPr>
          <w:rFonts w:ascii="Times New Roman" w:hAnsi="Times New Roman" w:cs="Times New Roman"/>
          <w:sz w:val="24"/>
          <w:szCs w:val="24"/>
        </w:rPr>
        <w:t xml:space="preserve"> Crop Pollination model. The predicted mean total pollinator abundance during spring and summer was used as a proxy for the pollination supply capacity of the landscape. Three key pollinator guilds in the prairies were considered: bumblebees, sweat bees, and mining bees, each with distinct seasonal activity patterns and foraging distances. These guilds play a critical role in ecosystem function by supplying pollination to flowering plant species, including crops. Initial parameters were taken from </w:t>
      </w:r>
      <w:r w:rsidRPr="008C2D0A">
        <w:rPr>
          <w:rFonts w:ascii="Times New Roman" w:hAnsi="Times New Roman" w:cs="Times New Roman"/>
          <w:sz w:val="24"/>
          <w:szCs w:val="24"/>
        </w:rPr>
        <w:fldChar w:fldCharType="begin" w:fldLock="1"/>
      </w:r>
      <w:r w:rsidRPr="008C2D0A">
        <w:rPr>
          <w:rFonts w:ascii="Times New Roman" w:hAnsi="Times New Roman" w:cs="Times New Roman"/>
          <w:sz w:val="24"/>
          <w:szCs w:val="24"/>
        </w:rPr>
        <w:instrText>ADDIN CSL_CITATION {"citationItems":[{"id":"ITEM-1","itemData":{"DOI":"10.1016/j.ecolmodel.2023.110452","ISSN":"03043800","author":[{"dropping-particle":"","family":"Pashanejad","given":"Ehsan","non-dropping-particle":"","parse-names":false,"suffix":""},{"dropping-particle":"","family":"Thierry","given":"Hugo","non-dropping-particle":"","parse-names":false,"suffix":""},{"dropping-particle":"","family":"Robinson","given":"Brian E.","non-dropping-particle":"","parse-names":false,"suffix":""},{"dropping-particle":"","family":"Parrott","given":"Lael","non-dropping-particle":"","parse-names":false,"suffix":""}],"container-title":"Ecological Modelling","id":"ITEM-1","issued":{"date-parts":[["2023","10"]]},"page":"110452","title":"The application of semantic modelling to map pollination service provisioning at large landscape scales","type":"article-journal","volume":"484"},"uris":["http://www.mendeley.com/documents/?uuid=fc1dbd6e-d3c2-33c3-b1e0-c20ab2b0be0d"]}],"mendeley":{"formattedCitation":"(Pashanejad et al. 2023)","manualFormatting":"Pashanejad et al. (2023)","plainTextFormattedCitation":"(Pashanejad et al. 2023)","previouslyFormattedCitation":"(Pashanejad et al. 2023)"},"properties":{"noteIndex":0},"schema":"https://github.com/citation-style-language/schema/raw/master/csl-citation.json"}</w:instrText>
      </w:r>
      <w:r w:rsidRPr="008C2D0A">
        <w:rPr>
          <w:rFonts w:ascii="Times New Roman" w:hAnsi="Times New Roman" w:cs="Times New Roman"/>
          <w:sz w:val="24"/>
          <w:szCs w:val="24"/>
        </w:rPr>
        <w:fldChar w:fldCharType="separate"/>
      </w:r>
      <w:r w:rsidRPr="008C2D0A">
        <w:rPr>
          <w:rFonts w:ascii="Times New Roman" w:hAnsi="Times New Roman" w:cs="Times New Roman"/>
          <w:noProof/>
          <w:sz w:val="24"/>
          <w:szCs w:val="24"/>
        </w:rPr>
        <w:t>Pashanejad et al. (2023)</w:t>
      </w:r>
      <w:r w:rsidRPr="008C2D0A">
        <w:rPr>
          <w:rFonts w:ascii="Times New Roman" w:hAnsi="Times New Roman" w:cs="Times New Roman"/>
          <w:sz w:val="24"/>
          <w:szCs w:val="24"/>
        </w:rPr>
        <w:fldChar w:fldCharType="end"/>
      </w:r>
      <w:r w:rsidRPr="008C2D0A">
        <w:rPr>
          <w:rFonts w:ascii="Times New Roman" w:hAnsi="Times New Roman" w:cs="Times New Roman"/>
          <w:sz w:val="24"/>
          <w:szCs w:val="24"/>
        </w:rPr>
        <w:t xml:space="preserve">, which used a similar approach in ARIES. Model coefficients refined based on local literature reviews and expert opinions. </w:t>
      </w:r>
    </w:p>
    <w:p w14:paraId="432B9DD1" w14:textId="708A3B84" w:rsidR="00061524" w:rsidRDefault="00835EE4" w:rsidP="00061524">
      <w:pPr>
        <w:pStyle w:val="NormalWeb"/>
        <w:numPr>
          <w:ilvl w:val="1"/>
          <w:numId w:val="4"/>
        </w:numPr>
        <w:spacing w:line="360" w:lineRule="auto"/>
        <w:rPr>
          <w:rFonts w:eastAsiaTheme="minorEastAsia"/>
          <w:b/>
          <w:bCs/>
        </w:rPr>
      </w:pPr>
      <w:r w:rsidRPr="008C2D0A">
        <w:rPr>
          <w:rFonts w:eastAsiaTheme="minorEastAsia"/>
          <w:b/>
          <w:bCs/>
        </w:rPr>
        <w:t>Carbon storage</w:t>
      </w:r>
    </w:p>
    <w:p w14:paraId="071877BB" w14:textId="41144F1B" w:rsidR="00835EE4" w:rsidRPr="008C2D0A" w:rsidDel="00526D8E" w:rsidRDefault="00835EE4" w:rsidP="008C2D0A">
      <w:pPr>
        <w:pStyle w:val="NormalWeb"/>
        <w:spacing w:line="360" w:lineRule="auto"/>
        <w:rPr>
          <w:rFonts w:eastAsiaTheme="minorEastAsia"/>
        </w:rPr>
      </w:pPr>
      <w:r w:rsidRPr="008C2D0A">
        <w:t xml:space="preserve"> </w:t>
      </w:r>
      <w:r w:rsidRPr="008C2D0A">
        <w:rPr>
          <w:rFonts w:eastAsiaTheme="minorEastAsia"/>
        </w:rPr>
        <w:t xml:space="preserve">We used the </w:t>
      </w:r>
      <w:proofErr w:type="spellStart"/>
      <w:r w:rsidRPr="008C2D0A">
        <w:rPr>
          <w:rFonts w:eastAsiaTheme="minorEastAsia"/>
        </w:rPr>
        <w:t>InVEST</w:t>
      </w:r>
      <w:proofErr w:type="spellEnd"/>
      <w:r w:rsidRPr="008C2D0A">
        <w:rPr>
          <w:rFonts w:eastAsiaTheme="minorEastAsia"/>
        </w:rPr>
        <w:t xml:space="preserve"> Carbon Storage and Sequestration model to identify the spatial distribution of areas with the highest carbon storage within the study area. This model is based on the carbon cycle and accounts for four distinct carbon pools—aboveground biomass, belowground biomass, dead organic matter, and soil carbon. It estimates total carbon storage at the pixel level using land cover data</w:t>
      </w:r>
      <w:r w:rsidR="008C2D0A" w:rsidRPr="008C2D0A">
        <w:rPr>
          <w:rFonts w:eastAsiaTheme="minorEastAsia"/>
        </w:rPr>
        <w:t xml:space="preserve">. </w:t>
      </w:r>
      <w:r w:rsidRPr="008C2D0A">
        <w:rPr>
          <w:rFonts w:eastAsiaTheme="minorEastAsia"/>
        </w:rPr>
        <w:t xml:space="preserve">For this study, we adopted the model parameters and coefficients from </w:t>
      </w:r>
      <w:r w:rsidRPr="008C2D0A">
        <w:rPr>
          <w:rFonts w:eastAsiaTheme="minorEastAsia"/>
        </w:rPr>
        <w:fldChar w:fldCharType="begin" w:fldLock="1"/>
      </w:r>
      <w:r w:rsidRPr="008C2D0A">
        <w:rPr>
          <w:rFonts w:eastAsiaTheme="minorEastAsia"/>
        </w:rPr>
        <w:instrText>ADDIN CSL_CITATION {"citationItems":[{"id":"ITEM-1","itemData":{"DOI":"10.1016/j.ecoser.2024.101639","ISSN":"22120416","author":[{"dropping-particle":"","family":"Pashanejad","given":"Ehsan","non-dropping-particle":"","parse-names":false,"suffix":""},{"dropping-particle":"","family":"Kharrazi","given":"Ali","non-dropping-particle":"","parse-names":false,"suffix":""},{"dropping-particle":"","family":"Araujo-Gutierrez","given":"Zuelclady M.F.","non-dropping-particle":"","parse-names":false,"suffix":""},{"dropping-particle":"","family":"Robinson","given":"Brian E.","non-dropping-particle":"","parse-names":false,"suffix":""},{"dropping-particle":"","family":"Fath","given":"Brian D.","non-dropping-particle":"","parse-names":false,"suffix":""},{"dropping-particle":"","family":"Parrott","given":"Lael","non-dropping-particle":"","parse-names":false,"suffix":""}],"container-title":"Ecosystem Services","id":"ITEM-1","issued":{"date-parts":[["2024","8"]]},"page":"101639","title":"A functional connectivity approach for exploring interactions of multiple ecosystem services in the context of agricultural landscapes in the Canadian prairies","type":"article-journal","volume":"68"},"uris":["http://www.mendeley.com/documents/?uuid=454234de-e5a8-4459-b41a-4412c4618028"]}],"mendeley":{"formattedCitation":"(Pashanejad et al. 2024)","manualFormatting":"Pashanejad et al. (2024)","plainTextFormattedCitation":"(Pashanejad et al. 2024)","previouslyFormattedCitation":"(Pashanejad et al. 2024)"},"properties":{"noteIndex":0},"schema":"https://github.com/citation-style-language/schema/raw/master/csl-citation.json"}</w:instrText>
      </w:r>
      <w:r w:rsidRPr="008C2D0A">
        <w:rPr>
          <w:rFonts w:eastAsiaTheme="minorEastAsia"/>
        </w:rPr>
        <w:fldChar w:fldCharType="separate"/>
      </w:r>
      <w:r w:rsidRPr="008C2D0A">
        <w:rPr>
          <w:rFonts w:eastAsiaTheme="minorEastAsia"/>
          <w:noProof/>
        </w:rPr>
        <w:t>Pashanejad et al. (2024)</w:t>
      </w:r>
      <w:r w:rsidRPr="008C2D0A">
        <w:rPr>
          <w:rFonts w:eastAsiaTheme="minorEastAsia"/>
        </w:rPr>
        <w:fldChar w:fldCharType="end"/>
      </w:r>
      <w:r w:rsidRPr="008C2D0A">
        <w:rPr>
          <w:rFonts w:eastAsiaTheme="minorEastAsia"/>
        </w:rPr>
        <w:t xml:space="preserve">, conducted on a smaller scale in central Alberta. Leveraging these published parameters, including land cover-specific coefficients derived from both global and national datasets, we applied the model to the entire Canadian prairies. Specifically, carbon pool values for aboveground and belowground biomass were sourced from a global dataset </w:t>
      </w:r>
      <w:r w:rsidRPr="008C2D0A">
        <w:rPr>
          <w:rFonts w:eastAsiaTheme="minorEastAsia"/>
        </w:rPr>
        <w:fldChar w:fldCharType="begin" w:fldLock="1"/>
      </w:r>
      <w:r w:rsidRPr="008C2D0A">
        <w:rPr>
          <w:rFonts w:eastAsiaTheme="minorEastAsia"/>
        </w:rPr>
        <w:instrText>ADDIN CSL_CITATION {"citationItems":[{"id":"ITEM-1","itemData":{"author":[{"dropping-particle":"","family":"Spawn","given":"S A","non-dropping-particle":"","parse-names":false,"suffix":""},{"dropping-particle":"","family":"Gibbs","given":"H K","non-dropping-particle":"","parse-names":false,"suffix":""}],"container-title":"Ornl Daac","id":"ITEM-1","issued":{"date-parts":[["2020"]]},"title":"Global aboveground and belowground biomass carbon density maps for the year 2010","type":"article-journal"},"uris":["http://www.mendeley.com/documents/?uuid=d7fbf5a7-7e23-47a5-8cf3-09a0c912b7b9"]}],"mendeley":{"formattedCitation":"(Spawn and Gibbs 2020)","plainTextFormattedCitation":"(Spawn and Gibbs 2020)","previouslyFormattedCitation":"(Spawn and Gibbs 2020)"},"properties":{"noteIndex":0},"schema":"https://github.com/citation-style-language/schema/raw/master/csl-citation.json"}</w:instrText>
      </w:r>
      <w:r w:rsidRPr="008C2D0A">
        <w:rPr>
          <w:rFonts w:eastAsiaTheme="minorEastAsia"/>
        </w:rPr>
        <w:fldChar w:fldCharType="separate"/>
      </w:r>
      <w:r w:rsidRPr="008C2D0A">
        <w:rPr>
          <w:rFonts w:eastAsiaTheme="minorEastAsia"/>
          <w:noProof/>
        </w:rPr>
        <w:t>(Spawn and Gibbs 2020)</w:t>
      </w:r>
      <w:r w:rsidRPr="008C2D0A">
        <w:rPr>
          <w:rFonts w:eastAsiaTheme="minorEastAsia"/>
        </w:rPr>
        <w:fldChar w:fldCharType="end"/>
      </w:r>
      <w:r w:rsidRPr="008C2D0A">
        <w:rPr>
          <w:rFonts w:eastAsiaTheme="minorEastAsia"/>
        </w:rPr>
        <w:t xml:space="preserve">, while soil carbon and dead organic matter values were informed by a national dataset produced by WWF-Canada </w:t>
      </w:r>
      <w:r w:rsidRPr="008C2D0A">
        <w:rPr>
          <w:rFonts w:eastAsiaTheme="minorEastAsia"/>
        </w:rPr>
        <w:fldChar w:fldCharType="begin" w:fldLock="1"/>
      </w:r>
      <w:r w:rsidRPr="008C2D0A">
        <w:rPr>
          <w:rFonts w:eastAsiaTheme="minorEastAsia"/>
        </w:rPr>
        <w:instrText>ADDIN CSL_CITATION {"citationItems":[{"id":"ITEM-1","itemData":{"DOI":"10.1029/2021GB007213","ISSN":"0886-6236","author":[{"dropping-particle":"","family":"Sothe","given":"Camile","non-dropping-particle":"","parse-names":false,"suffix":""},{"dropping-particle":"","family":"Gonsamo","given":"Alemu","non-dropping-particle":"","parse-names":false,"suffix":""},{"dropping-particle":"","family":"Arabian","given":"Joyce","non-dropping-particle":"","parse-names":false,"suffix":""},{"dropping-particle":"","family":"Kurz","given":"Werner A.","non-dropping-particle":"","parse-names":false,"suffix":""},{"dropping-particle":"","family":"Finkelstein","given":"Sarah A.","non-dropping-particle":"","parse-names":false,"suffix":""},{"dropping-particle":"","family":"Snider","given":"James","non-dropping-particle":"","parse-names":false,"suffix":""}],"container-title":"Global Biogeochemical Cycles","id":"ITEM-1","issue":"2","issued":{"date-parts":[["2022","2","17"]]},"title":"Large Soil Carbon Storage in Terrestrial Ecosystems of Canada","type":"article-journal","volume":"36"},"uris":["http://www.mendeley.com/documents/?uuid=32fc7aa5-8cae-4f93-b63e-0a39d8953405"]}],"mendeley":{"formattedCitation":"(Sothe et al. 2022)","plainTextFormattedCitation":"(Sothe et al. 2022)","previouslyFormattedCitation":"(Sothe et al. 2022)"},"properties":{"noteIndex":0},"schema":"https://github.com/citation-style-language/schema/raw/master/csl-citation.json"}</w:instrText>
      </w:r>
      <w:r w:rsidRPr="008C2D0A">
        <w:rPr>
          <w:rFonts w:eastAsiaTheme="minorEastAsia"/>
        </w:rPr>
        <w:fldChar w:fldCharType="separate"/>
      </w:r>
      <w:r w:rsidRPr="008C2D0A">
        <w:rPr>
          <w:rFonts w:eastAsiaTheme="minorEastAsia"/>
          <w:noProof/>
        </w:rPr>
        <w:t>(Sothe et al. 2022)</w:t>
      </w:r>
      <w:r w:rsidRPr="008C2D0A">
        <w:rPr>
          <w:rFonts w:eastAsiaTheme="minorEastAsia"/>
        </w:rPr>
        <w:fldChar w:fldCharType="end"/>
      </w:r>
      <w:r w:rsidRPr="008C2D0A">
        <w:rPr>
          <w:rFonts w:eastAsiaTheme="minorEastAsia"/>
        </w:rPr>
        <w:t xml:space="preserve">. </w:t>
      </w:r>
    </w:p>
    <w:p w14:paraId="7CFA59EC" w14:textId="4DCB2BF4" w:rsidR="00061524" w:rsidRPr="00061524" w:rsidRDefault="00835EE4" w:rsidP="00061524">
      <w:pPr>
        <w:pStyle w:val="ListParagraph"/>
        <w:numPr>
          <w:ilvl w:val="1"/>
          <w:numId w:val="4"/>
        </w:numPr>
        <w:spacing w:line="360" w:lineRule="auto"/>
        <w:rPr>
          <w:rFonts w:ascii="Times New Roman" w:hAnsi="Times New Roman" w:cs="Times New Roman"/>
          <w:b/>
          <w:bCs/>
          <w:sz w:val="24"/>
          <w:szCs w:val="24"/>
        </w:rPr>
      </w:pPr>
      <w:r w:rsidRPr="00061524">
        <w:rPr>
          <w:rFonts w:ascii="Times New Roman" w:hAnsi="Times New Roman" w:cs="Times New Roman"/>
          <w:b/>
          <w:bCs/>
          <w:sz w:val="24"/>
          <w:szCs w:val="24"/>
        </w:rPr>
        <w:t>Soil erosion control (Sediment Retention)</w:t>
      </w:r>
    </w:p>
    <w:p w14:paraId="50B5FAA1" w14:textId="740A45CC" w:rsidR="00835EE4" w:rsidRPr="008C2D0A" w:rsidRDefault="00835EE4" w:rsidP="008C2D0A">
      <w:pPr>
        <w:spacing w:line="360" w:lineRule="auto"/>
        <w:rPr>
          <w:rFonts w:ascii="Times New Roman" w:hAnsi="Times New Roman" w:cs="Times New Roman"/>
          <w:noProof/>
          <w:color w:val="000000" w:themeColor="text1"/>
          <w:sz w:val="24"/>
          <w:szCs w:val="24"/>
        </w:rPr>
      </w:pPr>
      <w:r w:rsidRPr="008C2D0A">
        <w:rPr>
          <w:rFonts w:ascii="Times New Roman" w:hAnsi="Times New Roman" w:cs="Times New Roman"/>
          <w:sz w:val="24"/>
          <w:szCs w:val="24"/>
        </w:rPr>
        <w:t xml:space="preserve">Similar to pollination and carbon storage, we used the </w:t>
      </w:r>
      <w:proofErr w:type="spellStart"/>
      <w:r w:rsidRPr="008C2D0A">
        <w:rPr>
          <w:rFonts w:ascii="Times New Roman" w:hAnsi="Times New Roman" w:cs="Times New Roman"/>
          <w:sz w:val="24"/>
          <w:szCs w:val="24"/>
        </w:rPr>
        <w:t>InVEST</w:t>
      </w:r>
      <w:proofErr w:type="spellEnd"/>
      <w:r w:rsidRPr="008C2D0A">
        <w:rPr>
          <w:rFonts w:ascii="Times New Roman" w:hAnsi="Times New Roman" w:cs="Times New Roman"/>
          <w:sz w:val="24"/>
          <w:szCs w:val="24"/>
        </w:rPr>
        <w:t xml:space="preserve"> Sediment Delivery Ratio (SDR) model, incorporating previous parameterization specifically tailored for the prairies </w:t>
      </w:r>
      <w:r w:rsidRPr="008C2D0A">
        <w:rPr>
          <w:rFonts w:ascii="Times New Roman" w:hAnsi="Times New Roman" w:cs="Times New Roman"/>
          <w:sz w:val="24"/>
          <w:szCs w:val="24"/>
        </w:rPr>
        <w:fldChar w:fldCharType="begin" w:fldLock="1"/>
      </w:r>
      <w:r w:rsidRPr="008C2D0A">
        <w:rPr>
          <w:rFonts w:ascii="Times New Roman" w:hAnsi="Times New Roman" w:cs="Times New Roman"/>
          <w:sz w:val="24"/>
          <w:szCs w:val="24"/>
        </w:rPr>
        <w:instrText>ADDIN CSL_CITATION {"citationItems":[{"id":"ITEM-1","itemData":{"DOI":"10.1016/j.ecoser.2024.101639","ISSN":"22120416","author":[{"dropping-particle":"","family":"Pashanejad","given":"Ehsan","non-dropping-particle":"","parse-names":false,"suffix":""},{"dropping-particle":"","family":"Kharrazi","given":"Ali","non-dropping-particle":"","parse-names":false,"suffix":""},{"dropping-particle":"","family":"Araujo-Gutierrez","given":"Zuelclady M.F.","non-dropping-particle":"","parse-names":false,"suffix":""},{"dropping-particle":"","family":"Robinson","given":"Brian E.","non-dropping-particle":"","parse-names":false,"suffix":""},{"dropping-particle":"","family":"Fath","given":"Brian D.","non-dropping-particle":"","parse-names":false,"suffix":""},{"dropping-particle":"","family":"Parrott","given":"Lael","non-dropping-particle":"","parse-names":false,"suffix":""}],"container-title":"Ecosystem Services","id":"ITEM-1","issued":{"date-parts":[["2024","8"]]},"page":"101639","title":"A functional connectivity approach for exploring interactions of multiple ecosystem services in the context of agricultural landscapes in the Canadian prairies","type":"article-journal","volume":"68"},"uris":["http://www.mendeley.com/documents/?uuid=454234de-e5a8-4459-b41a-4412c4618028"]}],"mendeley":{"formattedCitation":"(Pashanejad et al. 2024)","plainTextFormattedCitation":"(Pashanejad et al. 2024)","previouslyFormattedCitation":"(Pashanejad et al. 2024)"},"properties":{"noteIndex":0},"schema":"https://github.com/citation-style-language/schema/raw/master/csl-citation.json"}</w:instrText>
      </w:r>
      <w:r w:rsidRPr="008C2D0A">
        <w:rPr>
          <w:rFonts w:ascii="Times New Roman" w:hAnsi="Times New Roman" w:cs="Times New Roman"/>
          <w:sz w:val="24"/>
          <w:szCs w:val="24"/>
        </w:rPr>
        <w:fldChar w:fldCharType="separate"/>
      </w:r>
      <w:r w:rsidRPr="008C2D0A">
        <w:rPr>
          <w:rFonts w:ascii="Times New Roman" w:hAnsi="Times New Roman" w:cs="Times New Roman"/>
          <w:noProof/>
          <w:sz w:val="24"/>
          <w:szCs w:val="24"/>
        </w:rPr>
        <w:t>(Pashanejad et al. 2024)</w:t>
      </w:r>
      <w:r w:rsidRPr="008C2D0A">
        <w:rPr>
          <w:rFonts w:ascii="Times New Roman" w:hAnsi="Times New Roman" w:cs="Times New Roman"/>
          <w:sz w:val="24"/>
          <w:szCs w:val="24"/>
        </w:rPr>
        <w:fldChar w:fldCharType="end"/>
      </w:r>
      <w:r w:rsidRPr="008C2D0A">
        <w:rPr>
          <w:rFonts w:ascii="Times New Roman" w:hAnsi="Times New Roman" w:cs="Times New Roman"/>
          <w:sz w:val="24"/>
          <w:szCs w:val="24"/>
        </w:rPr>
        <w:t xml:space="preserve">. The SDR model applies the Revised Universal Soil Loss Equation (RUSLE), which </w:t>
      </w:r>
      <w:r w:rsidRPr="008C2D0A">
        <w:rPr>
          <w:rFonts w:ascii="Times New Roman" w:hAnsi="Times New Roman" w:cs="Times New Roman"/>
          <w:sz w:val="24"/>
          <w:szCs w:val="24"/>
        </w:rPr>
        <w:lastRenderedPageBreak/>
        <w:t xml:space="preserve">factors in climate, soil texture, topography, and land cover, alongside a connectivity index that accounts for the surrounding upslope and downslope characteristics of each pixel </w:t>
      </w:r>
      <w:r w:rsidRPr="008C2D0A">
        <w:rPr>
          <w:rFonts w:ascii="Times New Roman" w:hAnsi="Times New Roman" w:cs="Times New Roman"/>
          <w:sz w:val="24"/>
          <w:szCs w:val="24"/>
        </w:rPr>
        <w:fldChar w:fldCharType="begin" w:fldLock="1"/>
      </w:r>
      <w:r w:rsidRPr="008C2D0A">
        <w:rPr>
          <w:rFonts w:ascii="Times New Roman" w:hAnsi="Times New Roman" w:cs="Times New Roman"/>
          <w:sz w:val="24"/>
          <w:szCs w:val="24"/>
        </w:rPr>
        <w:instrText>ADDIN CSL_CITATION {"citationItems":[{"id":"ITEM-1","itemData":{"DOI":"10.1038/s41559-022-01934-5","ISSN":"2397-334X","abstract":"Sustaining the organisms, ecosystems and processes that underpin human wellbeing is necessary to achieve sustainable development. Here we define critical natural assets as the natural and semi-natural ecosystems that provide 90% of the total current magnitude of 14 types of nature’s contributions to people (NCP), and we map the global locations of these critical natural assets at 2 km resolution. Critical natural assets for maintaining local-scale NCP (12 of the 14 NCP) account for 30% of total global land area and 24% of national territorial waters, while 44% of land area is required to also maintain two global-scale NCP (carbon storage and moisture recycling). These areas overlap substantially with cultural diversity (areas containing 96% of global languages) and biodiversity (covering area requirements for 73% of birds and 66% of mammals). At least 87% of the world’s population live in the areas benefitting from critical natural assets for local-scale NCP, while only 16% live on the lands containing these assets. Many of the NCP mapped here are left out of international agreements focused on conserving species or mitigating climate change, yet this analysis shows that explicitly prioritizing critical natural assets and the NCP they provide could simultaneously advance development, climate and conservation goals.","author":[{"dropping-particle":"","family":"Chaplin-Kramer","given":"Rebecca","non-dropping-particle":"","parse-names":false,"suffix":""},{"dropping-particle":"","family":"Neugarten","given":"Rachel A.","non-dropping-particle":"","parse-names":false,"suffix":""},{"dropping-particle":"","family":"Sharp","given":"Richard P.","non-dropping-particle":"","parse-names":false,"suffix":""},{"dropping-particle":"","family":"Collins","given":"Pamela M.","non-dropping-particle":"","parse-names":false,"suffix":""},{"dropping-particle":"","family":"Polasky","given":"Stephen","non-dropping-particle":"","parse-names":false,"suffix":""},{"dropping-particle":"","family":"Hole","given":"David","non-dropping-particle":"","parse-names":false,"suffix":""},{"dropping-particle":"","family":"Schuster","given":"Richard","non-dropping-particle":"","parse-names":false,"suffix":""},{"dropping-particle":"","family":"Strimas-Mackey","given":"Matthew","non-dropping-particle":"","parse-names":false,"suffix":""},{"dropping-particle":"","family":"Mulligan","given":"Mark","non-dropping-particle":"","parse-names":false,"suffix":""},{"dropping-particle":"","family":"Brandon","given":"Carter","non-dropping-particle":"","parse-names":false,"suffix":""},{"dropping-particle":"","family":"Diaz","given":"Sandra","non-dropping-particle":"","parse-names":false,"suffix":""},{"dropping-particle":"","family":"Fluet-Chouinard","given":"Etienne","non-dropping-particle":"","parse-names":false,"suffix":""},{"dropping-particle":"","family":"Gorenflo","given":"L. J.","non-dropping-particle":"","parse-names":false,"suffix":""},{"dropping-particle":"","family":"Johnson","given":"Justin A.","non-dropping-particle":"","parse-names":false,"suffix":""},{"dropping-particle":"","family":"Kennedy","given":"Christina M.","non-dropping-particle":"","parse-names":false,"suffix":""},{"dropping-particle":"","family":"Keys","given":"Patrick W.","non-dropping-particle":"","parse-names":false,"suffix":""},{"dropping-particle":"","family":"Longley-Wood","given":"Kate","non-dropping-particle":"","parse-names":false,"suffix":""},{"dropping-particle":"","family":"McIntyre","given":"Peter B.","non-dropping-particle":"","parse-names":false,"suffix":""},{"dropping-particle":"","family":"Noon","given":"Monica","non-dropping-particle":"","parse-names":false,"suffix":""},{"dropping-particle":"","family":"Pascual","given":"Unai","non-dropping-particle":"","parse-names":false,"suffix":""},{"dropping-particle":"","family":"Reidy Liermann","given":"Catherine","non-dropping-particle":"","parse-names":false,"suffix":""},{"dropping-particle":"","family":"Roehrdanz","given":"Patrick R.","non-dropping-particle":"","parse-names":false,"suffix":""},{"dropping-particle":"","family":"Schmidt-Traub","given":"Guido","non-dropping-particle":"","parse-names":false,"suffix":""},{"dropping-particle":"","family":"Shaw","given":"M. Rebecca","non-dropping-particle":"","parse-names":false,"suffix":""},{"dropping-particle":"","family":"Spalding","given":"Mark","non-dropping-particle":"","parse-names":false,"suffix":""},{"dropping-particle":"","family":"Turner","given":"Will R.","non-dropping-particle":"","parse-names":false,"suffix":""},{"dropping-particle":"","family":"Soesbergen","given":"Arnout","non-dropping-particle":"van","parse-names":false,"suffix":""},{"dropping-particle":"","family":"Watson","given":"Reg A.","non-dropping-particle":"","parse-names":false,"suffix":""}],"container-title":"Nature Ecology &amp; Evolution","id":"ITEM-1","issue":"1","issued":{"date-parts":[["2022","11","28"]]},"page":"51-61","title":"Mapping the planet’s critical natural assets","type":"article-journal","volume":"7"},"uris":["http://www.mendeley.com/documents/?uuid=b2362d55-d7a3-45be-841b-0a52a38c8cef"]}],"mendeley":{"formattedCitation":"(Chaplin-Kramer et al. 2022)","plainTextFormattedCitation":"(Chaplin-Kramer et al. 2022)","previouslyFormattedCitation":"(Chaplin-Kramer et al. 2022)"},"properties":{"noteIndex":0},"schema":"https://github.com/citation-style-language/schema/raw/master/csl-citation.json"}</w:instrText>
      </w:r>
      <w:r w:rsidRPr="008C2D0A">
        <w:rPr>
          <w:rFonts w:ascii="Times New Roman" w:hAnsi="Times New Roman" w:cs="Times New Roman"/>
          <w:sz w:val="24"/>
          <w:szCs w:val="24"/>
        </w:rPr>
        <w:fldChar w:fldCharType="separate"/>
      </w:r>
      <w:r w:rsidRPr="008C2D0A">
        <w:rPr>
          <w:rFonts w:ascii="Times New Roman" w:hAnsi="Times New Roman" w:cs="Times New Roman"/>
          <w:noProof/>
          <w:sz w:val="24"/>
          <w:szCs w:val="24"/>
        </w:rPr>
        <w:t>(Chaplin-Kramer et al. 2022)</w:t>
      </w:r>
      <w:r w:rsidRPr="008C2D0A">
        <w:rPr>
          <w:rFonts w:ascii="Times New Roman" w:hAnsi="Times New Roman" w:cs="Times New Roman"/>
          <w:sz w:val="24"/>
          <w:szCs w:val="24"/>
        </w:rPr>
        <w:fldChar w:fldCharType="end"/>
      </w:r>
      <w:r w:rsidRPr="008C2D0A">
        <w:rPr>
          <w:rFonts w:ascii="Times New Roman" w:hAnsi="Times New Roman" w:cs="Times New Roman"/>
          <w:sz w:val="24"/>
          <w:szCs w:val="24"/>
        </w:rPr>
        <w:t xml:space="preserve">. The model provides two primary indicators of sediment retention services: </w:t>
      </w:r>
      <w:r w:rsidRPr="008C2D0A">
        <w:rPr>
          <w:rFonts w:ascii="Times New Roman" w:hAnsi="Times New Roman" w:cs="Times New Roman"/>
          <w:i/>
          <w:iCs/>
          <w:sz w:val="24"/>
          <w:szCs w:val="24"/>
        </w:rPr>
        <w:t>Avoided Erosion</w:t>
      </w:r>
      <w:r w:rsidRPr="008C2D0A">
        <w:rPr>
          <w:rFonts w:ascii="Times New Roman" w:hAnsi="Times New Roman" w:cs="Times New Roman"/>
          <w:sz w:val="24"/>
          <w:szCs w:val="24"/>
        </w:rPr>
        <w:t xml:space="preserve"> and </w:t>
      </w:r>
      <w:r w:rsidRPr="008C2D0A">
        <w:rPr>
          <w:rFonts w:ascii="Times New Roman" w:hAnsi="Times New Roman" w:cs="Times New Roman"/>
          <w:i/>
          <w:iCs/>
          <w:sz w:val="24"/>
          <w:szCs w:val="24"/>
        </w:rPr>
        <w:t>Avoided Export</w:t>
      </w:r>
      <w:r w:rsidRPr="008C2D0A">
        <w:rPr>
          <w:rFonts w:ascii="Times New Roman" w:hAnsi="Times New Roman" w:cs="Times New Roman"/>
          <w:sz w:val="24"/>
          <w:szCs w:val="24"/>
        </w:rPr>
        <w:t xml:space="preserve">. We focused on Avoided Erosion, which evaluates the effectiveness of vegetation in minimizing soil erosion at any given location, offering valuable insights for soil conservation efforts, particularly in agricultural regions where preserving topsoil is critical for soil fertility and food production </w:t>
      </w:r>
      <w:r w:rsidRPr="008C2D0A">
        <w:rPr>
          <w:rFonts w:ascii="Times New Roman" w:hAnsi="Times New Roman" w:cs="Times New Roman"/>
          <w:sz w:val="24"/>
          <w:szCs w:val="24"/>
        </w:rPr>
        <w:fldChar w:fldCharType="begin" w:fldLock="1"/>
      </w:r>
      <w:r w:rsidRPr="008C2D0A">
        <w:rPr>
          <w:rFonts w:ascii="Times New Roman" w:hAnsi="Times New Roman" w:cs="Times New Roman"/>
          <w:sz w:val="24"/>
          <w:szCs w:val="24"/>
        </w:rPr>
        <w:instrText>ADDIN CSL_CITATION {"citationItems":[{"id":"ITEM-1","itemData":{"DOI":"10.1038/s41586-022-05292-x","ISSN":"0028-0836","author":[{"dropping-particle":"","family":"Guerra","given":"Carlos A.","non-dropping-particle":"","parse-names":false,"suffix":""},{"dropping-particle":"","family":"Berdugo","given":"Miguel","non-dropping-particle":"","parse-names":false,"suffix":""},{"dropping-particle":"","family":"Eldridge","given":"David J.","non-dropping-particle":"","parse-names":false,"suffix":""},{"dropping-particle":"","family":"Eisenhauer","given":"Nico","non-dropping-particle":"","parse-names":false,"suffix":""},{"dropping-particle":"","family":"Singh","given":"Brajesh K.","non-dropping-particle":"","parse-names":false,"suffix":""},{"dropping-particle":"","family":"Cui","given":"Haiying","non-dropping-particle":"","parse-names":false,"suffix":""},{"dropping-particle":"","family":"Abades","given":"Sebastian","non-dropping-particle":"","parse-names":false,"suffix":""},{"dropping-particle":"","family":"Alfaro","given":"Fernando D.","non-dropping-particle":"","parse-names":false,"suffix":""},{"dropping-particle":"","family":"Bamigboye","given":"Adebola R.","non-dropping-particle":"","parse-names":false,"suffix":""},{"dropping-particle":"","family":"Bastida","given":"Felipe","non-dropping-particle":"","parse-names":false,"suffix":""},{"dropping-particle":"","family":"Blanco-Pastor","given":"José L.","non-dropping-particle":"","parse-names":false,"suffix":""},{"dropping-particle":"","family":"los Ríos","given":"Asunción","non-dropping-particle":"de","parse-names":false,"suffix":""},{"dropping-particle":"","family":"Durán","given":"Jorge","non-dropping-particle":"","parse-names":false,"suffix":""},{"dropping-particle":"","family":"Grebenc","given":"Tine","non-dropping-particle":"","parse-names":false,"suffix":""},{"dropping-particle":"","family":"Illán","given":"Javier G.","non-dropping-particle":"","parse-names":false,"suffix":""},{"dropping-particle":"","family":"Liu","given":"Yu-Rong","non-dropping-particle":"","parse-names":false,"suffix":""},{"dropping-particle":"","family":"Makhalanyane","given":"Thulani P.","non-dropping-particle":"","parse-names":false,"suffix":""},{"dropping-particle":"","family":"Mamet","given":"Steven","non-dropping-particle":"","parse-names":false,"suffix":""},{"dropping-particle":"","family":"Molina-Montenegro","given":"Marco A.","non-dropping-particle":"","parse-names":false,"suffix":""},{"dropping-particle":"","family":"Moreno","given":"José L.","non-dropping-particle":"","parse-names":false,"suffix":""},{"dropping-particle":"","family":"Mukherjee","given":"Arpan","non-dropping-particle":"","parse-names":false,"suffix":""},{"dropping-particle":"","family":"Nahberger","given":"Tina U.","non-dropping-particle":"","parse-names":false,"suffix":""},{"dropping-particle":"","family":"Peñaloza-Bojacá","given":"Gabriel F.","non-dropping-particle":"","parse-names":false,"suffix":""},{"dropping-particle":"","family":"Plaza","given":"César","non-dropping-particle":"","parse-names":false,"suffix":""},{"dropping-particle":"","family":"Picó","given":"Sergio","non-dropping-particle":"","parse-names":false,"suffix":""},{"dropping-particle":"","family":"Verma","given":"Jay Prakash","non-dropping-particle":"","parse-names":false,"suffix":""},{"dropping-particle":"","family":"Rey","given":"Ana","non-dropping-particle":"","parse-names":false,"suffix":""},{"dropping-particle":"","family":"Rodríguez","given":"Alexandra","non-dropping-particle":"","parse-names":false,"suffix":""},{"dropping-particle":"","family":"Tedersoo","given":"Leho","non-dropping-particle":"","parse-names":false,"suffix":""},{"dropping-particle":"","family":"Teixido","given":"Alberto L.","non-dropping-particle":"","parse-names":false,"suffix":""},{"dropping-particle":"","family":"Torres-Díaz","given":"Cristian","non-dropping-particle":"","parse-names":false,"suffix":""},{"dropping-particle":"","family":"Trivedi","given":"Pankaj","non-dropping-particle":"","parse-names":false,"suffix":""},{"dropping-particle":"","family":"Wang","given":"Juntao","non-dropping-particle":"","parse-names":false,"suffix":""},{"dropping-particle":"","family":"Wang","given":"Ling","non-dropping-particle":"","parse-names":false,"suffix":""},{"dropping-particle":"","family":"Wang","given":"Jianyong","non-dropping-particle":"","parse-names":false,"suffix":""},{"dropping-particle":"","family":"Zaady","given":"Eli","non-dropping-particle":"","parse-names":false,"suffix":""},{"dropping-particle":"","family":"Zhou","given":"Xiaobing","non-dropping-particle":"","parse-names":false,"suffix":""},{"dropping-particle":"","family":"Zhou","given":"Xin-Quan","non-dropping-particle":"","parse-names":false,"suffix":""},{"dropping-particle":"","family":"Delgado-Baquerizo","given":"Manuel","non-dropping-particle":"","parse-names":false,"suffix":""}],"container-title":"Nature","id":"ITEM-1","issue":"7933","issued":{"date-parts":[["2022","10","27"]]},"page":"693-698","title":"Global hotspots for soil nature conservation","type":"article-journal","volume":"610"},"uris":["http://www.mendeley.com/documents/?uuid=2ebc678b-3578-4a9c-958f-0009b7f9b5e5"]},{"id":"ITEM-2","itemData":{"author":[{"dropping-particle":"","family":"Natural Capital Project","given":"","non-dropping-particle":"","parse-names":false,"suffix":""}],"container-title":"Natural Capital Project","id":"ITEM-2","issued":{"date-parts":[["2023"]]},"publisher":"Stanford University, University of Minnesota, Chinese Academy of Sciences, The Nature Conservancy, World Wildlife Fund, Stockholm Resilience Centre, and the Royal Swedish Academy of Sciences","title":"InVEST 3.13.0","type":"article"},"uris":["http://www.mendeley.com/documents/?uuid=d50a132a-2a83-4ec1-a126-aa06c0144e50"]}],"mendeley":{"formattedCitation":"(Guerra et al. 2022; Natural Capital Project 2023)","plainTextFormattedCitation":"(Guerra et al. 2022; Natural Capital Project 2023)"},"properties":{"noteIndex":0},"schema":"https://github.com/citation-style-language/schema/raw/master/csl-citation.json"}</w:instrText>
      </w:r>
      <w:r w:rsidRPr="008C2D0A">
        <w:rPr>
          <w:rFonts w:ascii="Times New Roman" w:hAnsi="Times New Roman" w:cs="Times New Roman"/>
          <w:sz w:val="24"/>
          <w:szCs w:val="24"/>
        </w:rPr>
        <w:fldChar w:fldCharType="separate"/>
      </w:r>
      <w:r w:rsidRPr="008C2D0A">
        <w:rPr>
          <w:rFonts w:ascii="Times New Roman" w:hAnsi="Times New Roman" w:cs="Times New Roman"/>
          <w:noProof/>
          <w:sz w:val="24"/>
          <w:szCs w:val="24"/>
        </w:rPr>
        <w:t>(Guerra et al. 2022; Natural Capital Project 2023)</w:t>
      </w:r>
      <w:r w:rsidRPr="008C2D0A">
        <w:rPr>
          <w:rFonts w:ascii="Times New Roman" w:hAnsi="Times New Roman" w:cs="Times New Roman"/>
          <w:sz w:val="24"/>
          <w:szCs w:val="24"/>
        </w:rPr>
        <w:fldChar w:fldCharType="end"/>
      </w:r>
      <w:r w:rsidRPr="008C2D0A">
        <w:rPr>
          <w:rFonts w:ascii="Times New Roman" w:hAnsi="Times New Roman" w:cs="Times New Roman"/>
          <w:color w:val="000000" w:themeColor="text1"/>
          <w:sz w:val="24"/>
          <w:szCs w:val="24"/>
        </w:rPr>
        <w:t>. This serves as a proxy for the capacity of the landscape to provide soil erosion regulation services.</w:t>
      </w:r>
      <w:r w:rsidRPr="008C2D0A">
        <w:rPr>
          <w:rFonts w:ascii="Times New Roman" w:hAnsi="Times New Roman" w:cs="Times New Roman"/>
          <w:noProof/>
          <w:color w:val="FF0000"/>
          <w:sz w:val="24"/>
          <w:szCs w:val="24"/>
        </w:rPr>
        <w:t xml:space="preserve"> </w:t>
      </w:r>
    </w:p>
    <w:p w14:paraId="5C6D2003" w14:textId="5CA73F52" w:rsidR="00061524" w:rsidRDefault="00835EE4" w:rsidP="00061524">
      <w:pPr>
        <w:pStyle w:val="NormalWeb"/>
        <w:numPr>
          <w:ilvl w:val="1"/>
          <w:numId w:val="4"/>
        </w:numPr>
        <w:spacing w:line="360" w:lineRule="auto"/>
        <w:rPr>
          <w:rFonts w:eastAsiaTheme="minorEastAsia"/>
          <w:b/>
          <w:bCs/>
        </w:rPr>
      </w:pPr>
      <w:r w:rsidRPr="008C2D0A">
        <w:rPr>
          <w:rFonts w:eastAsiaTheme="minorEastAsia"/>
          <w:b/>
          <w:bCs/>
        </w:rPr>
        <w:t>Habitat Quality</w:t>
      </w:r>
    </w:p>
    <w:p w14:paraId="6FBA8CF1" w14:textId="1CD96E67" w:rsidR="00835EE4" w:rsidRPr="008C2D0A" w:rsidRDefault="00835EE4" w:rsidP="008C2D0A">
      <w:pPr>
        <w:pStyle w:val="NormalWeb"/>
        <w:spacing w:line="360" w:lineRule="auto"/>
        <w:rPr>
          <w:rFonts w:eastAsiaTheme="minorEastAsia"/>
        </w:rPr>
      </w:pPr>
      <w:r w:rsidRPr="008C2D0A">
        <w:t xml:space="preserve"> </w:t>
      </w:r>
      <w:r w:rsidRPr="008C2D0A">
        <w:rPr>
          <w:rFonts w:eastAsiaTheme="minorEastAsia"/>
        </w:rPr>
        <w:t xml:space="preserve">We used the Habitat Quality model from </w:t>
      </w:r>
      <w:proofErr w:type="spellStart"/>
      <w:r w:rsidRPr="008C2D0A">
        <w:rPr>
          <w:rFonts w:eastAsiaTheme="minorEastAsia"/>
        </w:rPr>
        <w:t>InVEST</w:t>
      </w:r>
      <w:proofErr w:type="spellEnd"/>
      <w:r w:rsidRPr="008C2D0A">
        <w:rPr>
          <w:rFonts w:eastAsiaTheme="minorEastAsia"/>
        </w:rPr>
        <w:t xml:space="preserve"> </w:t>
      </w:r>
      <w:r w:rsidRPr="008C2D0A">
        <w:rPr>
          <w:rFonts w:eastAsiaTheme="minorEastAsia"/>
        </w:rPr>
        <w:fldChar w:fldCharType="begin" w:fldLock="1"/>
      </w:r>
      <w:r w:rsidRPr="008C2D0A">
        <w:rPr>
          <w:rFonts w:eastAsiaTheme="minorEastAsia"/>
        </w:rPr>
        <w:instrText>ADDIN CSL_CITATION {"citationItems":[{"id":"ITEM-1","itemData":{"author":[{"dropping-particle":"","family":"Sharp","given":"Richard","non-dropping-particle":"","parse-names":false,"suffix":""},{"dropping-particle":"","family":"Tallis","given":"H T","non-dropping-particle":"","parse-names":false,"suffix":""},{"dropping-particle":"","family":"Ricketts","given":"Taylor","non-dropping-particle":"","parse-names":false,"suffix":""},{"dropping-particle":"","family":"Guerry","given":"A D","non-dropping-particle":"","parse-names":false,"suffix":""},{"dropping-particle":"","family":"Wood","given":"Spencer A","non-dropping-particle":"","parse-names":false,"suffix":""},{"dropping-particle":"","family":"Chaplin-Kramer","given":"Rebecca","non-dropping-particle":"","parse-names":false,"suffix":""},{"dropping-particle":"","family":"Nelson","given":"E","non-dropping-particle":"","parse-names":false,"suffix":""},{"dropping-particle":"","family":"Ennaanay","given":"Driss","non-dropping-particle":"","parse-names":false,"suffix":""},{"dropping-particle":"","family":"Wolny","given":"Stacie","non-dropping-particle":"","parse-names":false,"suffix":""},{"dropping-particle":"","family":"Olwero","given":"Nasser","non-dropping-particle":"","parse-names":false,"suffix":""}],"container-title":"The Natural Capital Project, Stanford","id":"ITEM-1","issued":{"date-parts":[["2014"]]},"title":"InVEST user’s guide","type":"article-journal"},"uris":["http://www.mendeley.com/documents/?uuid=c96c70ef-c087-46a5-b95e-7a5d88d39283"]}],"mendeley":{"formattedCitation":"(Sharp et al. 2014)","plainTextFormattedCitation":"(Sharp et al. 2014)","previouslyFormattedCitation":"(Sharp et al. 2014)"},"properties":{"noteIndex":0},"schema":"https://github.com/citation-style-language/schema/raw/master/csl-citation.json"}</w:instrText>
      </w:r>
      <w:r w:rsidRPr="008C2D0A">
        <w:rPr>
          <w:rFonts w:eastAsiaTheme="minorEastAsia"/>
        </w:rPr>
        <w:fldChar w:fldCharType="separate"/>
      </w:r>
      <w:r w:rsidRPr="008C2D0A">
        <w:rPr>
          <w:rFonts w:eastAsiaTheme="minorEastAsia"/>
          <w:noProof/>
        </w:rPr>
        <w:t>(Sharp et al. 2014)</w:t>
      </w:r>
      <w:r w:rsidRPr="008C2D0A">
        <w:rPr>
          <w:rFonts w:eastAsiaTheme="minorEastAsia"/>
        </w:rPr>
        <w:fldChar w:fldCharType="end"/>
      </w:r>
      <w:r w:rsidRPr="008C2D0A">
        <w:rPr>
          <w:rFonts w:eastAsiaTheme="minorEastAsia"/>
        </w:rPr>
        <w:t xml:space="preserve">, to indirectly indicate landscape potential to support biodiversity and, in turn, maintain ecosystem function. The model evaluates habitat quality based on land cover and land use data, incorporating factors such as the suitability of different land covers for biodiversity, the impact of various anthropogenic threats, and the sensitivity of each land cover or land use type to these threats </w:t>
      </w:r>
      <w:r w:rsidRPr="008C2D0A">
        <w:rPr>
          <w:rFonts w:eastAsiaTheme="minorEastAsia"/>
        </w:rPr>
        <w:fldChar w:fldCharType="begin" w:fldLock="1"/>
      </w:r>
      <w:r w:rsidRPr="008C2D0A">
        <w:rPr>
          <w:rFonts w:eastAsiaTheme="minorEastAsia"/>
        </w:rPr>
        <w:instrText>ADDIN CSL_CITATION {"citationItems":[{"id":"ITEM-1","itemData":{"DOI":"https://doi.org/10.1016/j.scitotenv.2015.03.064","ISSN":"0048-9697","abstract":"There is a growing pressure of human activities on natural habitats, which leads to biodiversity losses. To mitigate the impact of human activities, environmental policies are developed and implemented, but their effects are commonly not well understood because of the lack of tools to predict the effects of conservation policies on habitat quality and/or diversity. We present a straightforward model for the simultaneous assessment of terrestrial and aquatic habitat quality in river basins as a function of land use and anthropogenic threats to habitat that could be applied under different management scenarios to help understand the trade-offs of conservation actions. We modify the InVEST model for the assessment of terrestrial habitat quality and extend it to freshwater habitats. We assess the reliability of the model in a severely impaired basin by comparing modeled results to observed terrestrial and aquatic biodiversity data. Estimated habitat quality is significantly correlated with observed terrestrial vascular plant richness (R2=0.76) and diversity of aquatic macroinvertebrates (R2=0.34), as well as with ecosystem functions such as in-stream phosphorus retention (R2=0.45). After that, we analyze different scenarios to assess the suitability of the model to inform changes in habitat quality under different conservation strategies. We believe that the developed model can be useful to assess potential levels of biodiversity, and to support conservation planning given its capacity to forecast the effects of management actions in river basins.","author":[{"dropping-particle":"","family":"Terrado","given":"Marta","non-dropping-particle":"","parse-names":false,"suffix":""},{"dropping-particle":"","family":"Sabater","given":"Sergi","non-dropping-particle":"","parse-names":false,"suffix":""},{"dropping-particle":"","family":"Chaplin-Kramer","given":"Becky","non-dropping-particle":"","parse-names":false,"suffix":""},{"dropping-particle":"","family":"Mandle","given":"Lisa","non-dropping-particle":"","parse-names":false,"suffix":""},{"dropping-particle":"","family":"Ziv","given":"Guy","non-dropping-particle":"","parse-names":false,"suffix":""},{"dropping-particle":"","family":"Acuña","given":"Vicenç","non-dropping-particle":"","parse-names":false,"suffix":""}],"container-title":"Science of The Total Environment","id":"ITEM-1","issued":{"date-parts":[["2016"]]},"note":"ID: 271800","page":"63-70","title":"Model development for the assessment of terrestrial and aquatic habitat quality in conservation planning","type":"article-journal","volume":"540"},"uris":["http://www.mendeley.com/documents/?uuid=8a7ed1f7-affa-43f3-8cf8-579ee85b61b2"]}],"mendeley":{"formattedCitation":"(Terrado et al. 2016)","plainTextFormattedCitation":"(Terrado et al. 2016)","previouslyFormattedCitation":"(Terrado et al. 2016)"},"properties":{"noteIndex":0},"schema":"https://github.com/citation-style-language/schema/raw/master/csl-citation.json"}</w:instrText>
      </w:r>
      <w:r w:rsidRPr="008C2D0A">
        <w:rPr>
          <w:rFonts w:eastAsiaTheme="minorEastAsia"/>
        </w:rPr>
        <w:fldChar w:fldCharType="separate"/>
      </w:r>
      <w:r w:rsidRPr="008C2D0A">
        <w:rPr>
          <w:rFonts w:eastAsiaTheme="minorEastAsia"/>
          <w:noProof/>
        </w:rPr>
        <w:t>(Terrado et al. 2016)</w:t>
      </w:r>
      <w:r w:rsidRPr="008C2D0A">
        <w:rPr>
          <w:rFonts w:eastAsiaTheme="minorEastAsia"/>
        </w:rPr>
        <w:fldChar w:fldCharType="end"/>
      </w:r>
      <w:r w:rsidRPr="008C2D0A">
        <w:rPr>
          <w:rFonts w:eastAsiaTheme="minorEastAsia"/>
        </w:rPr>
        <w:t xml:space="preserve">. In the prairies, grasslands, wetlands, and prairie potholes provide essential habitats for a wide variety of species, including pollinators, swift fox, burrowing owls, and various waterfowl species that support multiple ecosystem functions. We developed a generalized habitat quality model rather than focusing on specific species, providing a broad overview of landscape suitability while accounting for significant threats to these habitats. The model parameters including threat weights, habitat suitability, maximum distances of threat impacts and habitat sensitivity scores were informed by similar studies in the prairies, such as </w:t>
      </w:r>
      <w:r w:rsidRPr="008C2D0A">
        <w:rPr>
          <w:rFonts w:eastAsiaTheme="minorEastAsia"/>
        </w:rPr>
        <w:fldChar w:fldCharType="begin" w:fldLock="1"/>
      </w:r>
      <w:r w:rsidRPr="008C2D0A">
        <w:rPr>
          <w:rFonts w:eastAsiaTheme="minorEastAsia"/>
        </w:rPr>
        <w:instrText>ADDIN CSL_CITATION {"citationItems":[{"id":"ITEM-1","itemData":{"DOI":"10.1007/s00267-021-01502-w","ISSN":"0364-152X","author":[{"dropping-particle":"","family":"Akbari","given":"Aidin","non-dropping-particle":"","parse-names":false,"suffix":""},{"dropping-particle":"","family":"Pittman","given":"Jeremy","non-dropping-particle":"","parse-names":false,"suffix":""},{"dropping-particle":"","family":"Feick","given":"Rob","non-dropping-particle":"","parse-names":false,"suffix":""}],"container-title":"Environmental Management","id":"ITEM-1","issue":"3","issued":{"date-parts":[["2021","9","13"]]},"page":"310-328","title":"Mapping the Relative Habitat Quality Values for the Burrowing Owls (Athene cunicularia) of the Canadian Prairies Using an Innovative Parameterization Approach in the InVEST HQ Module","type":"article-journal","volume":"68"},"uris":["http://www.mendeley.com/documents/?uuid=be482cea-e6aa-4036-980e-c65a3bcf947f"]},{"id":"ITEM-2","itemData":{"DOI":"10.1371/journal.pone.0198382","ISSN":"1932-6203","author":[{"dropping-particle":"","family":"Shaffer","given":"Jill A.","non-dropping-particle":"","parse-names":false,"suffix":""},{"dropping-particle":"","family":"Roth","given":"Cali L.","non-dropping-particle":"","parse-names":false,"suffix":""},{"dropping-particle":"","family":"Mushet","given":"David M.","non-dropping-particle":"","parse-names":false,"suffix":""}],"container-title":"PLOS ONE","editor":[{"dropping-particle":"","family":"Kimirei","given":"Ismael Aaron","non-dropping-particle":"","parse-names":false,"suffix":""}],"id":"ITEM-2","issue":"1","issued":{"date-parts":[["2019","1","9"]]},"page":"e0198382","title":"Modeling effects of crop production, energy development and conservation-grassland loss on avian habitat","type":"article-journal","volume":"14"},"uris":["http://www.mendeley.com/documents/?uuid=2af3e42d-1d52-4590-b4c8-a5b51025b34e"]}],"mendeley":{"formattedCitation":"(Akbari, Pittman, and Feick 2021; Shaffer, Roth, and Mushet 2019)","manualFormatting":"Akbari et al. ( 2021); and Shaffer et al. (2019)","plainTextFormattedCitation":"(Akbari, Pittman, and Feick 2021; Shaffer, Roth, and Mushet 2019)","previouslyFormattedCitation":"(Akbari, Pittman, and Feick 2021; Shaffer, Roth, and Mushet 2019)"},"properties":{"noteIndex":0},"schema":"https://github.com/citation-style-language/schema/raw/master/csl-citation.json"}</w:instrText>
      </w:r>
      <w:r w:rsidRPr="008C2D0A">
        <w:rPr>
          <w:rFonts w:eastAsiaTheme="minorEastAsia"/>
        </w:rPr>
        <w:fldChar w:fldCharType="separate"/>
      </w:r>
      <w:r w:rsidRPr="008C2D0A">
        <w:rPr>
          <w:rFonts w:eastAsiaTheme="minorEastAsia"/>
          <w:noProof/>
        </w:rPr>
        <w:t>Akbari et al. ( 2021); and Shaffer et al. (2019)</w:t>
      </w:r>
      <w:r w:rsidRPr="008C2D0A">
        <w:rPr>
          <w:rFonts w:eastAsiaTheme="minorEastAsia"/>
        </w:rPr>
        <w:fldChar w:fldCharType="end"/>
      </w:r>
      <w:r w:rsidRPr="008C2D0A">
        <w:rPr>
          <w:rFonts w:eastAsiaTheme="minorEastAsia"/>
        </w:rPr>
        <w:t xml:space="preserve">, as well as government reports. For example we used the Wildlife Habitat Capacity Index for agricultural lands that is developed and calculated at the SCL scale as part of the Canadian Environmental Sustainability Indicators </w:t>
      </w:r>
      <w:r w:rsidRPr="008C2D0A">
        <w:rPr>
          <w:rFonts w:eastAsiaTheme="minorEastAsia"/>
        </w:rPr>
        <w:fldChar w:fldCharType="begin" w:fldLock="1"/>
      </w:r>
      <w:r w:rsidRPr="008C2D0A">
        <w:rPr>
          <w:rFonts w:eastAsiaTheme="minorEastAsia"/>
        </w:rPr>
        <w:instrText>ADDIN CSL_CITATION {"citationItems":[{"id":"ITEM-1","itemData":{"author":[{"dropping-particle":"","family":"Environment and Climate Change Canada","given":"","non-dropping-particle":"","parse-names":false,"suffix":""}],"id":"ITEM-1","issued":{"date-parts":[["2024"]]},"number-of-pages":"19","title":"Canadian Environmental Sustainability Indicators: Ability of the agricultural landscape to support wildlife","type":"report"},"uris":["http://www.mendeley.com/documents/?uuid=aef9fbb2-ab00-47d5-8fea-52f3c32b1dcd"]}],"mendeley":{"formattedCitation":"(Environment and Climate Change Canada 2024)","plainTextFormattedCitation":"(Environment and Climate Change Canada 2024)","previouslyFormattedCitation":"(Environment and Climate Change Canada 2024)"},"properties":{"noteIndex":0},"schema":"https://github.com/citation-style-language/schema/raw/master/csl-citation.json"}</w:instrText>
      </w:r>
      <w:r w:rsidRPr="008C2D0A">
        <w:rPr>
          <w:rFonts w:eastAsiaTheme="minorEastAsia"/>
        </w:rPr>
        <w:fldChar w:fldCharType="separate"/>
      </w:r>
      <w:r w:rsidRPr="008C2D0A">
        <w:rPr>
          <w:rFonts w:eastAsiaTheme="minorEastAsia"/>
          <w:noProof/>
        </w:rPr>
        <w:t>(Environment and Climate Change Canada 2024)</w:t>
      </w:r>
      <w:r w:rsidRPr="008C2D0A">
        <w:rPr>
          <w:rFonts w:eastAsiaTheme="minorEastAsia"/>
        </w:rPr>
        <w:fldChar w:fldCharType="end"/>
      </w:r>
      <w:r w:rsidRPr="008C2D0A">
        <w:rPr>
          <w:rFonts w:eastAsiaTheme="minorEastAsia"/>
        </w:rPr>
        <w:t xml:space="preserve">. Key threats included in the model were agricultural expansion, road and railway construction, urban development, energy infrastructure, and major industries with significant CO2 emissions, as identified in the Canadian Environmental Sustainability Indicators. Table 2 below provides a full list of threats we considered in the model. </w:t>
      </w:r>
    </w:p>
    <w:p w14:paraId="62BDEF7C" w14:textId="0A0238DD" w:rsidR="00835EE4" w:rsidRPr="008C2D0A" w:rsidRDefault="00835EE4" w:rsidP="008C2D0A">
      <w:pPr>
        <w:pStyle w:val="NormalWeb"/>
        <w:spacing w:line="360" w:lineRule="auto"/>
        <w:rPr>
          <w:rFonts w:eastAsiaTheme="minorEastAsia"/>
        </w:rPr>
      </w:pPr>
      <w:r w:rsidRPr="008C2D0A">
        <w:rPr>
          <w:rFonts w:eastAsiaTheme="minorEastAsia"/>
        </w:rPr>
        <w:lastRenderedPageBreak/>
        <w:t xml:space="preserve">The </w:t>
      </w:r>
      <w:proofErr w:type="spellStart"/>
      <w:r w:rsidRPr="008C2D0A">
        <w:rPr>
          <w:rFonts w:eastAsiaTheme="minorEastAsia"/>
        </w:rPr>
        <w:t>InVEST</w:t>
      </w:r>
      <w:proofErr w:type="spellEnd"/>
      <w:r w:rsidRPr="008C2D0A">
        <w:rPr>
          <w:rFonts w:eastAsiaTheme="minorEastAsia"/>
        </w:rPr>
        <w:t xml:space="preserve"> HQ model applies a distance decay function (e.g., linear, exponential) to represent how the intensity of each habitat ‘threat’ diminishes with distance. Pixels closer to a threat such as roads, croplands, or industrial areas receive higher degradation scores, while those beyond the defined maximum distance remain unaffected. The model integrates this spatial threat information with land cover suitability and threat-specific habitat sensitivities to estimate habitat degradation and quality. It assumes that areas with higher habitat quality are more likely to support species persistence and overall biodiversity, offering a flexible, habitat-based approach that can be scaled across different landscapes. The model allows for the assignment of different suitability and sensitivity scores to each land cover type, as well as calibration of each threat’s relative importance, spatial extent, and impact on habitat quality. This allows the model to be adjusted depending on the biodiversity targets or ecosystem types in a given study. In our case, natural habitats like wetlands and native grasslands were assigned higher sensitivity scores because of their ecological value and vulnerability to disturbance. In contrast, croplands and developed areas, which have already undergone substantial modification, were assigned lower scores. </w:t>
      </w:r>
    </w:p>
    <w:p w14:paraId="2B9964A7" w14:textId="4CDBE245" w:rsidR="00835EE4" w:rsidRPr="008C2D0A" w:rsidRDefault="00835EE4" w:rsidP="00835EE4">
      <w:pPr>
        <w:pStyle w:val="Caption"/>
        <w:rPr>
          <w:b w:val="0"/>
          <w:bCs w:val="0"/>
          <w:i/>
          <w:sz w:val="22"/>
        </w:rPr>
      </w:pPr>
      <w:r w:rsidRPr="008C2D0A">
        <w:rPr>
          <w:i/>
          <w:sz w:val="22"/>
        </w:rPr>
        <w:t xml:space="preserve">Table </w:t>
      </w:r>
      <w:r w:rsidRPr="008C2D0A">
        <w:rPr>
          <w:b w:val="0"/>
          <w:i/>
          <w:sz w:val="22"/>
        </w:rPr>
        <w:fldChar w:fldCharType="begin"/>
      </w:r>
      <w:r w:rsidRPr="008C2D0A">
        <w:rPr>
          <w:i/>
          <w:sz w:val="22"/>
        </w:rPr>
        <w:instrText xml:space="preserve"> SEQ Table \* ARABIC </w:instrText>
      </w:r>
      <w:r w:rsidRPr="008C2D0A">
        <w:rPr>
          <w:b w:val="0"/>
          <w:i/>
          <w:sz w:val="22"/>
        </w:rPr>
        <w:fldChar w:fldCharType="separate"/>
      </w:r>
      <w:r w:rsidR="008C2D0A" w:rsidRPr="008C2D0A">
        <w:rPr>
          <w:i/>
          <w:noProof/>
          <w:sz w:val="22"/>
        </w:rPr>
        <w:t>2</w:t>
      </w:r>
      <w:r w:rsidRPr="008C2D0A">
        <w:rPr>
          <w:b w:val="0"/>
          <w:i/>
          <w:noProof/>
          <w:sz w:val="22"/>
        </w:rPr>
        <w:fldChar w:fldCharType="end"/>
      </w:r>
      <w:r w:rsidRPr="008C2D0A">
        <w:rPr>
          <w:i/>
          <w:sz w:val="22"/>
        </w:rPr>
        <w:t xml:space="preserve">. </w:t>
      </w:r>
      <w:r w:rsidRPr="008C2D0A">
        <w:rPr>
          <w:rStyle w:val="Strong"/>
          <w:i/>
          <w:sz w:val="22"/>
        </w:rPr>
        <w:t xml:space="preserve">Anthropogenic threats considered in the </w:t>
      </w:r>
      <w:proofErr w:type="spellStart"/>
      <w:r w:rsidRPr="008C2D0A">
        <w:rPr>
          <w:rStyle w:val="Strong"/>
          <w:i/>
          <w:sz w:val="22"/>
        </w:rPr>
        <w:t>InVEST</w:t>
      </w:r>
      <w:proofErr w:type="spellEnd"/>
      <w:r w:rsidRPr="008C2D0A">
        <w:rPr>
          <w:rStyle w:val="Strong"/>
          <w:i/>
          <w:sz w:val="22"/>
        </w:rPr>
        <w:t xml:space="preserve"> Habitat Quality model for the Canadian prairies. These threats represent spatial drivers of habitat degradation and were parameterized based on expert-informed sensitivity scores, maximum effective distances, and relative weights, consistent with regional studies and policy sources. </w:t>
      </w:r>
      <w:r w:rsidRPr="008C2D0A">
        <w:rPr>
          <w:b w:val="0"/>
          <w:i/>
          <w:sz w:val="22"/>
        </w:rPr>
        <w:t>Within the model, closer proximity to any threat (e.g., farmland, roads, energy infrastructure) increases habitat degradation. For expansion threats such as cropland or pastureland, natural habitat cells situated near existing agriculture face higher degradation scores, reflecting their risk of future conversion or intensification.</w:t>
      </w:r>
    </w:p>
    <w:tbl>
      <w:tblPr>
        <w:tblStyle w:val="TableGrid"/>
        <w:tblW w:w="0" w:type="auto"/>
        <w:tblLook w:val="04A0" w:firstRow="1" w:lastRow="0" w:firstColumn="1" w:lastColumn="0" w:noHBand="0" w:noVBand="1"/>
      </w:tblPr>
      <w:tblGrid>
        <w:gridCol w:w="2830"/>
        <w:gridCol w:w="6520"/>
      </w:tblGrid>
      <w:tr w:rsidR="00835EE4" w:rsidRPr="00835EE4" w14:paraId="580F3B1E" w14:textId="77777777" w:rsidTr="00F30C4C">
        <w:trPr>
          <w:trHeight w:val="300"/>
        </w:trPr>
        <w:tc>
          <w:tcPr>
            <w:tcW w:w="2830" w:type="dxa"/>
            <w:vAlign w:val="center"/>
          </w:tcPr>
          <w:p w14:paraId="36B73721" w14:textId="77777777" w:rsidR="00835EE4" w:rsidRPr="008C2D0A" w:rsidRDefault="00835EE4" w:rsidP="00F30C4C">
            <w:pPr>
              <w:spacing w:line="278" w:lineRule="auto"/>
              <w:jc w:val="center"/>
              <w:rPr>
                <w:rFonts w:ascii="Times New Roman" w:hAnsi="Times New Roman"/>
                <w:b/>
                <w:i/>
                <w:kern w:val="2"/>
                <w:sz w:val="24"/>
                <w:szCs w:val="24"/>
              </w:rPr>
            </w:pPr>
            <w:r w:rsidRPr="008C2D0A">
              <w:rPr>
                <w:rFonts w:ascii="Times New Roman" w:hAnsi="Times New Roman"/>
                <w:b/>
                <w:i/>
                <w:kern w:val="2"/>
                <w:sz w:val="24"/>
                <w:szCs w:val="24"/>
              </w:rPr>
              <w:t>Threat</w:t>
            </w:r>
          </w:p>
        </w:tc>
        <w:tc>
          <w:tcPr>
            <w:tcW w:w="6520" w:type="dxa"/>
            <w:vAlign w:val="center"/>
          </w:tcPr>
          <w:p w14:paraId="2DCACC60" w14:textId="77777777" w:rsidR="00835EE4" w:rsidRPr="008C2D0A" w:rsidRDefault="00835EE4" w:rsidP="00F30C4C">
            <w:pPr>
              <w:spacing w:line="278" w:lineRule="auto"/>
              <w:jc w:val="center"/>
              <w:rPr>
                <w:rFonts w:ascii="Times New Roman" w:hAnsi="Times New Roman"/>
                <w:b/>
                <w:i/>
                <w:kern w:val="2"/>
                <w:sz w:val="24"/>
                <w:szCs w:val="24"/>
              </w:rPr>
            </w:pPr>
            <w:r w:rsidRPr="008C2D0A">
              <w:rPr>
                <w:rFonts w:ascii="Times New Roman" w:hAnsi="Times New Roman"/>
                <w:b/>
                <w:i/>
                <w:kern w:val="2"/>
                <w:sz w:val="24"/>
                <w:szCs w:val="24"/>
              </w:rPr>
              <w:t>Description</w:t>
            </w:r>
          </w:p>
        </w:tc>
      </w:tr>
      <w:tr w:rsidR="00835EE4" w:rsidRPr="00835EE4" w14:paraId="27DE2F15" w14:textId="77777777" w:rsidTr="00F30C4C">
        <w:trPr>
          <w:trHeight w:val="300"/>
        </w:trPr>
        <w:tc>
          <w:tcPr>
            <w:tcW w:w="2830" w:type="dxa"/>
          </w:tcPr>
          <w:p w14:paraId="5B5BC93C" w14:textId="77777777" w:rsidR="00835EE4" w:rsidRPr="008C2D0A" w:rsidRDefault="00835EE4" w:rsidP="00F30C4C">
            <w:pPr>
              <w:spacing w:line="278" w:lineRule="auto"/>
              <w:rPr>
                <w:rFonts w:ascii="Times New Roman" w:hAnsi="Times New Roman"/>
                <w:b/>
                <w:i/>
                <w:kern w:val="2"/>
                <w:szCs w:val="24"/>
              </w:rPr>
            </w:pPr>
            <w:r w:rsidRPr="008C2D0A">
              <w:rPr>
                <w:rFonts w:ascii="Times New Roman" w:hAnsi="Times New Roman"/>
                <w:b/>
                <w:i/>
                <w:kern w:val="2"/>
                <w:szCs w:val="24"/>
              </w:rPr>
              <w:t>Crop Expansion</w:t>
            </w:r>
            <w:r w:rsidRPr="008C2D0A">
              <w:rPr>
                <w:rFonts w:ascii="Times New Roman" w:hAnsi="Times New Roman"/>
                <w:b/>
                <w:i/>
              </w:rPr>
              <w:tab/>
            </w:r>
          </w:p>
        </w:tc>
        <w:tc>
          <w:tcPr>
            <w:tcW w:w="6520" w:type="dxa"/>
          </w:tcPr>
          <w:p w14:paraId="6B43ECBE" w14:textId="77777777" w:rsidR="00835EE4" w:rsidRPr="00835EE4" w:rsidRDefault="00835EE4" w:rsidP="00F30C4C">
            <w:pPr>
              <w:spacing w:line="278" w:lineRule="auto"/>
              <w:rPr>
                <w:rFonts w:ascii="Times New Roman" w:hAnsi="Times New Roman"/>
                <w:kern w:val="2"/>
                <w:szCs w:val="24"/>
              </w:rPr>
            </w:pPr>
            <w:r w:rsidRPr="00835EE4">
              <w:rPr>
                <w:rFonts w:ascii="Times New Roman" w:hAnsi="Times New Roman"/>
                <w:kern w:val="2"/>
                <w:szCs w:val="24"/>
              </w:rPr>
              <w:t>Agricultural intensification replacing natural habitat</w:t>
            </w:r>
          </w:p>
        </w:tc>
      </w:tr>
      <w:tr w:rsidR="00835EE4" w:rsidRPr="00835EE4" w14:paraId="2DBC4F00" w14:textId="77777777" w:rsidTr="00F30C4C">
        <w:trPr>
          <w:trHeight w:val="300"/>
        </w:trPr>
        <w:tc>
          <w:tcPr>
            <w:tcW w:w="2830" w:type="dxa"/>
          </w:tcPr>
          <w:p w14:paraId="11C10E6D" w14:textId="77777777" w:rsidR="00835EE4" w:rsidRPr="008C2D0A" w:rsidRDefault="00835EE4" w:rsidP="00F30C4C">
            <w:pPr>
              <w:spacing w:line="278" w:lineRule="auto"/>
              <w:rPr>
                <w:rFonts w:ascii="Times New Roman" w:hAnsi="Times New Roman"/>
                <w:b/>
                <w:i/>
                <w:kern w:val="2"/>
                <w:szCs w:val="24"/>
              </w:rPr>
            </w:pPr>
            <w:r w:rsidRPr="008C2D0A">
              <w:rPr>
                <w:rFonts w:ascii="Times New Roman" w:hAnsi="Times New Roman"/>
                <w:b/>
                <w:i/>
                <w:kern w:val="2"/>
                <w:szCs w:val="24"/>
              </w:rPr>
              <w:t>Pastureland Expansion</w:t>
            </w:r>
          </w:p>
        </w:tc>
        <w:tc>
          <w:tcPr>
            <w:tcW w:w="6520" w:type="dxa"/>
          </w:tcPr>
          <w:p w14:paraId="36531E40" w14:textId="77777777" w:rsidR="00835EE4" w:rsidRPr="00835EE4" w:rsidRDefault="00835EE4" w:rsidP="00F30C4C">
            <w:pPr>
              <w:spacing w:line="278" w:lineRule="auto"/>
              <w:rPr>
                <w:rFonts w:ascii="Times New Roman" w:hAnsi="Times New Roman"/>
                <w:kern w:val="2"/>
                <w:szCs w:val="24"/>
              </w:rPr>
            </w:pPr>
            <w:r w:rsidRPr="00835EE4">
              <w:rPr>
                <w:rFonts w:ascii="Times New Roman" w:hAnsi="Times New Roman"/>
                <w:kern w:val="2"/>
                <w:szCs w:val="24"/>
              </w:rPr>
              <w:t>Conversion of native prairie to managed grazing lands</w:t>
            </w:r>
          </w:p>
        </w:tc>
      </w:tr>
      <w:tr w:rsidR="00835EE4" w:rsidRPr="00835EE4" w14:paraId="56A81126" w14:textId="77777777" w:rsidTr="00F30C4C">
        <w:trPr>
          <w:trHeight w:val="300"/>
        </w:trPr>
        <w:tc>
          <w:tcPr>
            <w:tcW w:w="2830" w:type="dxa"/>
          </w:tcPr>
          <w:p w14:paraId="2C2F6CFF" w14:textId="77777777" w:rsidR="00835EE4" w:rsidRPr="008C2D0A" w:rsidRDefault="00835EE4" w:rsidP="00F30C4C">
            <w:pPr>
              <w:spacing w:line="278" w:lineRule="auto"/>
              <w:rPr>
                <w:rFonts w:ascii="Times New Roman" w:hAnsi="Times New Roman"/>
                <w:b/>
                <w:i/>
                <w:kern w:val="2"/>
                <w:szCs w:val="24"/>
              </w:rPr>
            </w:pPr>
            <w:r w:rsidRPr="008C2D0A">
              <w:rPr>
                <w:rFonts w:ascii="Times New Roman" w:hAnsi="Times New Roman"/>
                <w:b/>
                <w:i/>
                <w:kern w:val="2"/>
                <w:szCs w:val="24"/>
              </w:rPr>
              <w:t>Urban Development</w:t>
            </w:r>
          </w:p>
        </w:tc>
        <w:tc>
          <w:tcPr>
            <w:tcW w:w="6520" w:type="dxa"/>
          </w:tcPr>
          <w:p w14:paraId="32753CBE" w14:textId="77777777" w:rsidR="00835EE4" w:rsidRPr="00835EE4" w:rsidRDefault="00835EE4" w:rsidP="00F30C4C">
            <w:pPr>
              <w:spacing w:line="278" w:lineRule="auto"/>
              <w:rPr>
                <w:rFonts w:ascii="Times New Roman" w:hAnsi="Times New Roman"/>
                <w:kern w:val="2"/>
                <w:szCs w:val="24"/>
              </w:rPr>
            </w:pPr>
            <w:r w:rsidRPr="00835EE4">
              <w:rPr>
                <w:rFonts w:ascii="Times New Roman" w:hAnsi="Times New Roman"/>
                <w:kern w:val="2"/>
                <w:szCs w:val="24"/>
              </w:rPr>
              <w:t>Expansion of cities, towns, and rural settlements</w:t>
            </w:r>
          </w:p>
        </w:tc>
      </w:tr>
      <w:tr w:rsidR="00835EE4" w:rsidRPr="00835EE4" w14:paraId="502C28CF" w14:textId="77777777" w:rsidTr="00F30C4C">
        <w:trPr>
          <w:trHeight w:val="300"/>
        </w:trPr>
        <w:tc>
          <w:tcPr>
            <w:tcW w:w="2830" w:type="dxa"/>
          </w:tcPr>
          <w:p w14:paraId="08A6CDA1" w14:textId="77777777" w:rsidR="00835EE4" w:rsidRPr="008C2D0A" w:rsidRDefault="00835EE4" w:rsidP="00F30C4C">
            <w:pPr>
              <w:spacing w:line="278" w:lineRule="auto"/>
              <w:rPr>
                <w:rFonts w:ascii="Times New Roman" w:hAnsi="Times New Roman"/>
                <w:b/>
                <w:i/>
                <w:kern w:val="2"/>
                <w:szCs w:val="24"/>
              </w:rPr>
            </w:pPr>
            <w:r w:rsidRPr="008C2D0A">
              <w:rPr>
                <w:rFonts w:ascii="Times New Roman" w:hAnsi="Times New Roman"/>
                <w:b/>
                <w:i/>
                <w:kern w:val="2"/>
                <w:szCs w:val="24"/>
              </w:rPr>
              <w:t>Major Roads</w:t>
            </w:r>
          </w:p>
        </w:tc>
        <w:tc>
          <w:tcPr>
            <w:tcW w:w="6520" w:type="dxa"/>
          </w:tcPr>
          <w:p w14:paraId="022B3F68" w14:textId="77777777" w:rsidR="00835EE4" w:rsidRPr="00835EE4" w:rsidRDefault="00835EE4" w:rsidP="00F30C4C">
            <w:pPr>
              <w:spacing w:line="278" w:lineRule="auto"/>
              <w:rPr>
                <w:rFonts w:ascii="Times New Roman" w:hAnsi="Times New Roman"/>
                <w:kern w:val="2"/>
                <w:szCs w:val="24"/>
              </w:rPr>
            </w:pPr>
            <w:r w:rsidRPr="00835EE4">
              <w:rPr>
                <w:rFonts w:ascii="Times New Roman" w:hAnsi="Times New Roman"/>
                <w:kern w:val="2"/>
                <w:szCs w:val="24"/>
              </w:rPr>
              <w:t>High-traffic roads increasing fragmentation</w:t>
            </w:r>
          </w:p>
        </w:tc>
      </w:tr>
      <w:tr w:rsidR="00835EE4" w:rsidRPr="00835EE4" w14:paraId="67BFB7DB" w14:textId="77777777" w:rsidTr="00F30C4C">
        <w:trPr>
          <w:trHeight w:val="300"/>
        </w:trPr>
        <w:tc>
          <w:tcPr>
            <w:tcW w:w="2830" w:type="dxa"/>
          </w:tcPr>
          <w:p w14:paraId="49267799" w14:textId="77777777" w:rsidR="00835EE4" w:rsidRPr="008C2D0A" w:rsidRDefault="00835EE4" w:rsidP="00F30C4C">
            <w:pPr>
              <w:spacing w:line="278" w:lineRule="auto"/>
              <w:rPr>
                <w:rFonts w:ascii="Times New Roman" w:hAnsi="Times New Roman"/>
                <w:b/>
                <w:i/>
                <w:kern w:val="2"/>
                <w:szCs w:val="24"/>
              </w:rPr>
            </w:pPr>
            <w:r w:rsidRPr="008C2D0A">
              <w:rPr>
                <w:rFonts w:ascii="Times New Roman" w:hAnsi="Times New Roman"/>
                <w:b/>
                <w:i/>
                <w:kern w:val="2"/>
                <w:szCs w:val="24"/>
              </w:rPr>
              <w:t>Secondary Roads</w:t>
            </w:r>
          </w:p>
        </w:tc>
        <w:tc>
          <w:tcPr>
            <w:tcW w:w="6520" w:type="dxa"/>
          </w:tcPr>
          <w:p w14:paraId="63C716BA" w14:textId="77777777" w:rsidR="00835EE4" w:rsidRPr="00835EE4" w:rsidRDefault="00835EE4" w:rsidP="00F30C4C">
            <w:pPr>
              <w:spacing w:line="278" w:lineRule="auto"/>
              <w:rPr>
                <w:rFonts w:ascii="Times New Roman" w:hAnsi="Times New Roman"/>
                <w:kern w:val="2"/>
                <w:szCs w:val="24"/>
              </w:rPr>
            </w:pPr>
            <w:r w:rsidRPr="00835EE4">
              <w:rPr>
                <w:rFonts w:ascii="Times New Roman" w:hAnsi="Times New Roman"/>
                <w:kern w:val="2"/>
                <w:szCs w:val="24"/>
              </w:rPr>
              <w:t>Low-traffic roads affecting local habitat connectivity</w:t>
            </w:r>
          </w:p>
        </w:tc>
      </w:tr>
      <w:tr w:rsidR="00835EE4" w:rsidRPr="00835EE4" w14:paraId="4F8AB9DE" w14:textId="77777777" w:rsidTr="00F30C4C">
        <w:trPr>
          <w:trHeight w:val="300"/>
        </w:trPr>
        <w:tc>
          <w:tcPr>
            <w:tcW w:w="2830" w:type="dxa"/>
          </w:tcPr>
          <w:p w14:paraId="40FD480A" w14:textId="77777777" w:rsidR="00835EE4" w:rsidRPr="008C2D0A" w:rsidRDefault="00835EE4" w:rsidP="00F30C4C">
            <w:pPr>
              <w:spacing w:line="278" w:lineRule="auto"/>
              <w:rPr>
                <w:rFonts w:ascii="Times New Roman" w:hAnsi="Times New Roman"/>
                <w:b/>
                <w:i/>
                <w:kern w:val="2"/>
                <w:szCs w:val="24"/>
              </w:rPr>
            </w:pPr>
            <w:r w:rsidRPr="008C2D0A">
              <w:rPr>
                <w:rFonts w:ascii="Times New Roman" w:hAnsi="Times New Roman"/>
                <w:b/>
                <w:i/>
                <w:kern w:val="2"/>
                <w:szCs w:val="24"/>
              </w:rPr>
              <w:t>Railways</w:t>
            </w:r>
          </w:p>
        </w:tc>
        <w:tc>
          <w:tcPr>
            <w:tcW w:w="6520" w:type="dxa"/>
          </w:tcPr>
          <w:p w14:paraId="4FC18EA9" w14:textId="77777777" w:rsidR="00835EE4" w:rsidRPr="00835EE4" w:rsidRDefault="00835EE4" w:rsidP="00F30C4C">
            <w:pPr>
              <w:spacing w:line="278" w:lineRule="auto"/>
              <w:rPr>
                <w:rFonts w:ascii="Times New Roman" w:hAnsi="Times New Roman"/>
                <w:kern w:val="2"/>
                <w:szCs w:val="24"/>
              </w:rPr>
            </w:pPr>
            <w:r w:rsidRPr="00835EE4">
              <w:rPr>
                <w:rFonts w:ascii="Times New Roman" w:hAnsi="Times New Roman"/>
                <w:kern w:val="2"/>
                <w:szCs w:val="24"/>
              </w:rPr>
              <w:t>Rail infrastructure impacting species movement</w:t>
            </w:r>
          </w:p>
        </w:tc>
      </w:tr>
      <w:tr w:rsidR="00835EE4" w:rsidRPr="00835EE4" w14:paraId="6A9AC26D" w14:textId="77777777" w:rsidTr="00F30C4C">
        <w:trPr>
          <w:trHeight w:val="300"/>
        </w:trPr>
        <w:tc>
          <w:tcPr>
            <w:tcW w:w="2830" w:type="dxa"/>
          </w:tcPr>
          <w:p w14:paraId="180956A3" w14:textId="77777777" w:rsidR="00835EE4" w:rsidRPr="008C2D0A" w:rsidRDefault="00835EE4" w:rsidP="00F30C4C">
            <w:pPr>
              <w:spacing w:line="278" w:lineRule="auto"/>
              <w:rPr>
                <w:rFonts w:ascii="Times New Roman" w:hAnsi="Times New Roman"/>
                <w:b/>
                <w:i/>
                <w:kern w:val="2"/>
                <w:szCs w:val="24"/>
              </w:rPr>
            </w:pPr>
            <w:r w:rsidRPr="008C2D0A">
              <w:rPr>
                <w:rFonts w:ascii="Times New Roman" w:hAnsi="Times New Roman"/>
                <w:b/>
                <w:i/>
                <w:kern w:val="2"/>
                <w:szCs w:val="24"/>
              </w:rPr>
              <w:t>Oil Extraction (Active)</w:t>
            </w:r>
          </w:p>
        </w:tc>
        <w:tc>
          <w:tcPr>
            <w:tcW w:w="6520" w:type="dxa"/>
          </w:tcPr>
          <w:p w14:paraId="394D6EA7" w14:textId="77777777" w:rsidR="00835EE4" w:rsidRPr="00835EE4" w:rsidRDefault="00835EE4" w:rsidP="00F30C4C">
            <w:pPr>
              <w:spacing w:line="278" w:lineRule="auto"/>
              <w:rPr>
                <w:rFonts w:ascii="Times New Roman" w:hAnsi="Times New Roman"/>
                <w:kern w:val="2"/>
                <w:szCs w:val="24"/>
              </w:rPr>
            </w:pPr>
            <w:r w:rsidRPr="00835EE4">
              <w:rPr>
                <w:rFonts w:ascii="Times New Roman" w:hAnsi="Times New Roman"/>
                <w:kern w:val="2"/>
                <w:szCs w:val="24"/>
              </w:rPr>
              <w:t>Ongoing oil and gas extraction operations</w:t>
            </w:r>
          </w:p>
        </w:tc>
      </w:tr>
      <w:tr w:rsidR="00835EE4" w:rsidRPr="00835EE4" w14:paraId="540B05CC" w14:textId="77777777" w:rsidTr="00F30C4C">
        <w:trPr>
          <w:trHeight w:val="300"/>
        </w:trPr>
        <w:tc>
          <w:tcPr>
            <w:tcW w:w="2830" w:type="dxa"/>
          </w:tcPr>
          <w:p w14:paraId="4E21AD8F" w14:textId="77777777" w:rsidR="00835EE4" w:rsidRPr="008C2D0A" w:rsidRDefault="00835EE4" w:rsidP="00F30C4C">
            <w:pPr>
              <w:spacing w:line="278" w:lineRule="auto"/>
              <w:rPr>
                <w:rFonts w:ascii="Times New Roman" w:hAnsi="Times New Roman"/>
                <w:b/>
                <w:i/>
                <w:kern w:val="2"/>
                <w:szCs w:val="24"/>
              </w:rPr>
            </w:pPr>
            <w:r w:rsidRPr="008C2D0A">
              <w:rPr>
                <w:rFonts w:ascii="Times New Roman" w:hAnsi="Times New Roman"/>
                <w:b/>
                <w:i/>
                <w:kern w:val="2"/>
                <w:szCs w:val="24"/>
              </w:rPr>
              <w:t>Oil Extraction (Inactive)</w:t>
            </w:r>
          </w:p>
        </w:tc>
        <w:tc>
          <w:tcPr>
            <w:tcW w:w="6520" w:type="dxa"/>
          </w:tcPr>
          <w:p w14:paraId="7D0C183E" w14:textId="77777777" w:rsidR="00835EE4" w:rsidRPr="00835EE4" w:rsidRDefault="00835EE4" w:rsidP="00F30C4C">
            <w:pPr>
              <w:spacing w:line="278" w:lineRule="auto"/>
              <w:rPr>
                <w:rFonts w:ascii="Times New Roman" w:hAnsi="Times New Roman"/>
                <w:kern w:val="2"/>
                <w:szCs w:val="24"/>
              </w:rPr>
            </w:pPr>
            <w:r w:rsidRPr="00835EE4">
              <w:rPr>
                <w:rFonts w:ascii="Times New Roman" w:hAnsi="Times New Roman"/>
                <w:kern w:val="2"/>
                <w:szCs w:val="24"/>
              </w:rPr>
              <w:t>Abandoned extraction sites</w:t>
            </w:r>
          </w:p>
        </w:tc>
      </w:tr>
      <w:tr w:rsidR="00835EE4" w:rsidRPr="00835EE4" w14:paraId="130C718D" w14:textId="77777777" w:rsidTr="00F30C4C">
        <w:trPr>
          <w:trHeight w:val="300"/>
        </w:trPr>
        <w:tc>
          <w:tcPr>
            <w:tcW w:w="2830" w:type="dxa"/>
          </w:tcPr>
          <w:p w14:paraId="45EA45F1" w14:textId="77777777" w:rsidR="00835EE4" w:rsidRPr="008C2D0A" w:rsidRDefault="00835EE4" w:rsidP="00F30C4C">
            <w:pPr>
              <w:spacing w:line="278" w:lineRule="auto"/>
              <w:rPr>
                <w:rFonts w:ascii="Times New Roman" w:hAnsi="Times New Roman"/>
                <w:b/>
                <w:i/>
                <w:kern w:val="2"/>
                <w:szCs w:val="24"/>
              </w:rPr>
            </w:pPr>
            <w:r w:rsidRPr="008C2D0A">
              <w:rPr>
                <w:rFonts w:ascii="Times New Roman" w:hAnsi="Times New Roman"/>
                <w:b/>
                <w:i/>
                <w:kern w:val="2"/>
                <w:szCs w:val="24"/>
              </w:rPr>
              <w:t>Power Plants</w:t>
            </w:r>
          </w:p>
        </w:tc>
        <w:tc>
          <w:tcPr>
            <w:tcW w:w="6520" w:type="dxa"/>
          </w:tcPr>
          <w:p w14:paraId="4789F86E" w14:textId="77777777" w:rsidR="00835EE4" w:rsidRPr="00835EE4" w:rsidRDefault="00835EE4" w:rsidP="00F30C4C">
            <w:pPr>
              <w:spacing w:line="278" w:lineRule="auto"/>
              <w:rPr>
                <w:rFonts w:ascii="Times New Roman" w:hAnsi="Times New Roman"/>
                <w:kern w:val="2"/>
                <w:szCs w:val="24"/>
              </w:rPr>
            </w:pPr>
            <w:r w:rsidRPr="00835EE4">
              <w:rPr>
                <w:rFonts w:ascii="Times New Roman" w:hAnsi="Times New Roman"/>
                <w:kern w:val="2"/>
                <w:szCs w:val="24"/>
              </w:rPr>
              <w:t>Energy production sites contributing to pollution &amp; habitat disturbance</w:t>
            </w:r>
          </w:p>
        </w:tc>
      </w:tr>
      <w:tr w:rsidR="00835EE4" w:rsidRPr="00835EE4" w14:paraId="2C1232BE" w14:textId="77777777" w:rsidTr="00F30C4C">
        <w:trPr>
          <w:trHeight w:val="300"/>
        </w:trPr>
        <w:tc>
          <w:tcPr>
            <w:tcW w:w="2830" w:type="dxa"/>
          </w:tcPr>
          <w:p w14:paraId="5F6CDCAD" w14:textId="77777777" w:rsidR="00835EE4" w:rsidRPr="008C2D0A" w:rsidRDefault="00835EE4" w:rsidP="00F30C4C">
            <w:pPr>
              <w:spacing w:line="278" w:lineRule="auto"/>
              <w:rPr>
                <w:rFonts w:ascii="Times New Roman" w:hAnsi="Times New Roman"/>
                <w:b/>
                <w:i/>
                <w:kern w:val="2"/>
                <w:szCs w:val="24"/>
              </w:rPr>
            </w:pPr>
            <w:r w:rsidRPr="008C2D0A">
              <w:rPr>
                <w:rFonts w:ascii="Times New Roman" w:hAnsi="Times New Roman"/>
                <w:b/>
                <w:i/>
                <w:kern w:val="2"/>
                <w:szCs w:val="24"/>
              </w:rPr>
              <w:t>Emissions from Major Industrial Sources</w:t>
            </w:r>
          </w:p>
        </w:tc>
        <w:tc>
          <w:tcPr>
            <w:tcW w:w="6520" w:type="dxa"/>
          </w:tcPr>
          <w:p w14:paraId="6E5ACA5D" w14:textId="77777777" w:rsidR="00835EE4" w:rsidRPr="00835EE4" w:rsidRDefault="00835EE4" w:rsidP="00F30C4C">
            <w:pPr>
              <w:spacing w:line="278" w:lineRule="auto"/>
              <w:rPr>
                <w:rFonts w:ascii="Times New Roman" w:hAnsi="Times New Roman"/>
                <w:kern w:val="2"/>
                <w:szCs w:val="24"/>
              </w:rPr>
            </w:pPr>
            <w:r w:rsidRPr="00835EE4">
              <w:rPr>
                <w:rFonts w:ascii="Times New Roman" w:hAnsi="Times New Roman"/>
                <w:szCs w:val="24"/>
              </w:rPr>
              <w:t xml:space="preserve">Industrial CO₂ emissions contributing to air pollution </w:t>
            </w:r>
          </w:p>
        </w:tc>
      </w:tr>
    </w:tbl>
    <w:p w14:paraId="51317EA9" w14:textId="77777777" w:rsidR="00835EE4" w:rsidRPr="00835EE4" w:rsidRDefault="00835EE4" w:rsidP="00835EE4">
      <w:pPr>
        <w:rPr>
          <w:rFonts w:ascii="Times New Roman" w:hAnsi="Times New Roman" w:cs="Times New Roman"/>
        </w:rPr>
      </w:pPr>
    </w:p>
    <w:p w14:paraId="390F1042" w14:textId="66ACA684" w:rsidR="00D60286" w:rsidRPr="00061524" w:rsidRDefault="00D60286" w:rsidP="00061524">
      <w:pPr>
        <w:pStyle w:val="ListParagraph"/>
        <w:keepNext/>
        <w:numPr>
          <w:ilvl w:val="0"/>
          <w:numId w:val="4"/>
        </w:numPr>
        <w:spacing w:before="100" w:beforeAutospacing="1" w:after="100" w:afterAutospacing="1" w:line="360" w:lineRule="auto"/>
        <w:outlineLvl w:val="7"/>
        <w:rPr>
          <w:rFonts w:ascii="Times New Roman" w:eastAsia="Times New Roman" w:hAnsi="Times New Roman" w:cs="Times New Roman"/>
          <w:b/>
          <w:iCs/>
          <w:sz w:val="24"/>
          <w:szCs w:val="24"/>
        </w:rPr>
      </w:pPr>
      <w:r w:rsidRPr="00061524">
        <w:rPr>
          <w:rFonts w:ascii="Times New Roman" w:eastAsia="Times New Roman" w:hAnsi="Times New Roman" w:cs="Times New Roman"/>
          <w:b/>
          <w:iCs/>
          <w:sz w:val="24"/>
          <w:szCs w:val="24"/>
        </w:rPr>
        <w:t>Model Diagnostics and Variable Refinement</w:t>
      </w:r>
      <w:bookmarkEnd w:id="2"/>
      <w:bookmarkEnd w:id="3"/>
    </w:p>
    <w:p w14:paraId="11EF82E1" w14:textId="69E03336" w:rsidR="00D60286" w:rsidRPr="00835EE4" w:rsidRDefault="00D60286" w:rsidP="00061524">
      <w:pPr>
        <w:spacing w:after="0" w:line="360" w:lineRule="auto"/>
        <w:rPr>
          <w:rFonts w:ascii="Times New Roman" w:eastAsia="Times New Roman" w:hAnsi="Times New Roman" w:cs="Times New Roman"/>
          <w:sz w:val="24"/>
          <w:szCs w:val="24"/>
        </w:rPr>
      </w:pPr>
      <w:r w:rsidRPr="00835EE4">
        <w:rPr>
          <w:rFonts w:ascii="Times New Roman" w:eastAsia="Times New Roman" w:hAnsi="Times New Roman" w:cs="Times New Roman"/>
          <w:sz w:val="24"/>
          <w:szCs w:val="24"/>
        </w:rPr>
        <w:t xml:space="preserve">To improve interpretability and model stability, we applied a systematic diagnostic protocol before fitting the final models. Variance Inflation Factors (VIF) revealed high multicollinearity among Phosphorus Retention and Nitrogen Retention, and conservation tillage. These variables were excluded to prevent overfitting and variance inflation. We retained conventional tillage (TILCONV), which exhibited moderate VIF values and consistent significance across models, reflecting its relevance in prairie management practices. Although no-till (TILLNO) was assessed during diagnostics, it did not meet our retention criteria and was therefore omitted. Control variables for soil organic matter, topography, and climate were kept to capture environmental heterogeneity, even when not statistically significant. All final models demonstrated strong fit (adjusted R² ≈ 0.54–0.67) and passed diagnostic checks. </w:t>
      </w:r>
    </w:p>
    <w:p w14:paraId="2C7CAF7B" w14:textId="4AAA1DDD" w:rsidR="00D60286" w:rsidRPr="00061524" w:rsidRDefault="00D60286" w:rsidP="00061524">
      <w:pPr>
        <w:pStyle w:val="ListParagraph"/>
        <w:keepNext/>
        <w:numPr>
          <w:ilvl w:val="0"/>
          <w:numId w:val="4"/>
        </w:numPr>
        <w:spacing w:before="100" w:beforeAutospacing="1" w:after="100" w:afterAutospacing="1" w:line="360" w:lineRule="auto"/>
        <w:outlineLvl w:val="7"/>
        <w:rPr>
          <w:rFonts w:ascii="Times New Roman" w:eastAsia="Times New Roman" w:hAnsi="Times New Roman" w:cs="Times New Roman"/>
          <w:b/>
          <w:iCs/>
          <w:sz w:val="24"/>
          <w:szCs w:val="24"/>
        </w:rPr>
      </w:pPr>
      <w:bookmarkStart w:id="5" w:name="_Toc200841217"/>
      <w:bookmarkStart w:id="6" w:name="_Toc203353655"/>
      <w:r w:rsidRPr="00061524">
        <w:rPr>
          <w:rFonts w:ascii="Times New Roman" w:eastAsia="Times New Roman" w:hAnsi="Times New Roman" w:cs="Times New Roman"/>
          <w:b/>
          <w:iCs/>
          <w:sz w:val="24"/>
          <w:szCs w:val="24"/>
        </w:rPr>
        <w:t>Crop-Specific GAM Models</w:t>
      </w:r>
      <w:bookmarkEnd w:id="5"/>
      <w:bookmarkEnd w:id="6"/>
    </w:p>
    <w:p w14:paraId="4664CEEF" w14:textId="15416D13" w:rsidR="00D60286" w:rsidRPr="00835EE4" w:rsidRDefault="00D60286" w:rsidP="00061524">
      <w:pPr>
        <w:spacing w:after="0" w:line="360" w:lineRule="auto"/>
        <w:rPr>
          <w:rFonts w:ascii="Times New Roman" w:eastAsia="Times New Roman" w:hAnsi="Times New Roman" w:cs="Times New Roman"/>
          <w:sz w:val="24"/>
          <w:szCs w:val="24"/>
        </w:rPr>
      </w:pPr>
      <w:r w:rsidRPr="00835EE4">
        <w:rPr>
          <w:rFonts w:ascii="Times New Roman" w:eastAsia="Times New Roman" w:hAnsi="Times New Roman" w:cs="Times New Roman"/>
          <w:sz w:val="24"/>
          <w:szCs w:val="24"/>
        </w:rPr>
        <w:t xml:space="preserve">Table </w:t>
      </w:r>
      <w:r w:rsidR="008C2D0A">
        <w:rPr>
          <w:rFonts w:ascii="Times New Roman" w:eastAsia="Times New Roman" w:hAnsi="Times New Roman" w:cs="Times New Roman"/>
          <w:sz w:val="24"/>
          <w:szCs w:val="24"/>
        </w:rPr>
        <w:t>3</w:t>
      </w:r>
      <w:r w:rsidRPr="00835EE4">
        <w:rPr>
          <w:rFonts w:ascii="Times New Roman" w:eastAsia="Times New Roman" w:hAnsi="Times New Roman" w:cs="Times New Roman"/>
          <w:sz w:val="24"/>
          <w:szCs w:val="24"/>
        </w:rPr>
        <w:t xml:space="preserve"> presents a comparative summary of crop-specific GAMs for Canola, Barley, Spring Wheat, and Winter Wheat, using two sets of predictors: Ecosystem Services (ES) and Landscape Structure Metrics (LSM). The models consistently show moderate to high explanatory power, with adjusted R² values ranging from 0.535 to 0.642 and deviance explained between 55.2% and 65.5%. For ES models, pollination, habitat quality, and soil erosion control were frequently significant non-linear predictors, alongside spatial smooths, while tillage conservation was the most consistent and significant linear effect. In contrast, LSM models highlighted the importance of crop diversity and connectivity in some cases, though spatial smooths again remained highly significant across all crops. Linear predictors such as aggregation and habitat diversity appeared selectively, and several environmental control variables (e.g., soil organic matter, elevation, and precipitation) were often non-significant. These results underscore the distinct yet complementary contributions of ecosystem function and landscape configuration to crop productivity patterns.</w:t>
      </w:r>
    </w:p>
    <w:p w14:paraId="1651AFCA" w14:textId="4A92BB3F" w:rsidR="008C2D0A" w:rsidRDefault="008C2D0A" w:rsidP="008C2D0A">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w:t>
      </w:r>
      <w:bookmarkStart w:id="7" w:name="_Toc200838264"/>
      <w:bookmarkStart w:id="8" w:name="_Toc200920330"/>
      <w:r w:rsidRPr="00835EE4">
        <w:t>Summary of Generalized Additive Model (GAM) Performance Across Crops</w:t>
      </w:r>
      <w:bookmarkEnd w:id="7"/>
      <w:bookmarkEnd w:id="8"/>
    </w:p>
    <w:tbl>
      <w:tblPr>
        <w:tblStyle w:val="TableGrid"/>
        <w:tblW w:w="0" w:type="auto"/>
        <w:tblLook w:val="04A0" w:firstRow="1" w:lastRow="0" w:firstColumn="1" w:lastColumn="0" w:noHBand="0" w:noVBand="1"/>
      </w:tblPr>
      <w:tblGrid>
        <w:gridCol w:w="834"/>
        <w:gridCol w:w="1202"/>
        <w:gridCol w:w="1083"/>
        <w:gridCol w:w="1125"/>
        <w:gridCol w:w="1378"/>
        <w:gridCol w:w="1240"/>
        <w:gridCol w:w="1353"/>
        <w:gridCol w:w="1135"/>
      </w:tblGrid>
      <w:tr w:rsidR="00D60286" w:rsidRPr="00835EE4" w14:paraId="7065C26A" w14:textId="77777777" w:rsidTr="00B12064">
        <w:tc>
          <w:tcPr>
            <w:tcW w:w="0" w:type="auto"/>
            <w:vAlign w:val="center"/>
            <w:hideMark/>
          </w:tcPr>
          <w:p w14:paraId="0F039328" w14:textId="77777777" w:rsidR="00D60286" w:rsidRPr="00835EE4" w:rsidRDefault="00D60286" w:rsidP="00D60286">
            <w:pPr>
              <w:spacing w:before="100" w:beforeAutospacing="1" w:after="100" w:afterAutospacing="1"/>
              <w:ind w:firstLine="288"/>
              <w:contextualSpacing/>
              <w:jc w:val="center"/>
              <w:rPr>
                <w:rFonts w:ascii="Times New Roman" w:hAnsi="Times New Roman"/>
                <w:b/>
                <w:i/>
                <w:iCs/>
                <w:color w:val="000000" w:themeColor="text1"/>
                <w:sz w:val="16"/>
                <w:szCs w:val="24"/>
              </w:rPr>
            </w:pPr>
            <w:r w:rsidRPr="00835EE4">
              <w:rPr>
                <w:rFonts w:ascii="Times New Roman" w:hAnsi="Times New Roman"/>
                <w:b/>
                <w:i/>
                <w:iCs/>
                <w:color w:val="000000" w:themeColor="text1"/>
                <w:sz w:val="16"/>
                <w:szCs w:val="24"/>
              </w:rPr>
              <w:t>Crop</w:t>
            </w:r>
          </w:p>
        </w:tc>
        <w:tc>
          <w:tcPr>
            <w:tcW w:w="0" w:type="auto"/>
            <w:vAlign w:val="center"/>
            <w:hideMark/>
          </w:tcPr>
          <w:p w14:paraId="17311B1C" w14:textId="77777777" w:rsidR="00D60286" w:rsidRPr="00835EE4" w:rsidRDefault="00D60286" w:rsidP="00D60286">
            <w:pPr>
              <w:spacing w:before="100" w:beforeAutospacing="1" w:after="100" w:afterAutospacing="1"/>
              <w:ind w:firstLine="288"/>
              <w:contextualSpacing/>
              <w:jc w:val="center"/>
              <w:rPr>
                <w:rFonts w:ascii="Times New Roman" w:hAnsi="Times New Roman"/>
                <w:b/>
                <w:i/>
                <w:iCs/>
                <w:color w:val="000000" w:themeColor="text1"/>
                <w:sz w:val="16"/>
                <w:szCs w:val="24"/>
              </w:rPr>
            </w:pPr>
            <w:r w:rsidRPr="00835EE4">
              <w:rPr>
                <w:rFonts w:ascii="Times New Roman" w:hAnsi="Times New Roman"/>
                <w:b/>
                <w:i/>
                <w:iCs/>
                <w:color w:val="000000" w:themeColor="text1"/>
                <w:sz w:val="16"/>
                <w:szCs w:val="24"/>
              </w:rPr>
              <w:t>Model Type</w:t>
            </w:r>
          </w:p>
        </w:tc>
        <w:tc>
          <w:tcPr>
            <w:tcW w:w="0" w:type="auto"/>
            <w:vAlign w:val="center"/>
            <w:hideMark/>
          </w:tcPr>
          <w:p w14:paraId="51E9AFC7" w14:textId="77777777" w:rsidR="00D60286" w:rsidRPr="00835EE4" w:rsidRDefault="00D60286" w:rsidP="00D60286">
            <w:pPr>
              <w:spacing w:before="100" w:beforeAutospacing="1" w:after="100" w:afterAutospacing="1"/>
              <w:ind w:firstLine="288"/>
              <w:contextualSpacing/>
              <w:jc w:val="center"/>
              <w:rPr>
                <w:rFonts w:ascii="Times New Roman" w:hAnsi="Times New Roman"/>
                <w:b/>
                <w:i/>
                <w:iCs/>
                <w:color w:val="000000" w:themeColor="text1"/>
                <w:sz w:val="16"/>
                <w:szCs w:val="24"/>
              </w:rPr>
            </w:pPr>
            <w:r w:rsidRPr="00835EE4">
              <w:rPr>
                <w:rFonts w:ascii="Times New Roman" w:hAnsi="Times New Roman"/>
                <w:b/>
                <w:i/>
                <w:iCs/>
                <w:color w:val="000000" w:themeColor="text1"/>
                <w:sz w:val="16"/>
                <w:szCs w:val="24"/>
              </w:rPr>
              <w:t>Adjusted R²</w:t>
            </w:r>
          </w:p>
        </w:tc>
        <w:tc>
          <w:tcPr>
            <w:tcW w:w="0" w:type="auto"/>
            <w:vAlign w:val="center"/>
            <w:hideMark/>
          </w:tcPr>
          <w:p w14:paraId="0D093E63" w14:textId="77777777" w:rsidR="00D60286" w:rsidRPr="00835EE4" w:rsidRDefault="00D60286" w:rsidP="00D60286">
            <w:pPr>
              <w:spacing w:before="100" w:beforeAutospacing="1" w:after="100" w:afterAutospacing="1"/>
              <w:ind w:firstLine="288"/>
              <w:contextualSpacing/>
              <w:jc w:val="center"/>
              <w:rPr>
                <w:rFonts w:ascii="Times New Roman" w:hAnsi="Times New Roman"/>
                <w:b/>
                <w:i/>
                <w:iCs/>
                <w:color w:val="000000" w:themeColor="text1"/>
                <w:sz w:val="16"/>
                <w:szCs w:val="24"/>
              </w:rPr>
            </w:pPr>
            <w:r w:rsidRPr="00835EE4">
              <w:rPr>
                <w:rFonts w:ascii="Times New Roman" w:hAnsi="Times New Roman"/>
                <w:b/>
                <w:i/>
                <w:iCs/>
                <w:color w:val="000000" w:themeColor="text1"/>
                <w:sz w:val="16"/>
                <w:szCs w:val="24"/>
              </w:rPr>
              <w:t>Deviance Explained (%)</w:t>
            </w:r>
          </w:p>
        </w:tc>
        <w:tc>
          <w:tcPr>
            <w:tcW w:w="0" w:type="auto"/>
            <w:vAlign w:val="center"/>
            <w:hideMark/>
          </w:tcPr>
          <w:p w14:paraId="36AB0E51" w14:textId="77777777" w:rsidR="00D60286" w:rsidRPr="00835EE4" w:rsidRDefault="00D60286" w:rsidP="00D60286">
            <w:pPr>
              <w:spacing w:before="100" w:beforeAutospacing="1" w:after="100" w:afterAutospacing="1"/>
              <w:ind w:firstLine="288"/>
              <w:contextualSpacing/>
              <w:jc w:val="center"/>
              <w:rPr>
                <w:rFonts w:ascii="Times New Roman" w:hAnsi="Times New Roman"/>
                <w:b/>
                <w:i/>
                <w:iCs/>
                <w:color w:val="000000" w:themeColor="text1"/>
                <w:sz w:val="16"/>
                <w:szCs w:val="24"/>
              </w:rPr>
            </w:pPr>
            <w:r w:rsidRPr="00835EE4">
              <w:rPr>
                <w:rFonts w:ascii="Times New Roman" w:hAnsi="Times New Roman"/>
                <w:b/>
                <w:i/>
                <w:iCs/>
                <w:color w:val="000000" w:themeColor="text1"/>
                <w:sz w:val="16"/>
                <w:szCs w:val="24"/>
              </w:rPr>
              <w:t>Significant Smooth Terms</w:t>
            </w:r>
          </w:p>
        </w:tc>
        <w:tc>
          <w:tcPr>
            <w:tcW w:w="0" w:type="auto"/>
            <w:vAlign w:val="center"/>
            <w:hideMark/>
          </w:tcPr>
          <w:p w14:paraId="5B5115A9" w14:textId="77777777" w:rsidR="00D60286" w:rsidRPr="00835EE4" w:rsidRDefault="00D60286" w:rsidP="00D60286">
            <w:pPr>
              <w:spacing w:before="100" w:beforeAutospacing="1" w:after="100" w:afterAutospacing="1"/>
              <w:ind w:firstLine="288"/>
              <w:contextualSpacing/>
              <w:jc w:val="center"/>
              <w:rPr>
                <w:rFonts w:ascii="Times New Roman" w:hAnsi="Times New Roman"/>
                <w:b/>
                <w:i/>
                <w:iCs/>
                <w:color w:val="000000" w:themeColor="text1"/>
                <w:sz w:val="16"/>
                <w:szCs w:val="24"/>
              </w:rPr>
            </w:pPr>
            <w:r w:rsidRPr="00835EE4">
              <w:rPr>
                <w:rFonts w:ascii="Times New Roman" w:hAnsi="Times New Roman"/>
                <w:b/>
                <w:i/>
                <w:iCs/>
                <w:color w:val="000000" w:themeColor="text1"/>
                <w:sz w:val="16"/>
                <w:szCs w:val="24"/>
              </w:rPr>
              <w:t>Non-Significant Smooth Terms</w:t>
            </w:r>
          </w:p>
        </w:tc>
        <w:tc>
          <w:tcPr>
            <w:tcW w:w="0" w:type="auto"/>
            <w:vAlign w:val="center"/>
            <w:hideMark/>
          </w:tcPr>
          <w:p w14:paraId="50B8E53C" w14:textId="77777777" w:rsidR="00D60286" w:rsidRPr="00835EE4" w:rsidRDefault="00D60286" w:rsidP="00D60286">
            <w:pPr>
              <w:spacing w:before="100" w:beforeAutospacing="1" w:after="100" w:afterAutospacing="1"/>
              <w:ind w:firstLine="288"/>
              <w:contextualSpacing/>
              <w:jc w:val="center"/>
              <w:rPr>
                <w:rFonts w:ascii="Times New Roman" w:hAnsi="Times New Roman"/>
                <w:b/>
                <w:i/>
                <w:iCs/>
                <w:color w:val="000000" w:themeColor="text1"/>
                <w:sz w:val="16"/>
                <w:szCs w:val="24"/>
              </w:rPr>
            </w:pPr>
            <w:r w:rsidRPr="00835EE4">
              <w:rPr>
                <w:rFonts w:ascii="Times New Roman" w:hAnsi="Times New Roman"/>
                <w:b/>
                <w:i/>
                <w:iCs/>
                <w:color w:val="000000" w:themeColor="text1"/>
                <w:sz w:val="16"/>
                <w:szCs w:val="24"/>
              </w:rPr>
              <w:t>Significant Linear Terms</w:t>
            </w:r>
          </w:p>
        </w:tc>
        <w:tc>
          <w:tcPr>
            <w:tcW w:w="0" w:type="auto"/>
            <w:vAlign w:val="center"/>
            <w:hideMark/>
          </w:tcPr>
          <w:p w14:paraId="603F1DC4" w14:textId="77777777" w:rsidR="00D60286" w:rsidRPr="00835EE4" w:rsidRDefault="00D60286" w:rsidP="00D60286">
            <w:pPr>
              <w:spacing w:before="100" w:beforeAutospacing="1" w:after="100" w:afterAutospacing="1"/>
              <w:ind w:firstLine="288"/>
              <w:contextualSpacing/>
              <w:jc w:val="center"/>
              <w:rPr>
                <w:rFonts w:ascii="Times New Roman" w:hAnsi="Times New Roman"/>
                <w:b/>
                <w:i/>
                <w:iCs/>
                <w:color w:val="000000" w:themeColor="text1"/>
                <w:sz w:val="16"/>
                <w:szCs w:val="24"/>
              </w:rPr>
            </w:pPr>
            <w:r w:rsidRPr="00835EE4">
              <w:rPr>
                <w:rFonts w:ascii="Times New Roman" w:hAnsi="Times New Roman"/>
                <w:b/>
                <w:i/>
                <w:iCs/>
                <w:color w:val="000000" w:themeColor="text1"/>
                <w:sz w:val="16"/>
                <w:szCs w:val="24"/>
              </w:rPr>
              <w:t>Non-Significant Linear Terms</w:t>
            </w:r>
          </w:p>
        </w:tc>
      </w:tr>
      <w:tr w:rsidR="00D60286" w:rsidRPr="00835EE4" w14:paraId="4B184759" w14:textId="77777777" w:rsidTr="00B12064">
        <w:tc>
          <w:tcPr>
            <w:tcW w:w="0" w:type="auto"/>
            <w:vMerge w:val="restart"/>
            <w:textDirection w:val="btLr"/>
            <w:vAlign w:val="center"/>
            <w:hideMark/>
          </w:tcPr>
          <w:p w14:paraId="0AE05106" w14:textId="77777777" w:rsidR="00D60286" w:rsidRPr="00835EE4" w:rsidRDefault="00D60286" w:rsidP="00D60286">
            <w:pPr>
              <w:spacing w:before="100" w:beforeAutospacing="1" w:after="100" w:afterAutospacing="1"/>
              <w:ind w:left="113" w:right="113" w:firstLine="288"/>
              <w:contextualSpacing/>
              <w:jc w:val="center"/>
              <w:rPr>
                <w:rFonts w:ascii="Times New Roman" w:hAnsi="Times New Roman"/>
                <w:b/>
                <w:i/>
                <w:iCs/>
                <w:color w:val="000000" w:themeColor="text1"/>
                <w:sz w:val="16"/>
                <w:szCs w:val="24"/>
              </w:rPr>
            </w:pPr>
            <w:r w:rsidRPr="00835EE4">
              <w:rPr>
                <w:rFonts w:ascii="Times New Roman" w:hAnsi="Times New Roman"/>
                <w:b/>
                <w:i/>
                <w:iCs/>
                <w:color w:val="000000" w:themeColor="text1"/>
                <w:sz w:val="16"/>
                <w:szCs w:val="24"/>
              </w:rPr>
              <w:lastRenderedPageBreak/>
              <w:t>Canola</w:t>
            </w:r>
          </w:p>
        </w:tc>
        <w:tc>
          <w:tcPr>
            <w:tcW w:w="0" w:type="auto"/>
            <w:vAlign w:val="center"/>
            <w:hideMark/>
          </w:tcPr>
          <w:p w14:paraId="5A91180A"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Ecosystem Services</w:t>
            </w:r>
          </w:p>
        </w:tc>
        <w:tc>
          <w:tcPr>
            <w:tcW w:w="0" w:type="auto"/>
            <w:vAlign w:val="center"/>
            <w:hideMark/>
          </w:tcPr>
          <w:p w14:paraId="0B540EB4"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0.577</w:t>
            </w:r>
          </w:p>
        </w:tc>
        <w:tc>
          <w:tcPr>
            <w:tcW w:w="0" w:type="auto"/>
            <w:vAlign w:val="center"/>
            <w:hideMark/>
          </w:tcPr>
          <w:p w14:paraId="32C4C56A"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59.3</w:t>
            </w:r>
          </w:p>
        </w:tc>
        <w:tc>
          <w:tcPr>
            <w:tcW w:w="0" w:type="auto"/>
            <w:vAlign w:val="center"/>
            <w:hideMark/>
          </w:tcPr>
          <w:p w14:paraId="41D64BEC"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Pollination, Habitat Quality, Erosion Control, Spatial Coordinates</w:t>
            </w:r>
          </w:p>
        </w:tc>
        <w:tc>
          <w:tcPr>
            <w:tcW w:w="0" w:type="auto"/>
            <w:vAlign w:val="center"/>
            <w:hideMark/>
          </w:tcPr>
          <w:p w14:paraId="552B8376"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None</w:t>
            </w:r>
          </w:p>
        </w:tc>
        <w:tc>
          <w:tcPr>
            <w:tcW w:w="0" w:type="auto"/>
            <w:vAlign w:val="center"/>
            <w:hideMark/>
          </w:tcPr>
          <w:p w14:paraId="015F20D6"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Carbon Storage (–), Elevation (+), Temperature (+), Tillage (+)</w:t>
            </w:r>
          </w:p>
        </w:tc>
        <w:tc>
          <w:tcPr>
            <w:tcW w:w="0" w:type="auto"/>
            <w:vAlign w:val="center"/>
            <w:hideMark/>
          </w:tcPr>
          <w:p w14:paraId="397B527D" w14:textId="77777777" w:rsidR="00D60286" w:rsidRPr="00835EE4" w:rsidRDefault="00D60286" w:rsidP="00F56397">
            <w:pPr>
              <w:spacing w:before="100" w:beforeAutospacing="1" w:after="100" w:afterAutospacing="1"/>
              <w:contextualSpacing/>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Soil Organic Matter, Precipitation</w:t>
            </w:r>
          </w:p>
        </w:tc>
      </w:tr>
      <w:tr w:rsidR="00D60286" w:rsidRPr="00835EE4" w14:paraId="669BDC95" w14:textId="77777777" w:rsidTr="00B12064">
        <w:tc>
          <w:tcPr>
            <w:tcW w:w="0" w:type="auto"/>
            <w:vMerge/>
            <w:vAlign w:val="center"/>
            <w:hideMark/>
          </w:tcPr>
          <w:p w14:paraId="7D7600A3" w14:textId="77777777" w:rsidR="00D60286" w:rsidRPr="00835EE4" w:rsidRDefault="00D60286" w:rsidP="00D60286">
            <w:pPr>
              <w:spacing w:before="100" w:beforeAutospacing="1" w:after="100" w:afterAutospacing="1"/>
              <w:ind w:firstLine="288"/>
              <w:contextualSpacing/>
              <w:jc w:val="center"/>
              <w:rPr>
                <w:rFonts w:ascii="Times New Roman" w:hAnsi="Times New Roman"/>
                <w:b/>
                <w:i/>
                <w:iCs/>
                <w:color w:val="000000" w:themeColor="text1"/>
                <w:sz w:val="16"/>
                <w:szCs w:val="24"/>
              </w:rPr>
            </w:pPr>
          </w:p>
        </w:tc>
        <w:tc>
          <w:tcPr>
            <w:tcW w:w="0" w:type="auto"/>
            <w:vAlign w:val="center"/>
            <w:hideMark/>
          </w:tcPr>
          <w:p w14:paraId="33036F37"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Landscape Structure</w:t>
            </w:r>
          </w:p>
        </w:tc>
        <w:tc>
          <w:tcPr>
            <w:tcW w:w="0" w:type="auto"/>
            <w:vAlign w:val="center"/>
            <w:hideMark/>
          </w:tcPr>
          <w:p w14:paraId="25CE7084"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0.587</w:t>
            </w:r>
          </w:p>
        </w:tc>
        <w:tc>
          <w:tcPr>
            <w:tcW w:w="0" w:type="auto"/>
            <w:vAlign w:val="center"/>
            <w:hideMark/>
          </w:tcPr>
          <w:p w14:paraId="7BBF4221"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60.4</w:t>
            </w:r>
          </w:p>
        </w:tc>
        <w:tc>
          <w:tcPr>
            <w:tcW w:w="0" w:type="auto"/>
            <w:vAlign w:val="center"/>
            <w:hideMark/>
          </w:tcPr>
          <w:p w14:paraId="7358E572"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 Natural Habitat, Crop Diversity, Connectivity, Spatial Coordinates</w:t>
            </w:r>
          </w:p>
        </w:tc>
        <w:tc>
          <w:tcPr>
            <w:tcW w:w="0" w:type="auto"/>
            <w:vAlign w:val="center"/>
            <w:hideMark/>
          </w:tcPr>
          <w:p w14:paraId="34673130"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None</w:t>
            </w:r>
          </w:p>
        </w:tc>
        <w:tc>
          <w:tcPr>
            <w:tcW w:w="0" w:type="auto"/>
            <w:vAlign w:val="center"/>
            <w:hideMark/>
          </w:tcPr>
          <w:p w14:paraId="75D6D221"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Habitat Diversity (+), Temperature (+), Tillage (+)</w:t>
            </w:r>
          </w:p>
        </w:tc>
        <w:tc>
          <w:tcPr>
            <w:tcW w:w="0" w:type="auto"/>
            <w:vAlign w:val="center"/>
            <w:hideMark/>
          </w:tcPr>
          <w:p w14:paraId="4D483812" w14:textId="77777777" w:rsidR="00D60286" w:rsidRPr="00835EE4" w:rsidRDefault="00D60286" w:rsidP="00F56397">
            <w:pPr>
              <w:spacing w:before="100" w:beforeAutospacing="1" w:after="100" w:afterAutospacing="1"/>
              <w:contextualSpacing/>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Soil Organic Matter, Precipitation, Aggregation, Edge Density, Elevation</w:t>
            </w:r>
          </w:p>
        </w:tc>
      </w:tr>
      <w:tr w:rsidR="00D60286" w:rsidRPr="00835EE4" w14:paraId="78765E98" w14:textId="77777777" w:rsidTr="00B12064">
        <w:tc>
          <w:tcPr>
            <w:tcW w:w="0" w:type="auto"/>
            <w:vMerge w:val="restart"/>
            <w:textDirection w:val="btLr"/>
            <w:vAlign w:val="center"/>
            <w:hideMark/>
          </w:tcPr>
          <w:p w14:paraId="046A3C5D" w14:textId="77777777" w:rsidR="00D60286" w:rsidRPr="00835EE4" w:rsidRDefault="00D60286" w:rsidP="00D60286">
            <w:pPr>
              <w:spacing w:before="100" w:beforeAutospacing="1" w:after="100" w:afterAutospacing="1"/>
              <w:ind w:left="113" w:right="113" w:firstLine="288"/>
              <w:contextualSpacing/>
              <w:jc w:val="center"/>
              <w:rPr>
                <w:rFonts w:ascii="Times New Roman" w:hAnsi="Times New Roman"/>
                <w:b/>
                <w:i/>
                <w:iCs/>
                <w:color w:val="000000" w:themeColor="text1"/>
                <w:sz w:val="16"/>
                <w:szCs w:val="24"/>
              </w:rPr>
            </w:pPr>
            <w:r w:rsidRPr="00835EE4">
              <w:rPr>
                <w:rFonts w:ascii="Times New Roman" w:hAnsi="Times New Roman"/>
                <w:b/>
                <w:i/>
                <w:iCs/>
                <w:color w:val="000000" w:themeColor="text1"/>
                <w:sz w:val="16"/>
                <w:szCs w:val="24"/>
              </w:rPr>
              <w:t>Barley</w:t>
            </w:r>
          </w:p>
        </w:tc>
        <w:tc>
          <w:tcPr>
            <w:tcW w:w="0" w:type="auto"/>
            <w:vAlign w:val="center"/>
            <w:hideMark/>
          </w:tcPr>
          <w:p w14:paraId="7A9A7567"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Ecosystem Services</w:t>
            </w:r>
          </w:p>
        </w:tc>
        <w:tc>
          <w:tcPr>
            <w:tcW w:w="0" w:type="auto"/>
            <w:vAlign w:val="center"/>
            <w:hideMark/>
          </w:tcPr>
          <w:p w14:paraId="1296E469"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0.542</w:t>
            </w:r>
          </w:p>
        </w:tc>
        <w:tc>
          <w:tcPr>
            <w:tcW w:w="0" w:type="auto"/>
            <w:vAlign w:val="center"/>
            <w:hideMark/>
          </w:tcPr>
          <w:p w14:paraId="41C54A84"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55.9</w:t>
            </w:r>
          </w:p>
        </w:tc>
        <w:tc>
          <w:tcPr>
            <w:tcW w:w="0" w:type="auto"/>
            <w:vAlign w:val="center"/>
            <w:hideMark/>
          </w:tcPr>
          <w:p w14:paraId="48C87089"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Pollination, Habitat Quality, Erosion Control, Spatial Coordinates</w:t>
            </w:r>
          </w:p>
        </w:tc>
        <w:tc>
          <w:tcPr>
            <w:tcW w:w="0" w:type="auto"/>
            <w:vAlign w:val="center"/>
            <w:hideMark/>
          </w:tcPr>
          <w:p w14:paraId="4C9215A7"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None</w:t>
            </w:r>
          </w:p>
        </w:tc>
        <w:tc>
          <w:tcPr>
            <w:tcW w:w="0" w:type="auto"/>
            <w:vAlign w:val="center"/>
            <w:hideMark/>
          </w:tcPr>
          <w:p w14:paraId="1B55985D"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Tillage (+)</w:t>
            </w:r>
          </w:p>
        </w:tc>
        <w:tc>
          <w:tcPr>
            <w:tcW w:w="0" w:type="auto"/>
            <w:vAlign w:val="center"/>
            <w:hideMark/>
          </w:tcPr>
          <w:p w14:paraId="3DC2E274" w14:textId="77777777" w:rsidR="00D60286" w:rsidRPr="00835EE4" w:rsidRDefault="00D60286" w:rsidP="00F56397">
            <w:pPr>
              <w:spacing w:before="100" w:beforeAutospacing="1" w:after="100" w:afterAutospacing="1"/>
              <w:contextualSpacing/>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Carbon Storage, Soil Organic Matter, Elevation, Temperature, Precipitation</w:t>
            </w:r>
          </w:p>
        </w:tc>
      </w:tr>
      <w:tr w:rsidR="00D60286" w:rsidRPr="00835EE4" w14:paraId="126A73EB" w14:textId="77777777" w:rsidTr="00B12064">
        <w:tc>
          <w:tcPr>
            <w:tcW w:w="0" w:type="auto"/>
            <w:vMerge/>
            <w:vAlign w:val="center"/>
            <w:hideMark/>
          </w:tcPr>
          <w:p w14:paraId="7017E0FB" w14:textId="77777777" w:rsidR="00D60286" w:rsidRPr="00835EE4" w:rsidRDefault="00D60286" w:rsidP="00D60286">
            <w:pPr>
              <w:spacing w:before="100" w:beforeAutospacing="1" w:after="100" w:afterAutospacing="1"/>
              <w:ind w:firstLine="288"/>
              <w:contextualSpacing/>
              <w:jc w:val="center"/>
              <w:rPr>
                <w:rFonts w:ascii="Times New Roman" w:hAnsi="Times New Roman"/>
                <w:b/>
                <w:i/>
                <w:iCs/>
                <w:color w:val="000000" w:themeColor="text1"/>
                <w:sz w:val="16"/>
                <w:szCs w:val="24"/>
              </w:rPr>
            </w:pPr>
          </w:p>
        </w:tc>
        <w:tc>
          <w:tcPr>
            <w:tcW w:w="0" w:type="auto"/>
            <w:vAlign w:val="center"/>
            <w:hideMark/>
          </w:tcPr>
          <w:p w14:paraId="5F1EEF73"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Landscape Structure</w:t>
            </w:r>
          </w:p>
        </w:tc>
        <w:tc>
          <w:tcPr>
            <w:tcW w:w="0" w:type="auto"/>
            <w:vAlign w:val="center"/>
            <w:hideMark/>
          </w:tcPr>
          <w:p w14:paraId="40D4E8C4"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0.535</w:t>
            </w:r>
          </w:p>
        </w:tc>
        <w:tc>
          <w:tcPr>
            <w:tcW w:w="0" w:type="auto"/>
            <w:vAlign w:val="center"/>
            <w:hideMark/>
          </w:tcPr>
          <w:p w14:paraId="42F286D0"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55.2</w:t>
            </w:r>
          </w:p>
        </w:tc>
        <w:tc>
          <w:tcPr>
            <w:tcW w:w="0" w:type="auto"/>
            <w:vAlign w:val="center"/>
            <w:hideMark/>
          </w:tcPr>
          <w:p w14:paraId="6D2AAAB5"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Spatial Coordinates</w:t>
            </w:r>
          </w:p>
        </w:tc>
        <w:tc>
          <w:tcPr>
            <w:tcW w:w="0" w:type="auto"/>
            <w:vAlign w:val="center"/>
            <w:hideMark/>
          </w:tcPr>
          <w:p w14:paraId="18E3D718"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 Natural Habitat, Crop Diversity, Connectivity</w:t>
            </w:r>
          </w:p>
        </w:tc>
        <w:tc>
          <w:tcPr>
            <w:tcW w:w="0" w:type="auto"/>
            <w:vAlign w:val="center"/>
            <w:hideMark/>
          </w:tcPr>
          <w:p w14:paraId="77BF7893"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Aggregation (+), Tillage (+)</w:t>
            </w:r>
          </w:p>
        </w:tc>
        <w:tc>
          <w:tcPr>
            <w:tcW w:w="0" w:type="auto"/>
            <w:vAlign w:val="center"/>
            <w:hideMark/>
          </w:tcPr>
          <w:p w14:paraId="07819CD6" w14:textId="77777777" w:rsidR="00D60286" w:rsidRPr="00835EE4" w:rsidRDefault="00D60286" w:rsidP="00F56397">
            <w:pPr>
              <w:spacing w:before="100" w:beforeAutospacing="1" w:after="100" w:afterAutospacing="1"/>
              <w:contextualSpacing/>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Soil Organic Matter, Habitat Diversity, Edge Density, Elevation, Temperature, Precipitation</w:t>
            </w:r>
          </w:p>
        </w:tc>
      </w:tr>
      <w:tr w:rsidR="00D60286" w:rsidRPr="00835EE4" w14:paraId="1E80A86F" w14:textId="77777777" w:rsidTr="00B12064">
        <w:tc>
          <w:tcPr>
            <w:tcW w:w="0" w:type="auto"/>
            <w:vMerge w:val="restart"/>
            <w:textDirection w:val="btLr"/>
            <w:vAlign w:val="center"/>
            <w:hideMark/>
          </w:tcPr>
          <w:p w14:paraId="18EDBE5D" w14:textId="77777777" w:rsidR="00D60286" w:rsidRPr="00835EE4" w:rsidRDefault="00D60286" w:rsidP="00D60286">
            <w:pPr>
              <w:spacing w:before="100" w:beforeAutospacing="1" w:after="100" w:afterAutospacing="1"/>
              <w:ind w:left="113" w:right="113" w:firstLine="288"/>
              <w:contextualSpacing/>
              <w:jc w:val="center"/>
              <w:rPr>
                <w:rFonts w:ascii="Times New Roman" w:hAnsi="Times New Roman"/>
                <w:b/>
                <w:i/>
                <w:iCs/>
                <w:color w:val="000000" w:themeColor="text1"/>
                <w:sz w:val="16"/>
                <w:szCs w:val="24"/>
              </w:rPr>
            </w:pPr>
            <w:r w:rsidRPr="00835EE4">
              <w:rPr>
                <w:rFonts w:ascii="Times New Roman" w:hAnsi="Times New Roman"/>
                <w:b/>
                <w:i/>
                <w:iCs/>
                <w:color w:val="000000" w:themeColor="text1"/>
                <w:sz w:val="16"/>
                <w:szCs w:val="24"/>
              </w:rPr>
              <w:t>Spring Wheat</w:t>
            </w:r>
          </w:p>
        </w:tc>
        <w:tc>
          <w:tcPr>
            <w:tcW w:w="0" w:type="auto"/>
            <w:vAlign w:val="center"/>
            <w:hideMark/>
          </w:tcPr>
          <w:p w14:paraId="73ACADE7"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Ecosystem Services</w:t>
            </w:r>
          </w:p>
        </w:tc>
        <w:tc>
          <w:tcPr>
            <w:tcW w:w="0" w:type="auto"/>
            <w:vAlign w:val="center"/>
            <w:hideMark/>
          </w:tcPr>
          <w:p w14:paraId="429878FE"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0.637</w:t>
            </w:r>
          </w:p>
        </w:tc>
        <w:tc>
          <w:tcPr>
            <w:tcW w:w="0" w:type="auto"/>
            <w:vAlign w:val="center"/>
            <w:hideMark/>
          </w:tcPr>
          <w:p w14:paraId="6E668EB3"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65.1</w:t>
            </w:r>
          </w:p>
        </w:tc>
        <w:tc>
          <w:tcPr>
            <w:tcW w:w="0" w:type="auto"/>
            <w:vAlign w:val="center"/>
            <w:hideMark/>
          </w:tcPr>
          <w:p w14:paraId="6F7D4E7A"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Pollination, Habitat Quality, Erosion Control, Spatial Coordinates</w:t>
            </w:r>
          </w:p>
        </w:tc>
        <w:tc>
          <w:tcPr>
            <w:tcW w:w="0" w:type="auto"/>
            <w:vAlign w:val="center"/>
            <w:hideMark/>
          </w:tcPr>
          <w:p w14:paraId="35389C6D"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None</w:t>
            </w:r>
          </w:p>
        </w:tc>
        <w:tc>
          <w:tcPr>
            <w:tcW w:w="0" w:type="auto"/>
            <w:vAlign w:val="center"/>
            <w:hideMark/>
          </w:tcPr>
          <w:p w14:paraId="57D5D00C"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Elevation (+), Precipitation (–), Tillage (+)</w:t>
            </w:r>
          </w:p>
        </w:tc>
        <w:tc>
          <w:tcPr>
            <w:tcW w:w="0" w:type="auto"/>
            <w:vAlign w:val="center"/>
            <w:hideMark/>
          </w:tcPr>
          <w:p w14:paraId="409B3D04" w14:textId="77777777" w:rsidR="00D60286" w:rsidRPr="00835EE4" w:rsidRDefault="00D60286" w:rsidP="00F56397">
            <w:pPr>
              <w:spacing w:before="100" w:beforeAutospacing="1" w:after="100" w:afterAutospacing="1"/>
              <w:contextualSpacing/>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Carbon Storage, Soil Organic Matter, Temperature</w:t>
            </w:r>
          </w:p>
        </w:tc>
      </w:tr>
      <w:tr w:rsidR="00D60286" w:rsidRPr="00835EE4" w14:paraId="434D520E" w14:textId="77777777" w:rsidTr="00B12064">
        <w:tc>
          <w:tcPr>
            <w:tcW w:w="0" w:type="auto"/>
            <w:vMerge/>
            <w:vAlign w:val="center"/>
            <w:hideMark/>
          </w:tcPr>
          <w:p w14:paraId="48CA65F8" w14:textId="77777777" w:rsidR="00D60286" w:rsidRPr="00835EE4" w:rsidRDefault="00D60286" w:rsidP="00D60286">
            <w:pPr>
              <w:spacing w:before="100" w:beforeAutospacing="1" w:after="100" w:afterAutospacing="1"/>
              <w:ind w:firstLine="288"/>
              <w:contextualSpacing/>
              <w:jc w:val="center"/>
              <w:rPr>
                <w:rFonts w:ascii="Times New Roman" w:hAnsi="Times New Roman"/>
                <w:b/>
                <w:i/>
                <w:iCs/>
                <w:color w:val="000000" w:themeColor="text1"/>
                <w:sz w:val="16"/>
                <w:szCs w:val="24"/>
              </w:rPr>
            </w:pPr>
          </w:p>
        </w:tc>
        <w:tc>
          <w:tcPr>
            <w:tcW w:w="0" w:type="auto"/>
            <w:vAlign w:val="center"/>
            <w:hideMark/>
          </w:tcPr>
          <w:p w14:paraId="17B6A50D"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Landscape Structure</w:t>
            </w:r>
          </w:p>
        </w:tc>
        <w:tc>
          <w:tcPr>
            <w:tcW w:w="0" w:type="auto"/>
            <w:vAlign w:val="center"/>
            <w:hideMark/>
          </w:tcPr>
          <w:p w14:paraId="54E6A1EA"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0.642</w:t>
            </w:r>
          </w:p>
        </w:tc>
        <w:tc>
          <w:tcPr>
            <w:tcW w:w="0" w:type="auto"/>
            <w:vAlign w:val="center"/>
            <w:hideMark/>
          </w:tcPr>
          <w:p w14:paraId="2EDE5EB5"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65.5</w:t>
            </w:r>
          </w:p>
        </w:tc>
        <w:tc>
          <w:tcPr>
            <w:tcW w:w="0" w:type="auto"/>
            <w:vAlign w:val="center"/>
            <w:hideMark/>
          </w:tcPr>
          <w:p w14:paraId="23E41149"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Connectivity, Spatial Coordinates</w:t>
            </w:r>
          </w:p>
        </w:tc>
        <w:tc>
          <w:tcPr>
            <w:tcW w:w="0" w:type="auto"/>
            <w:vAlign w:val="center"/>
            <w:hideMark/>
          </w:tcPr>
          <w:p w14:paraId="7F77D497"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 Natural Habitat, Crop Diversity</w:t>
            </w:r>
          </w:p>
        </w:tc>
        <w:tc>
          <w:tcPr>
            <w:tcW w:w="0" w:type="auto"/>
            <w:vAlign w:val="center"/>
            <w:hideMark/>
          </w:tcPr>
          <w:p w14:paraId="3323921A"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Habitat Diversity (+) Precipitation (–), Tillage (+)</w:t>
            </w:r>
          </w:p>
        </w:tc>
        <w:tc>
          <w:tcPr>
            <w:tcW w:w="0" w:type="auto"/>
            <w:vAlign w:val="center"/>
            <w:hideMark/>
          </w:tcPr>
          <w:p w14:paraId="76A8C2FD" w14:textId="77777777" w:rsidR="00D60286" w:rsidRPr="00835EE4" w:rsidRDefault="00D60286" w:rsidP="00F56397">
            <w:pPr>
              <w:spacing w:before="100" w:beforeAutospacing="1" w:after="100" w:afterAutospacing="1"/>
              <w:contextualSpacing/>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Soil Organic Matter</w:t>
            </w:r>
            <w:proofErr w:type="gramStart"/>
            <w:r w:rsidRPr="00835EE4">
              <w:rPr>
                <w:rFonts w:ascii="Times New Roman" w:hAnsi="Times New Roman"/>
                <w:i/>
                <w:iCs/>
                <w:color w:val="000000" w:themeColor="text1"/>
                <w:sz w:val="16"/>
                <w:szCs w:val="24"/>
              </w:rPr>
              <w:t>, ,</w:t>
            </w:r>
            <w:proofErr w:type="gramEnd"/>
            <w:r w:rsidRPr="00835EE4">
              <w:rPr>
                <w:rFonts w:ascii="Times New Roman" w:hAnsi="Times New Roman"/>
                <w:i/>
                <w:iCs/>
                <w:color w:val="000000" w:themeColor="text1"/>
                <w:sz w:val="16"/>
                <w:szCs w:val="24"/>
              </w:rPr>
              <w:t xml:space="preserve"> Edge Density, Elevation, Temperature</w:t>
            </w:r>
          </w:p>
        </w:tc>
      </w:tr>
      <w:tr w:rsidR="00D60286" w:rsidRPr="00835EE4" w14:paraId="45299BBA" w14:textId="77777777" w:rsidTr="00B12064">
        <w:tc>
          <w:tcPr>
            <w:tcW w:w="0" w:type="auto"/>
            <w:vMerge w:val="restart"/>
            <w:textDirection w:val="btLr"/>
            <w:vAlign w:val="center"/>
            <w:hideMark/>
          </w:tcPr>
          <w:p w14:paraId="0851BD87" w14:textId="77777777" w:rsidR="00D60286" w:rsidRPr="00835EE4" w:rsidRDefault="00D60286" w:rsidP="00D60286">
            <w:pPr>
              <w:spacing w:before="100" w:beforeAutospacing="1" w:after="100" w:afterAutospacing="1"/>
              <w:ind w:left="113" w:right="113" w:firstLine="288"/>
              <w:contextualSpacing/>
              <w:jc w:val="center"/>
              <w:rPr>
                <w:rFonts w:ascii="Times New Roman" w:hAnsi="Times New Roman"/>
                <w:b/>
                <w:i/>
                <w:iCs/>
                <w:color w:val="000000" w:themeColor="text1"/>
                <w:sz w:val="16"/>
                <w:szCs w:val="24"/>
              </w:rPr>
            </w:pPr>
            <w:r w:rsidRPr="00835EE4">
              <w:rPr>
                <w:rFonts w:ascii="Times New Roman" w:hAnsi="Times New Roman"/>
                <w:b/>
                <w:i/>
                <w:iCs/>
                <w:color w:val="000000" w:themeColor="text1"/>
                <w:sz w:val="16"/>
                <w:szCs w:val="24"/>
              </w:rPr>
              <w:t>Winter Wheat</w:t>
            </w:r>
          </w:p>
        </w:tc>
        <w:tc>
          <w:tcPr>
            <w:tcW w:w="0" w:type="auto"/>
            <w:vAlign w:val="center"/>
            <w:hideMark/>
          </w:tcPr>
          <w:p w14:paraId="42E0A0BC"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Ecosystem Services</w:t>
            </w:r>
          </w:p>
        </w:tc>
        <w:tc>
          <w:tcPr>
            <w:tcW w:w="0" w:type="auto"/>
            <w:vAlign w:val="center"/>
            <w:hideMark/>
          </w:tcPr>
          <w:p w14:paraId="3E832B15"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0.590</w:t>
            </w:r>
          </w:p>
        </w:tc>
        <w:tc>
          <w:tcPr>
            <w:tcW w:w="0" w:type="auto"/>
            <w:vAlign w:val="center"/>
            <w:hideMark/>
          </w:tcPr>
          <w:p w14:paraId="491895DA"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60.5</w:t>
            </w:r>
          </w:p>
        </w:tc>
        <w:tc>
          <w:tcPr>
            <w:tcW w:w="0" w:type="auto"/>
            <w:vAlign w:val="center"/>
            <w:hideMark/>
          </w:tcPr>
          <w:p w14:paraId="4F39A223"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Habitat Quality, Erosion Control, Spatial Coordinates</w:t>
            </w:r>
          </w:p>
        </w:tc>
        <w:tc>
          <w:tcPr>
            <w:tcW w:w="0" w:type="auto"/>
            <w:vAlign w:val="center"/>
            <w:hideMark/>
          </w:tcPr>
          <w:p w14:paraId="710DFFAA"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Pollination</w:t>
            </w:r>
          </w:p>
        </w:tc>
        <w:tc>
          <w:tcPr>
            <w:tcW w:w="0" w:type="auto"/>
            <w:vAlign w:val="center"/>
            <w:hideMark/>
          </w:tcPr>
          <w:p w14:paraId="41160CA0"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Temperature (–), Tillage (+)</w:t>
            </w:r>
          </w:p>
        </w:tc>
        <w:tc>
          <w:tcPr>
            <w:tcW w:w="0" w:type="auto"/>
            <w:vAlign w:val="center"/>
            <w:hideMark/>
          </w:tcPr>
          <w:p w14:paraId="05EF3750" w14:textId="77777777" w:rsidR="00D60286" w:rsidRPr="00835EE4" w:rsidRDefault="00D60286" w:rsidP="00F56397">
            <w:pPr>
              <w:spacing w:before="100" w:beforeAutospacing="1" w:after="100" w:afterAutospacing="1"/>
              <w:contextualSpacing/>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Carbon Storage, Soil Organic Matter, Elevation, Precipitation</w:t>
            </w:r>
          </w:p>
        </w:tc>
      </w:tr>
      <w:tr w:rsidR="00D60286" w:rsidRPr="00835EE4" w14:paraId="40253266" w14:textId="77777777" w:rsidTr="00B12064">
        <w:tc>
          <w:tcPr>
            <w:tcW w:w="0" w:type="auto"/>
            <w:vMerge/>
            <w:vAlign w:val="center"/>
            <w:hideMark/>
          </w:tcPr>
          <w:p w14:paraId="68481A17" w14:textId="77777777" w:rsidR="00D60286" w:rsidRPr="00835EE4" w:rsidRDefault="00D60286" w:rsidP="00D60286">
            <w:pPr>
              <w:spacing w:before="100" w:beforeAutospacing="1" w:after="100" w:afterAutospacing="1"/>
              <w:ind w:firstLine="288"/>
              <w:contextualSpacing/>
              <w:jc w:val="center"/>
              <w:rPr>
                <w:rFonts w:ascii="Times New Roman" w:hAnsi="Times New Roman"/>
                <w:b/>
                <w:i/>
                <w:iCs/>
                <w:color w:val="000000" w:themeColor="text1"/>
                <w:sz w:val="16"/>
                <w:szCs w:val="24"/>
              </w:rPr>
            </w:pPr>
          </w:p>
        </w:tc>
        <w:tc>
          <w:tcPr>
            <w:tcW w:w="0" w:type="auto"/>
            <w:vAlign w:val="center"/>
            <w:hideMark/>
          </w:tcPr>
          <w:p w14:paraId="311DD74C"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Landscape Structure</w:t>
            </w:r>
          </w:p>
        </w:tc>
        <w:tc>
          <w:tcPr>
            <w:tcW w:w="0" w:type="auto"/>
            <w:vAlign w:val="center"/>
            <w:hideMark/>
          </w:tcPr>
          <w:p w14:paraId="60D94A83"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0.585</w:t>
            </w:r>
          </w:p>
        </w:tc>
        <w:tc>
          <w:tcPr>
            <w:tcW w:w="0" w:type="auto"/>
            <w:vAlign w:val="center"/>
            <w:hideMark/>
          </w:tcPr>
          <w:p w14:paraId="0B0C5D82"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59.9</w:t>
            </w:r>
          </w:p>
        </w:tc>
        <w:tc>
          <w:tcPr>
            <w:tcW w:w="0" w:type="auto"/>
            <w:vAlign w:val="center"/>
            <w:hideMark/>
          </w:tcPr>
          <w:p w14:paraId="746BF680"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Crop Diversity, Spatial Coordinates</w:t>
            </w:r>
          </w:p>
        </w:tc>
        <w:tc>
          <w:tcPr>
            <w:tcW w:w="0" w:type="auto"/>
            <w:vAlign w:val="center"/>
            <w:hideMark/>
          </w:tcPr>
          <w:p w14:paraId="6CDC8821"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 Natural Habitat, Connectivity</w:t>
            </w:r>
          </w:p>
        </w:tc>
        <w:tc>
          <w:tcPr>
            <w:tcW w:w="0" w:type="auto"/>
            <w:vAlign w:val="center"/>
            <w:hideMark/>
          </w:tcPr>
          <w:p w14:paraId="635F4F19" w14:textId="77777777" w:rsidR="00D60286" w:rsidRPr="00835EE4" w:rsidRDefault="00D60286" w:rsidP="00D60286">
            <w:pPr>
              <w:spacing w:before="100" w:beforeAutospacing="1" w:after="100" w:afterAutospacing="1"/>
              <w:ind w:firstLine="288"/>
              <w:contextualSpacing/>
              <w:jc w:val="center"/>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Temperature (–), Tillage (+)</w:t>
            </w:r>
          </w:p>
        </w:tc>
        <w:tc>
          <w:tcPr>
            <w:tcW w:w="0" w:type="auto"/>
            <w:vAlign w:val="center"/>
            <w:hideMark/>
          </w:tcPr>
          <w:p w14:paraId="5A6A6EB0" w14:textId="77777777" w:rsidR="00D60286" w:rsidRPr="00835EE4" w:rsidRDefault="00D60286" w:rsidP="00F56397">
            <w:pPr>
              <w:spacing w:before="100" w:beforeAutospacing="1" w:after="100" w:afterAutospacing="1"/>
              <w:contextualSpacing/>
              <w:rPr>
                <w:rFonts w:ascii="Times New Roman" w:hAnsi="Times New Roman"/>
                <w:i/>
                <w:iCs/>
                <w:color w:val="000000" w:themeColor="text1"/>
                <w:sz w:val="16"/>
                <w:szCs w:val="24"/>
              </w:rPr>
            </w:pPr>
            <w:r w:rsidRPr="00835EE4">
              <w:rPr>
                <w:rFonts w:ascii="Times New Roman" w:hAnsi="Times New Roman"/>
                <w:i/>
                <w:iCs/>
                <w:color w:val="000000" w:themeColor="text1"/>
                <w:sz w:val="16"/>
                <w:szCs w:val="24"/>
              </w:rPr>
              <w:t>Soil Organic Matter, Habitat Diversity, Aggregation, Edge Density, Elevation, Precipitation</w:t>
            </w:r>
          </w:p>
        </w:tc>
      </w:tr>
    </w:tbl>
    <w:p w14:paraId="6E0B5270" w14:textId="7583271F" w:rsidR="00D60286" w:rsidRPr="00061524" w:rsidRDefault="00D60286" w:rsidP="00061524">
      <w:pPr>
        <w:pStyle w:val="ListParagraph"/>
        <w:keepNext/>
        <w:numPr>
          <w:ilvl w:val="0"/>
          <w:numId w:val="4"/>
        </w:numPr>
        <w:spacing w:before="100" w:beforeAutospacing="1" w:after="100" w:afterAutospacing="1" w:line="360" w:lineRule="auto"/>
        <w:outlineLvl w:val="7"/>
        <w:rPr>
          <w:rFonts w:ascii="Times New Roman" w:eastAsia="Times New Roman" w:hAnsi="Times New Roman" w:cs="Times New Roman"/>
          <w:b/>
          <w:iCs/>
          <w:sz w:val="24"/>
          <w:szCs w:val="24"/>
        </w:rPr>
      </w:pPr>
      <w:bookmarkStart w:id="9" w:name="_Toc200841218"/>
      <w:bookmarkStart w:id="10" w:name="_Toc203353656"/>
      <w:r w:rsidRPr="00061524">
        <w:rPr>
          <w:rFonts w:ascii="Times New Roman" w:eastAsia="Times New Roman" w:hAnsi="Times New Roman" w:cs="Times New Roman"/>
          <w:b/>
          <w:iCs/>
          <w:sz w:val="24"/>
          <w:szCs w:val="24"/>
        </w:rPr>
        <w:lastRenderedPageBreak/>
        <w:t>Scatter plot between major crop yield and ecosystem service models</w:t>
      </w:r>
      <w:bookmarkEnd w:id="9"/>
      <w:bookmarkEnd w:id="10"/>
    </w:p>
    <w:p w14:paraId="7EE3CBDB" w14:textId="77777777" w:rsidR="008C2D0A" w:rsidRDefault="00D60286" w:rsidP="008C2D0A">
      <w:pPr>
        <w:keepNext/>
        <w:spacing w:before="240" w:after="240" w:line="360" w:lineRule="auto"/>
        <w:ind w:firstLine="288"/>
      </w:pPr>
      <w:r w:rsidRPr="00835EE4">
        <w:rPr>
          <w:rFonts w:ascii="Times New Roman" w:eastAsia="Times New Roman" w:hAnsi="Times New Roman" w:cs="Times New Roman"/>
          <w:noProof/>
          <w:sz w:val="24"/>
          <w:szCs w:val="24"/>
        </w:rPr>
        <w:drawing>
          <wp:inline distT="0" distB="0" distL="0" distR="0" wp14:anchorId="393A6A7A" wp14:editId="6B329C7D">
            <wp:extent cx="5947410" cy="4864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7410" cy="4864735"/>
                    </a:xfrm>
                    <a:prstGeom prst="rect">
                      <a:avLst/>
                    </a:prstGeom>
                    <a:noFill/>
                    <a:ln>
                      <a:noFill/>
                    </a:ln>
                  </pic:spPr>
                </pic:pic>
              </a:graphicData>
            </a:graphic>
          </wp:inline>
        </w:drawing>
      </w:r>
    </w:p>
    <w:p w14:paraId="4CAE9995" w14:textId="1CB8A65C" w:rsidR="00D60286" w:rsidRPr="008C2D0A" w:rsidRDefault="008C2D0A" w:rsidP="008C2D0A">
      <w:pPr>
        <w:pStyle w:val="Caption"/>
        <w:rPr>
          <w:b w:val="0"/>
          <w:i/>
          <w:sz w:val="24"/>
          <w:szCs w:val="24"/>
        </w:rPr>
      </w:pPr>
      <w:r w:rsidRPr="008C2D0A">
        <w:rPr>
          <w:b w:val="0"/>
          <w:i/>
        </w:rPr>
        <w:t xml:space="preserve">Figure </w:t>
      </w:r>
      <w:r w:rsidRPr="008C2D0A">
        <w:rPr>
          <w:b w:val="0"/>
          <w:i/>
        </w:rPr>
        <w:fldChar w:fldCharType="begin"/>
      </w:r>
      <w:r w:rsidRPr="008C2D0A">
        <w:rPr>
          <w:b w:val="0"/>
          <w:i/>
        </w:rPr>
        <w:instrText xml:space="preserve"> SEQ Figure \* ARABIC </w:instrText>
      </w:r>
      <w:r w:rsidRPr="008C2D0A">
        <w:rPr>
          <w:b w:val="0"/>
          <w:i/>
        </w:rPr>
        <w:fldChar w:fldCharType="separate"/>
      </w:r>
      <w:r w:rsidR="00F56397">
        <w:rPr>
          <w:b w:val="0"/>
          <w:i/>
          <w:noProof/>
        </w:rPr>
        <w:t>1</w:t>
      </w:r>
      <w:r w:rsidRPr="008C2D0A">
        <w:rPr>
          <w:b w:val="0"/>
          <w:i/>
        </w:rPr>
        <w:fldChar w:fldCharType="end"/>
      </w:r>
      <w:bookmarkStart w:id="11" w:name="_Toc200920372"/>
      <w:r w:rsidRPr="008C2D0A">
        <w:rPr>
          <w:b w:val="0"/>
          <w:i/>
        </w:rPr>
        <w:t xml:space="preserve">. </w:t>
      </w:r>
      <w:r w:rsidR="00D60286" w:rsidRPr="008C2D0A">
        <w:rPr>
          <w:b w:val="0"/>
          <w:i/>
        </w:rPr>
        <w:t xml:space="preserve">Scatter plots showing the relationship between crop yield and selected ecosystem service predictors across four major crop types: canola, barley, wheat, and Oats. Each column corresponds to one crop, while each row represents a different ecosystem service indicator. Red lines indicate smoothed trends, and shaded ribbons denote </w:t>
      </w:r>
      <w:r w:rsidR="00D60286" w:rsidRPr="008C2D0A">
        <w:rPr>
          <w:b w:val="0"/>
          <w:i/>
        </w:rPr>
        <w:lastRenderedPageBreak/>
        <w:t>95% confidence intervals. The plots reveal both linear and nonlinear relationships, highlighting how different ecosystem services influence crop yield dynamics across crop types.</w:t>
      </w:r>
      <w:bookmarkEnd w:id="11"/>
    </w:p>
    <w:p w14:paraId="6146D313" w14:textId="4EC92C2C" w:rsidR="00D60286" w:rsidRPr="00061524" w:rsidRDefault="00D60286" w:rsidP="00061524">
      <w:pPr>
        <w:pStyle w:val="ListParagraph"/>
        <w:keepNext/>
        <w:numPr>
          <w:ilvl w:val="0"/>
          <w:numId w:val="4"/>
        </w:numPr>
        <w:spacing w:before="100" w:beforeAutospacing="1" w:after="100" w:afterAutospacing="1" w:line="360" w:lineRule="auto"/>
        <w:outlineLvl w:val="7"/>
        <w:rPr>
          <w:rFonts w:ascii="Times New Roman" w:eastAsia="Times New Roman" w:hAnsi="Times New Roman" w:cs="Times New Roman"/>
          <w:b/>
          <w:iCs/>
          <w:sz w:val="24"/>
          <w:szCs w:val="24"/>
        </w:rPr>
      </w:pPr>
      <w:bookmarkStart w:id="12" w:name="_Toc200841219"/>
      <w:bookmarkStart w:id="13" w:name="_Toc203353657"/>
      <w:r w:rsidRPr="00061524">
        <w:rPr>
          <w:rFonts w:ascii="Times New Roman" w:eastAsia="Times New Roman" w:hAnsi="Times New Roman" w:cs="Times New Roman"/>
          <w:b/>
          <w:iCs/>
          <w:sz w:val="24"/>
          <w:szCs w:val="24"/>
        </w:rPr>
        <w:t>Scatter plot between major crop yield and landscape structure metrics</w:t>
      </w:r>
      <w:bookmarkEnd w:id="12"/>
      <w:bookmarkEnd w:id="13"/>
    </w:p>
    <w:p w14:paraId="434BF98F" w14:textId="77777777" w:rsidR="008C2D0A" w:rsidRDefault="00D60286" w:rsidP="008C2D0A">
      <w:pPr>
        <w:keepNext/>
        <w:spacing w:before="240" w:after="240" w:line="360" w:lineRule="auto"/>
        <w:ind w:firstLine="288"/>
      </w:pPr>
      <w:r w:rsidRPr="00835EE4">
        <w:rPr>
          <w:rFonts w:ascii="Times New Roman" w:eastAsia="Times New Roman" w:hAnsi="Times New Roman" w:cs="Times New Roman"/>
          <w:noProof/>
          <w:sz w:val="24"/>
          <w:szCs w:val="24"/>
        </w:rPr>
        <w:drawing>
          <wp:inline distT="0" distB="0" distL="0" distR="0" wp14:anchorId="1113A0DE" wp14:editId="35894074">
            <wp:extent cx="5947410" cy="4864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7410" cy="4864735"/>
                    </a:xfrm>
                    <a:prstGeom prst="rect">
                      <a:avLst/>
                    </a:prstGeom>
                    <a:noFill/>
                    <a:ln>
                      <a:noFill/>
                    </a:ln>
                  </pic:spPr>
                </pic:pic>
              </a:graphicData>
            </a:graphic>
          </wp:inline>
        </w:drawing>
      </w:r>
    </w:p>
    <w:p w14:paraId="607FA815" w14:textId="5962329B" w:rsidR="00D60286" w:rsidRPr="008C2D0A" w:rsidRDefault="008C2D0A" w:rsidP="008C2D0A">
      <w:pPr>
        <w:pStyle w:val="Caption"/>
        <w:rPr>
          <w:b w:val="0"/>
          <w:bCs w:val="0"/>
          <w:i/>
          <w:sz w:val="24"/>
          <w:szCs w:val="24"/>
        </w:rPr>
      </w:pPr>
      <w:r w:rsidRPr="008C2D0A">
        <w:rPr>
          <w:b w:val="0"/>
          <w:i/>
        </w:rPr>
        <w:t xml:space="preserve">Figure </w:t>
      </w:r>
      <w:r w:rsidRPr="008C2D0A">
        <w:rPr>
          <w:b w:val="0"/>
          <w:i/>
        </w:rPr>
        <w:fldChar w:fldCharType="begin"/>
      </w:r>
      <w:r w:rsidRPr="008C2D0A">
        <w:rPr>
          <w:b w:val="0"/>
          <w:i/>
        </w:rPr>
        <w:instrText xml:space="preserve"> SEQ Figure \* ARABIC </w:instrText>
      </w:r>
      <w:r w:rsidRPr="008C2D0A">
        <w:rPr>
          <w:b w:val="0"/>
          <w:i/>
        </w:rPr>
        <w:fldChar w:fldCharType="separate"/>
      </w:r>
      <w:r w:rsidR="00F56397">
        <w:rPr>
          <w:b w:val="0"/>
          <w:i/>
          <w:noProof/>
        </w:rPr>
        <w:t>2</w:t>
      </w:r>
      <w:r w:rsidRPr="008C2D0A">
        <w:rPr>
          <w:b w:val="0"/>
          <w:i/>
        </w:rPr>
        <w:fldChar w:fldCharType="end"/>
      </w:r>
      <w:bookmarkStart w:id="14" w:name="_Toc200920373"/>
      <w:r w:rsidRPr="008C2D0A">
        <w:rPr>
          <w:b w:val="0"/>
          <w:i/>
        </w:rPr>
        <w:t xml:space="preserve">. </w:t>
      </w:r>
      <w:r w:rsidR="00D60286" w:rsidRPr="008C2D0A">
        <w:rPr>
          <w:b w:val="0"/>
          <w:i/>
        </w:rPr>
        <w:t>Scatter plots illustrating the relationship between crop yield and landscape structure metrics across four major crop types: canola, barley, wheat, and Oats. Each column represents a crop, while each row displays a different landscape structure metric, such as edge density, patch richness, and aggregation index. The plots provide a visual overview of how structural features of the surrounding landscape correlate with crop yield at the spatial unit level. These exploratory plots support the assessment of landscape configuration effects on agricultural productivity across crop types in prairie agroecosystems.</w:t>
      </w:r>
      <w:bookmarkEnd w:id="14"/>
    </w:p>
    <w:p w14:paraId="3AEB2973" w14:textId="77777777" w:rsidR="00742B89" w:rsidRPr="00835EE4" w:rsidRDefault="008C480E">
      <w:pPr>
        <w:rPr>
          <w:rFonts w:ascii="Times New Roman" w:hAnsi="Times New Roman" w:cs="Times New Roman"/>
        </w:rPr>
      </w:pPr>
    </w:p>
    <w:sectPr w:rsidR="00742B89" w:rsidRPr="00835EE4" w:rsidSect="00F30C4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D4053" w14:textId="77777777" w:rsidR="008C480E" w:rsidRDefault="008C480E" w:rsidP="00835EE4">
      <w:pPr>
        <w:spacing w:after="0" w:line="240" w:lineRule="auto"/>
      </w:pPr>
      <w:r>
        <w:separator/>
      </w:r>
    </w:p>
  </w:endnote>
  <w:endnote w:type="continuationSeparator" w:id="0">
    <w:p w14:paraId="40C47A3B" w14:textId="77777777" w:rsidR="008C480E" w:rsidRDefault="008C480E" w:rsidP="0083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06306" w14:textId="77777777" w:rsidR="008C480E" w:rsidRDefault="008C480E" w:rsidP="00835EE4">
      <w:pPr>
        <w:spacing w:after="0" w:line="240" w:lineRule="auto"/>
      </w:pPr>
      <w:r>
        <w:separator/>
      </w:r>
    </w:p>
  </w:footnote>
  <w:footnote w:type="continuationSeparator" w:id="0">
    <w:p w14:paraId="69188394" w14:textId="77777777" w:rsidR="008C480E" w:rsidRDefault="008C480E" w:rsidP="00835EE4">
      <w:pPr>
        <w:spacing w:after="0" w:line="240" w:lineRule="auto"/>
      </w:pPr>
      <w:r>
        <w:continuationSeparator/>
      </w:r>
    </w:p>
  </w:footnote>
  <w:footnote w:id="1">
    <w:p w14:paraId="72D4F8DA" w14:textId="77777777" w:rsidR="00835EE4" w:rsidRPr="009871ED" w:rsidRDefault="00835EE4" w:rsidP="00835EE4">
      <w:pPr>
        <w:pStyle w:val="FootnoteText"/>
      </w:pPr>
      <w:r w:rsidRPr="00D60E4E">
        <w:rPr>
          <w:rStyle w:val="FootnoteReference"/>
        </w:rPr>
        <w:footnoteRef/>
      </w:r>
      <w:r>
        <w:t xml:space="preserve"> . </w:t>
      </w:r>
      <w:hyperlink r:id="rId1" w:history="1">
        <w:r w:rsidRPr="00E32DAB">
          <w:rPr>
            <w:rStyle w:val="Hyperlink"/>
          </w:rPr>
          <w:t>https://www.agr.gc.ca/atlas/apps/metrics/index-en.html?appid=aci-iac</w:t>
        </w:r>
      </w:hyperlink>
      <w:r>
        <w:t xml:space="preserve"> </w:t>
      </w:r>
    </w:p>
  </w:footnote>
  <w:footnote w:id="2">
    <w:p w14:paraId="6F5BACC4" w14:textId="77777777" w:rsidR="00835EE4" w:rsidRPr="001964D6" w:rsidRDefault="00835EE4" w:rsidP="00835EE4">
      <w:pPr>
        <w:pStyle w:val="FootnoteText"/>
        <w:rPr>
          <w:rFonts w:ascii="Times New Roman" w:hAnsi="Times New Roman" w:cs="Times New Roman"/>
        </w:rPr>
      </w:pPr>
      <w:r w:rsidRPr="00D60E4E">
        <w:rPr>
          <w:rStyle w:val="FootnoteReference"/>
        </w:rPr>
        <w:footnoteRef/>
      </w:r>
      <w:r>
        <w:t xml:space="preserve"> </w:t>
      </w:r>
      <w:r w:rsidRPr="001964D6">
        <w:rPr>
          <w:rFonts w:ascii="Times New Roman" w:hAnsi="Times New Roman" w:cs="Times New Roman"/>
        </w:rPr>
        <w:t xml:space="preserve">. </w:t>
      </w:r>
      <w:hyperlink r:id="rId2" w:history="1">
        <w:r w:rsidRPr="001964D6">
          <w:rPr>
            <w:rStyle w:val="Hyperlink"/>
          </w:rPr>
          <w:t>https://daac.ornl.gov/VEGETATION/guides/Global_Maps_C_Density_2010.html</w:t>
        </w:r>
      </w:hyperlink>
      <w:r w:rsidRPr="001964D6">
        <w:rPr>
          <w:rFonts w:ascii="Times New Roman" w:hAnsi="Times New Roman" w:cs="Times New Roman"/>
        </w:rPr>
        <w:t xml:space="preserve"> </w:t>
      </w:r>
    </w:p>
  </w:footnote>
  <w:footnote w:id="3">
    <w:p w14:paraId="2AFFD8DC" w14:textId="77777777" w:rsidR="00835EE4" w:rsidRPr="001964D6" w:rsidRDefault="00835EE4" w:rsidP="00835EE4">
      <w:pPr>
        <w:pStyle w:val="FootnoteText"/>
        <w:rPr>
          <w:rFonts w:ascii="Times New Roman" w:hAnsi="Times New Roman" w:cs="Times New Roman"/>
        </w:rPr>
      </w:pPr>
      <w:r w:rsidRPr="00D60E4E">
        <w:rPr>
          <w:rStyle w:val="FootnoteReference"/>
        </w:rPr>
        <w:footnoteRef/>
      </w:r>
      <w:r w:rsidRPr="001964D6">
        <w:rPr>
          <w:rFonts w:ascii="Times New Roman" w:hAnsi="Times New Roman" w:cs="Times New Roman"/>
        </w:rPr>
        <w:t xml:space="preserve"> . </w:t>
      </w:r>
      <w:hyperlink r:id="rId3" w:history="1">
        <w:r w:rsidRPr="001964D6">
          <w:rPr>
            <w:rStyle w:val="Hyperlink"/>
          </w:rPr>
          <w:t>https://wwf.ca/carbonmap/</w:t>
        </w:r>
      </w:hyperlink>
      <w:r w:rsidRPr="001964D6">
        <w:rPr>
          <w:rFonts w:ascii="Times New Roman" w:hAnsi="Times New Roman" w:cs="Times New Roman"/>
        </w:rPr>
        <w:t xml:space="preserve"> </w:t>
      </w:r>
    </w:p>
  </w:footnote>
  <w:footnote w:id="4">
    <w:p w14:paraId="342F3AED" w14:textId="77777777" w:rsidR="00835EE4" w:rsidRPr="001964D6" w:rsidRDefault="00835EE4" w:rsidP="00835EE4">
      <w:pPr>
        <w:pStyle w:val="FootnoteText"/>
        <w:rPr>
          <w:rFonts w:ascii="Times New Roman" w:hAnsi="Times New Roman" w:cs="Times New Roman"/>
        </w:rPr>
      </w:pPr>
      <w:r w:rsidRPr="00D60E4E">
        <w:rPr>
          <w:rStyle w:val="FootnoteReference"/>
        </w:rPr>
        <w:footnoteRef/>
      </w:r>
      <w:r w:rsidRPr="001964D6">
        <w:rPr>
          <w:rFonts w:ascii="Times New Roman" w:hAnsi="Times New Roman" w:cs="Times New Roman"/>
        </w:rPr>
        <w:t xml:space="preserve"> . </w:t>
      </w:r>
      <w:hyperlink r:id="rId4" w:history="1">
        <w:r w:rsidRPr="001964D6">
          <w:rPr>
            <w:rStyle w:val="Hyperlink"/>
          </w:rPr>
          <w:t>https://climatena.ca/</w:t>
        </w:r>
      </w:hyperlink>
      <w:r w:rsidRPr="001964D6">
        <w:rPr>
          <w:rFonts w:ascii="Times New Roman" w:hAnsi="Times New Roman" w:cs="Times New Roman"/>
        </w:rPr>
        <w:t xml:space="preserve"> </w:t>
      </w:r>
    </w:p>
  </w:footnote>
  <w:footnote w:id="5">
    <w:p w14:paraId="12F4691F" w14:textId="77777777" w:rsidR="00835EE4" w:rsidRPr="00B15AF4" w:rsidRDefault="00835EE4" w:rsidP="00835EE4">
      <w:pPr>
        <w:pStyle w:val="FootnoteText"/>
        <w:rPr>
          <w:lang w:val="en-CA"/>
        </w:rPr>
      </w:pPr>
      <w:r w:rsidRPr="00D60E4E">
        <w:rPr>
          <w:rStyle w:val="FootnoteReference"/>
        </w:rPr>
        <w:footnoteRef/>
      </w:r>
      <w:r>
        <w:t xml:space="preserve"> </w:t>
      </w:r>
      <w:hyperlink r:id="rId5" w:history="1">
        <w:r w:rsidRPr="00826363">
          <w:rPr>
            <w:rStyle w:val="Hyperlink"/>
          </w:rPr>
          <w:t>https://doi.org/10.5523/bris.s5hqmjcdj8yo2ibzi9b4ew3sn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14B6"/>
    <w:multiLevelType w:val="hybridMultilevel"/>
    <w:tmpl w:val="94B0B3C0"/>
    <w:lvl w:ilvl="0" w:tplc="F5E27DAC">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C100159"/>
    <w:multiLevelType w:val="multilevel"/>
    <w:tmpl w:val="41B89ADC"/>
    <w:lvl w:ilvl="0">
      <w:start w:val="1"/>
      <w:numFmt w:val="decimal"/>
      <w:lvlText w:val="%1."/>
      <w:lvlJc w:val="left"/>
      <w:pPr>
        <w:ind w:left="648" w:hanging="360"/>
      </w:pPr>
      <w:rPr>
        <w:rFonts w:hint="default"/>
      </w:rPr>
    </w:lvl>
    <w:lvl w:ilvl="1">
      <w:start w:val="1"/>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2" w15:restartNumberingAfterBreak="0">
    <w:nsid w:val="4C4C4CF5"/>
    <w:multiLevelType w:val="multilevel"/>
    <w:tmpl w:val="BD54C888"/>
    <w:lvl w:ilvl="0">
      <w:start w:val="1"/>
      <w:numFmt w:val="none"/>
      <w:pStyle w:val="Heading1"/>
      <w:suff w:val="nothing"/>
      <w:lvlText w:val=""/>
      <w:lvlJc w:val="left"/>
      <w:rPr>
        <w:rFonts w:cs="Times New Roman" w:hint="default"/>
      </w:rPr>
    </w:lvl>
    <w:lvl w:ilvl="1">
      <w:start w:val="1"/>
      <w:numFmt w:val="decimal"/>
      <w:lvlRestart w:val="0"/>
      <w:pStyle w:val="Heading2"/>
      <w:suff w:val="space"/>
      <w:lvlText w:val="Chapter %2:"/>
      <w:lvlJc w:val="left"/>
      <w:rPr>
        <w:rFonts w:cs="Times New Roman" w:hint="default"/>
      </w:rPr>
    </w:lvl>
    <w:lvl w:ilvl="2">
      <w:start w:val="1"/>
      <w:numFmt w:val="decimal"/>
      <w:pStyle w:val="Heading3"/>
      <w:lvlText w:val="%2.%3"/>
      <w:lvlJc w:val="left"/>
      <w:pPr>
        <w:tabs>
          <w:tab w:val="num" w:pos="576"/>
        </w:tabs>
      </w:pPr>
      <w:rPr>
        <w:rFonts w:cs="Times New Roman" w:hint="default"/>
      </w:rPr>
    </w:lvl>
    <w:lvl w:ilvl="3">
      <w:start w:val="1"/>
      <w:numFmt w:val="decimal"/>
      <w:pStyle w:val="Heading4"/>
      <w:lvlText w:val="%2.%3.%4"/>
      <w:lvlJc w:val="left"/>
      <w:pPr>
        <w:tabs>
          <w:tab w:val="num" w:pos="792"/>
        </w:tabs>
      </w:pPr>
      <w:rPr>
        <w:rFonts w:cs="Times New Roman" w:hint="default"/>
      </w:rPr>
    </w:lvl>
    <w:lvl w:ilvl="4">
      <w:start w:val="1"/>
      <w:numFmt w:val="decimal"/>
      <w:pStyle w:val="Heading5"/>
      <w:lvlText w:val="%2.%3.%4.%5"/>
      <w:lvlJc w:val="left"/>
      <w:pPr>
        <w:tabs>
          <w:tab w:val="num" w:pos="1008"/>
        </w:tabs>
      </w:pPr>
      <w:rPr>
        <w:rFonts w:cs="Times New Roman" w:hint="default"/>
      </w:rPr>
    </w:lvl>
    <w:lvl w:ilvl="5">
      <w:start w:val="1"/>
      <w:numFmt w:val="decimal"/>
      <w:pStyle w:val="Heading6"/>
      <w:lvlText w:val="%2.%3.%4.%5.%6"/>
      <w:lvlJc w:val="left"/>
      <w:pPr>
        <w:tabs>
          <w:tab w:val="num" w:pos="1224"/>
        </w:tabs>
      </w:pPr>
      <w:rPr>
        <w:rFonts w:cs="Times New Roman" w:hint="default"/>
      </w:rPr>
    </w:lvl>
    <w:lvl w:ilvl="6">
      <w:start w:val="1"/>
      <w:numFmt w:val="upperLetter"/>
      <w:lvlRestart w:val="0"/>
      <w:pStyle w:val="Heading7"/>
      <w:suff w:val="nothing"/>
      <w:lvlText w:val="Appendix %7  "/>
      <w:lvlJc w:val="left"/>
      <w:rPr>
        <w:rFonts w:cs="Times New Roman" w:hint="default"/>
      </w:rPr>
    </w:lvl>
    <w:lvl w:ilvl="7">
      <w:start w:val="1"/>
      <w:numFmt w:val="decimal"/>
      <w:pStyle w:val="Heading8"/>
      <w:lvlText w:val="%7.%8"/>
      <w:lvlJc w:val="left"/>
      <w:rPr>
        <w:rFonts w:cs="Times New Roman" w:hint="default"/>
      </w:rPr>
    </w:lvl>
    <w:lvl w:ilvl="8">
      <w:start w:val="1"/>
      <w:numFmt w:val="none"/>
      <w:pStyle w:val="Heading9"/>
      <w:suff w:val="nothing"/>
      <w:lvlText w:val=""/>
      <w:lvlJc w:val="left"/>
      <w:rPr>
        <w:rFonts w:cs="Times New Roman" w:hint="default"/>
      </w:rPr>
    </w:lvl>
  </w:abstractNum>
  <w:abstractNum w:abstractNumId="3" w15:restartNumberingAfterBreak="0">
    <w:nsid w:val="77D91269"/>
    <w:multiLevelType w:val="multilevel"/>
    <w:tmpl w:val="D37A8E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B8"/>
    <w:rsid w:val="000534E0"/>
    <w:rsid w:val="00061524"/>
    <w:rsid w:val="00084680"/>
    <w:rsid w:val="000B38D9"/>
    <w:rsid w:val="00101F21"/>
    <w:rsid w:val="0011131C"/>
    <w:rsid w:val="00231144"/>
    <w:rsid w:val="003A17DE"/>
    <w:rsid w:val="003E32E0"/>
    <w:rsid w:val="00455A30"/>
    <w:rsid w:val="005D3EA9"/>
    <w:rsid w:val="00615D01"/>
    <w:rsid w:val="007361DE"/>
    <w:rsid w:val="00835EE4"/>
    <w:rsid w:val="008C2D0A"/>
    <w:rsid w:val="008C480E"/>
    <w:rsid w:val="0093114D"/>
    <w:rsid w:val="009A18FF"/>
    <w:rsid w:val="00A162B8"/>
    <w:rsid w:val="00A25C44"/>
    <w:rsid w:val="00AE389A"/>
    <w:rsid w:val="00B67F15"/>
    <w:rsid w:val="00C90C8F"/>
    <w:rsid w:val="00CD0E78"/>
    <w:rsid w:val="00D60286"/>
    <w:rsid w:val="00E05B1F"/>
    <w:rsid w:val="00E76488"/>
    <w:rsid w:val="00ED4E7A"/>
    <w:rsid w:val="00EE011E"/>
    <w:rsid w:val="00F56397"/>
    <w:rsid w:val="00FF2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23B8"/>
  <w15:chartTrackingRefBased/>
  <w15:docId w15:val="{BF5C6399-68D6-43E2-81AF-5E77170F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286"/>
    <w:pPr>
      <w:keepLines/>
      <w:pageBreakBefore/>
      <w:numPr>
        <w:numId w:val="1"/>
      </w:numPr>
      <w:spacing w:after="0" w:line="360" w:lineRule="auto"/>
      <w:outlineLvl w:val="0"/>
    </w:pPr>
    <w:rPr>
      <w:rFonts w:ascii="Times New Roman" w:eastAsia="SimSun" w:hAnsi="Times New Roman" w:cs="Times New Roman"/>
      <w:b/>
      <w:bCs/>
      <w:sz w:val="28"/>
      <w:szCs w:val="32"/>
    </w:rPr>
  </w:style>
  <w:style w:type="paragraph" w:styleId="Heading2">
    <w:name w:val="heading 2"/>
    <w:basedOn w:val="Normal"/>
    <w:next w:val="Normal"/>
    <w:link w:val="Heading2Char"/>
    <w:uiPriority w:val="1"/>
    <w:qFormat/>
    <w:rsid w:val="00D60286"/>
    <w:pPr>
      <w:keepLines/>
      <w:pageBreakBefore/>
      <w:numPr>
        <w:ilvl w:val="1"/>
        <w:numId w:val="1"/>
      </w:numPr>
      <w:spacing w:after="0" w:line="360" w:lineRule="auto"/>
      <w:outlineLvl w:val="1"/>
    </w:pPr>
    <w:rPr>
      <w:rFonts w:ascii="Times New Roman" w:eastAsia="SimSun" w:hAnsi="Times New Roman" w:cs="Times New Roman"/>
      <w:b/>
      <w:bCs/>
      <w:sz w:val="28"/>
      <w:szCs w:val="26"/>
    </w:rPr>
  </w:style>
  <w:style w:type="paragraph" w:styleId="Heading3">
    <w:name w:val="heading 3"/>
    <w:basedOn w:val="Normal"/>
    <w:next w:val="Normal"/>
    <w:link w:val="Heading3Char"/>
    <w:uiPriority w:val="1"/>
    <w:qFormat/>
    <w:rsid w:val="00D60286"/>
    <w:pPr>
      <w:keepNext/>
      <w:numPr>
        <w:ilvl w:val="2"/>
        <w:numId w:val="1"/>
      </w:numPr>
      <w:spacing w:before="100" w:beforeAutospacing="1" w:after="100" w:afterAutospacing="1" w:line="360" w:lineRule="auto"/>
      <w:outlineLvl w:val="2"/>
    </w:pPr>
    <w:rPr>
      <w:rFonts w:ascii="Times New Roman" w:eastAsia="SimSun" w:hAnsi="Times New Roman" w:cs="Times New Roman"/>
      <w:b/>
      <w:bCs/>
      <w:sz w:val="24"/>
      <w:szCs w:val="24"/>
    </w:rPr>
  </w:style>
  <w:style w:type="paragraph" w:styleId="Heading4">
    <w:name w:val="heading 4"/>
    <w:basedOn w:val="Normal"/>
    <w:next w:val="Normal"/>
    <w:link w:val="Heading4Char"/>
    <w:uiPriority w:val="1"/>
    <w:qFormat/>
    <w:rsid w:val="00D60286"/>
    <w:pPr>
      <w:keepNext/>
      <w:numPr>
        <w:ilvl w:val="3"/>
        <w:numId w:val="1"/>
      </w:numPr>
      <w:spacing w:before="100" w:beforeAutospacing="1" w:after="100" w:afterAutospacing="1" w:line="360" w:lineRule="auto"/>
      <w:outlineLvl w:val="3"/>
    </w:pPr>
    <w:rPr>
      <w:rFonts w:ascii="Times New Roman" w:eastAsia="SimSun" w:hAnsi="Times New Roman" w:cs="Times New Roman"/>
      <w:b/>
      <w:bCs/>
      <w:iCs/>
      <w:sz w:val="24"/>
      <w:szCs w:val="24"/>
    </w:rPr>
  </w:style>
  <w:style w:type="paragraph" w:styleId="Heading5">
    <w:name w:val="heading 5"/>
    <w:basedOn w:val="Normal"/>
    <w:next w:val="Normal"/>
    <w:link w:val="Heading5Char"/>
    <w:uiPriority w:val="9"/>
    <w:qFormat/>
    <w:rsid w:val="00D60286"/>
    <w:pPr>
      <w:keepNext/>
      <w:numPr>
        <w:ilvl w:val="4"/>
        <w:numId w:val="1"/>
      </w:numPr>
      <w:spacing w:before="100" w:beforeAutospacing="1" w:after="100" w:afterAutospacing="1" w:line="360" w:lineRule="auto"/>
      <w:outlineLvl w:val="4"/>
    </w:pPr>
    <w:rPr>
      <w:rFonts w:ascii="Times New Roman" w:eastAsia="Times New Roman" w:hAnsi="Times New Roman" w:cs="Times New Roman"/>
      <w:b/>
      <w:bCs/>
      <w:iCs/>
      <w:sz w:val="24"/>
      <w:szCs w:val="26"/>
    </w:rPr>
  </w:style>
  <w:style w:type="paragraph" w:styleId="Heading6">
    <w:name w:val="heading 6"/>
    <w:basedOn w:val="Normal"/>
    <w:next w:val="Normal"/>
    <w:link w:val="Heading6Char"/>
    <w:uiPriority w:val="9"/>
    <w:qFormat/>
    <w:rsid w:val="00D60286"/>
    <w:pPr>
      <w:numPr>
        <w:ilvl w:val="5"/>
        <w:numId w:val="1"/>
      </w:numPr>
      <w:spacing w:after="0" w:line="360" w:lineRule="auto"/>
      <w:outlineLvl w:val="5"/>
    </w:pPr>
    <w:rPr>
      <w:rFonts w:ascii="Times New Roman" w:eastAsia="Times New Roman" w:hAnsi="Times New Roman" w:cs="Times New Roman"/>
      <w:b/>
      <w:bCs/>
      <w:sz w:val="24"/>
    </w:rPr>
  </w:style>
  <w:style w:type="paragraph" w:styleId="Heading7">
    <w:name w:val="heading 7"/>
    <w:basedOn w:val="Normal"/>
    <w:next w:val="Normal"/>
    <w:link w:val="Heading7Char"/>
    <w:uiPriority w:val="9"/>
    <w:qFormat/>
    <w:rsid w:val="00D60286"/>
    <w:pPr>
      <w:numPr>
        <w:ilvl w:val="6"/>
        <w:numId w:val="1"/>
      </w:numPr>
      <w:spacing w:after="0" w:line="36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uiPriority w:val="9"/>
    <w:qFormat/>
    <w:rsid w:val="00D60286"/>
    <w:pPr>
      <w:keepNext/>
      <w:numPr>
        <w:ilvl w:val="7"/>
        <w:numId w:val="1"/>
      </w:numPr>
      <w:spacing w:after="0" w:line="360" w:lineRule="auto"/>
      <w:outlineLvl w:val="7"/>
    </w:pPr>
    <w:rPr>
      <w:rFonts w:ascii="Times New Roman" w:eastAsia="Times New Roman" w:hAnsi="Times New Roman" w:cs="Times New Roman"/>
      <w:b/>
      <w:iCs/>
      <w:sz w:val="24"/>
      <w:szCs w:val="24"/>
    </w:rPr>
  </w:style>
  <w:style w:type="paragraph" w:styleId="Heading9">
    <w:name w:val="heading 9"/>
    <w:basedOn w:val="Normal"/>
    <w:next w:val="Normal"/>
    <w:link w:val="Heading9Char"/>
    <w:uiPriority w:val="9"/>
    <w:qFormat/>
    <w:rsid w:val="00D60286"/>
    <w:pPr>
      <w:numPr>
        <w:ilvl w:val="8"/>
        <w:numId w:val="1"/>
      </w:numPr>
      <w:spacing w:before="240" w:after="60" w:line="360" w:lineRule="auto"/>
      <w:outlineLvl w:val="8"/>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286"/>
    <w:rPr>
      <w:rFonts w:ascii="Times New Roman" w:eastAsia="SimSun" w:hAnsi="Times New Roman" w:cs="Times New Roman"/>
      <w:b/>
      <w:bCs/>
      <w:sz w:val="28"/>
      <w:szCs w:val="32"/>
    </w:rPr>
  </w:style>
  <w:style w:type="character" w:customStyle="1" w:styleId="Heading2Char">
    <w:name w:val="Heading 2 Char"/>
    <w:basedOn w:val="DefaultParagraphFont"/>
    <w:link w:val="Heading2"/>
    <w:uiPriority w:val="1"/>
    <w:rsid w:val="00D60286"/>
    <w:rPr>
      <w:rFonts w:ascii="Times New Roman" w:eastAsia="SimSun" w:hAnsi="Times New Roman" w:cs="Times New Roman"/>
      <w:b/>
      <w:bCs/>
      <w:sz w:val="28"/>
      <w:szCs w:val="26"/>
    </w:rPr>
  </w:style>
  <w:style w:type="character" w:customStyle="1" w:styleId="Heading3Char">
    <w:name w:val="Heading 3 Char"/>
    <w:basedOn w:val="DefaultParagraphFont"/>
    <w:link w:val="Heading3"/>
    <w:uiPriority w:val="1"/>
    <w:rsid w:val="00D60286"/>
    <w:rPr>
      <w:rFonts w:ascii="Times New Roman" w:eastAsia="SimSun" w:hAnsi="Times New Roman" w:cs="Times New Roman"/>
      <w:b/>
      <w:bCs/>
      <w:sz w:val="24"/>
      <w:szCs w:val="24"/>
    </w:rPr>
  </w:style>
  <w:style w:type="character" w:customStyle="1" w:styleId="Heading4Char">
    <w:name w:val="Heading 4 Char"/>
    <w:basedOn w:val="DefaultParagraphFont"/>
    <w:link w:val="Heading4"/>
    <w:uiPriority w:val="1"/>
    <w:rsid w:val="00D60286"/>
    <w:rPr>
      <w:rFonts w:ascii="Times New Roman" w:eastAsia="SimSun" w:hAnsi="Times New Roman" w:cs="Times New Roman"/>
      <w:b/>
      <w:bCs/>
      <w:iCs/>
      <w:sz w:val="24"/>
      <w:szCs w:val="24"/>
    </w:rPr>
  </w:style>
  <w:style w:type="character" w:customStyle="1" w:styleId="Heading5Char">
    <w:name w:val="Heading 5 Char"/>
    <w:basedOn w:val="DefaultParagraphFont"/>
    <w:link w:val="Heading5"/>
    <w:uiPriority w:val="9"/>
    <w:rsid w:val="00D60286"/>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uiPriority w:val="9"/>
    <w:rsid w:val="00D60286"/>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rsid w:val="00D60286"/>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9"/>
    <w:rsid w:val="00D60286"/>
    <w:rPr>
      <w:rFonts w:ascii="Times New Roman" w:eastAsia="Times New Roman" w:hAnsi="Times New Roman" w:cs="Times New Roman"/>
      <w:b/>
      <w:iCs/>
      <w:sz w:val="24"/>
      <w:szCs w:val="24"/>
    </w:rPr>
  </w:style>
  <w:style w:type="character" w:customStyle="1" w:styleId="Heading9Char">
    <w:name w:val="Heading 9 Char"/>
    <w:basedOn w:val="DefaultParagraphFont"/>
    <w:link w:val="Heading9"/>
    <w:uiPriority w:val="9"/>
    <w:rsid w:val="00D60286"/>
    <w:rPr>
      <w:rFonts w:ascii="Calibri" w:eastAsia="Times New Roman" w:hAnsi="Calibri" w:cs="Times New Roman"/>
    </w:rPr>
  </w:style>
  <w:style w:type="paragraph" w:styleId="Caption">
    <w:name w:val="caption"/>
    <w:basedOn w:val="Normal"/>
    <w:next w:val="Normal"/>
    <w:link w:val="CaptionChar"/>
    <w:uiPriority w:val="35"/>
    <w:qFormat/>
    <w:rsid w:val="00D60286"/>
    <w:pPr>
      <w:keepNext/>
      <w:spacing w:after="0" w:line="360" w:lineRule="auto"/>
    </w:pPr>
    <w:rPr>
      <w:rFonts w:ascii="Times New Roman" w:eastAsia="Times New Roman" w:hAnsi="Times New Roman" w:cs="Times New Roman"/>
      <w:b/>
      <w:bCs/>
      <w:sz w:val="20"/>
      <w:szCs w:val="18"/>
    </w:rPr>
  </w:style>
  <w:style w:type="table" w:styleId="TableGrid">
    <w:name w:val="Table Grid"/>
    <w:basedOn w:val="TableNormal"/>
    <w:uiPriority w:val="39"/>
    <w:rsid w:val="00D60286"/>
    <w:pPr>
      <w:spacing w:after="0" w:line="240" w:lineRule="auto"/>
    </w:pPr>
    <w:rPr>
      <w:rFonts w:ascii="Cambria" w:eastAsia="Times New Roman" w:hAnsi="Cambria"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locked/>
    <w:rsid w:val="00D60286"/>
    <w:rPr>
      <w:rFonts w:ascii="Times New Roman" w:eastAsia="Times New Roman" w:hAnsi="Times New Roman" w:cs="Times New Roman"/>
      <w:b/>
      <w:bCs/>
      <w:sz w:val="20"/>
      <w:szCs w:val="18"/>
    </w:rPr>
  </w:style>
  <w:style w:type="paragraph" w:customStyle="1" w:styleId="table">
    <w:name w:val="table"/>
    <w:basedOn w:val="Normal"/>
    <w:link w:val="tableChar"/>
    <w:qFormat/>
    <w:rsid w:val="00D60286"/>
    <w:pPr>
      <w:spacing w:before="100" w:beforeAutospacing="1" w:after="100" w:afterAutospacing="1" w:line="240" w:lineRule="auto"/>
      <w:ind w:firstLine="288"/>
      <w:contextualSpacing/>
      <w:jc w:val="center"/>
    </w:pPr>
    <w:rPr>
      <w:rFonts w:ascii="Times New Roman" w:eastAsia="Times New Roman" w:hAnsi="Times New Roman" w:cs="Times New Roman"/>
      <w:i/>
      <w:iCs/>
      <w:color w:val="000000" w:themeColor="text1"/>
      <w:sz w:val="16"/>
      <w:szCs w:val="24"/>
    </w:rPr>
  </w:style>
  <w:style w:type="character" w:customStyle="1" w:styleId="tableChar">
    <w:name w:val="table Char"/>
    <w:basedOn w:val="DefaultParagraphFont"/>
    <w:link w:val="table"/>
    <w:rsid w:val="00D60286"/>
    <w:rPr>
      <w:rFonts w:ascii="Times New Roman" w:eastAsia="Times New Roman" w:hAnsi="Times New Roman" w:cs="Times New Roman"/>
      <w:i/>
      <w:iCs/>
      <w:color w:val="000000" w:themeColor="text1"/>
      <w:sz w:val="16"/>
      <w:szCs w:val="24"/>
    </w:rPr>
  </w:style>
  <w:style w:type="character" w:styleId="Hyperlink">
    <w:name w:val="Hyperlink"/>
    <w:basedOn w:val="DefaultParagraphFont"/>
    <w:uiPriority w:val="99"/>
    <w:unhideWhenUsed/>
    <w:rsid w:val="00835EE4"/>
    <w:rPr>
      <w:color w:val="0563C1" w:themeColor="hyperlink"/>
      <w:u w:val="single"/>
    </w:rPr>
  </w:style>
  <w:style w:type="paragraph" w:styleId="NormalWeb">
    <w:name w:val="Normal (Web)"/>
    <w:basedOn w:val="Normal"/>
    <w:uiPriority w:val="99"/>
    <w:unhideWhenUsed/>
    <w:rsid w:val="00835E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5EE4"/>
    <w:rPr>
      <w:b/>
      <w:bCs/>
    </w:rPr>
  </w:style>
  <w:style w:type="paragraph" w:styleId="FootnoteText">
    <w:name w:val="footnote text"/>
    <w:basedOn w:val="Normal"/>
    <w:link w:val="FootnoteTextChar"/>
    <w:uiPriority w:val="99"/>
    <w:semiHidden/>
    <w:unhideWhenUsed/>
    <w:rsid w:val="00835EE4"/>
    <w:pPr>
      <w:spacing w:after="0" w:line="240" w:lineRule="auto"/>
      <w:contextualSpacing/>
      <w:jc w:val="both"/>
    </w:pPr>
    <w:rPr>
      <w:color w:val="000000" w:themeColor="text1"/>
      <w:sz w:val="20"/>
      <w:szCs w:val="20"/>
      <w:lang w:eastAsia="ja-JP"/>
    </w:rPr>
  </w:style>
  <w:style w:type="character" w:customStyle="1" w:styleId="FootnoteTextChar">
    <w:name w:val="Footnote Text Char"/>
    <w:basedOn w:val="DefaultParagraphFont"/>
    <w:link w:val="FootnoteText"/>
    <w:uiPriority w:val="99"/>
    <w:semiHidden/>
    <w:rsid w:val="00835EE4"/>
    <w:rPr>
      <w:color w:val="000000" w:themeColor="text1"/>
      <w:sz w:val="20"/>
      <w:szCs w:val="20"/>
      <w:lang w:eastAsia="ja-JP"/>
    </w:rPr>
  </w:style>
  <w:style w:type="character" w:styleId="FootnoteReference">
    <w:name w:val="footnote reference"/>
    <w:basedOn w:val="DefaultParagraphFont"/>
    <w:uiPriority w:val="99"/>
    <w:semiHidden/>
    <w:unhideWhenUsed/>
    <w:rsid w:val="00835EE4"/>
    <w:rPr>
      <w:rFonts w:cs="Times New Roman"/>
      <w:vertAlign w:val="superscript"/>
    </w:rPr>
  </w:style>
  <w:style w:type="table" w:styleId="GridTable1Light">
    <w:name w:val="Grid Table 1 Light"/>
    <w:basedOn w:val="TableNormal"/>
    <w:uiPriority w:val="46"/>
    <w:rsid w:val="00835EE4"/>
    <w:pPr>
      <w:spacing w:after="0" w:line="240" w:lineRule="auto"/>
    </w:pPr>
    <w:rPr>
      <w:kern w:val="2"/>
      <w:lang w:val="en-CA"/>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ndnoteTextChar">
    <w:name w:val="Endnote Text Char"/>
    <w:basedOn w:val="DefaultParagraphFont"/>
    <w:link w:val="EndnoteText"/>
    <w:uiPriority w:val="99"/>
    <w:rsid w:val="00835EE4"/>
    <w:rPr>
      <w:rFonts w:ascii="Tahoma" w:hAnsi="Tahoma" w:cs="Tahoma"/>
    </w:rPr>
  </w:style>
  <w:style w:type="paragraph" w:styleId="EndnoteText">
    <w:name w:val="endnote text"/>
    <w:basedOn w:val="Normal"/>
    <w:link w:val="EndnoteTextChar"/>
    <w:uiPriority w:val="99"/>
    <w:unhideWhenUsed/>
    <w:rsid w:val="00835EE4"/>
    <w:pPr>
      <w:spacing w:after="0" w:line="240" w:lineRule="auto"/>
      <w:ind w:firstLine="288"/>
      <w:jc w:val="both"/>
    </w:pPr>
    <w:rPr>
      <w:rFonts w:ascii="Tahoma" w:hAnsi="Tahoma" w:cs="Tahoma"/>
      <w:shd w:val="clear" w:color="auto" w:fill="FFFFFF"/>
    </w:rPr>
  </w:style>
  <w:style w:type="character" w:customStyle="1" w:styleId="EndnoteTextChar1">
    <w:name w:val="Endnote Text Char1"/>
    <w:basedOn w:val="DefaultParagraphFont"/>
    <w:uiPriority w:val="99"/>
    <w:semiHidden/>
    <w:rsid w:val="00835EE4"/>
    <w:rPr>
      <w:sz w:val="20"/>
      <w:szCs w:val="20"/>
    </w:rPr>
  </w:style>
  <w:style w:type="paragraph" w:styleId="ListParagraph">
    <w:name w:val="List Paragraph"/>
    <w:basedOn w:val="Normal"/>
    <w:uiPriority w:val="34"/>
    <w:qFormat/>
    <w:rsid w:val="00061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f.ca/carbonmap/" TargetMode="External"/><Relationship Id="rId2" Type="http://schemas.openxmlformats.org/officeDocument/2006/relationships/hyperlink" Target="https://daac.ornl.gov/VEGETATION/guides/Global_Maps_C_Density_2010.html" TargetMode="External"/><Relationship Id="rId1" Type="http://schemas.openxmlformats.org/officeDocument/2006/relationships/hyperlink" Target="https://www.agr.gc.ca/atlas/apps/metrics/index-en.html?appid=aci-iac" TargetMode="External"/><Relationship Id="rId5" Type="http://schemas.openxmlformats.org/officeDocument/2006/relationships/hyperlink" Target="https://doi.org/10.5523/bris.s5hqmjcdj8yo2ibzi9b4ew3sn" TargetMode="External"/><Relationship Id="rId4" Type="http://schemas.openxmlformats.org/officeDocument/2006/relationships/hyperlink" Target="https://climaten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CC1282E35944EDB42E417E12A0D38C"/>
        <w:category>
          <w:name w:val="General"/>
          <w:gallery w:val="placeholder"/>
        </w:category>
        <w:types>
          <w:type w:val="bbPlcHdr"/>
        </w:types>
        <w:behaviors>
          <w:behavior w:val="content"/>
        </w:behaviors>
        <w:guid w:val="{D2CDE045-7ACE-4C88-AB30-F8F4FFD9BC5D}"/>
      </w:docPartPr>
      <w:docPartBody>
        <w:p w:rsidR="00EC3CD0" w:rsidRDefault="00F41368" w:rsidP="00F41368">
          <w:pPr>
            <w:pStyle w:val="6ACC1282E35944EDB42E417E12A0D38C"/>
          </w:pPr>
          <w:r w:rsidRPr="00162A8E">
            <w:rPr>
              <w:rStyle w:val="PlaceholderText"/>
            </w:rPr>
            <w:t>Click or tap here to enter text.</w:t>
          </w:r>
        </w:p>
      </w:docPartBody>
    </w:docPart>
    <w:docPart>
      <w:docPartPr>
        <w:name w:val="38C160F359BC48D9A5E6721E1F3990DD"/>
        <w:category>
          <w:name w:val="General"/>
          <w:gallery w:val="placeholder"/>
        </w:category>
        <w:types>
          <w:type w:val="bbPlcHdr"/>
        </w:types>
        <w:behaviors>
          <w:behavior w:val="content"/>
        </w:behaviors>
        <w:guid w:val="{85B3622D-5E7E-44DF-9A52-49DE3512F9E3}"/>
      </w:docPartPr>
      <w:docPartBody>
        <w:p w:rsidR="00EC3CD0" w:rsidRDefault="00F41368" w:rsidP="00F41368">
          <w:pPr>
            <w:pStyle w:val="38C160F359BC48D9A5E6721E1F3990DD"/>
          </w:pPr>
          <w:r w:rsidRPr="00162A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68"/>
    <w:rsid w:val="0084795B"/>
    <w:rsid w:val="008B1BC5"/>
    <w:rsid w:val="00EC3CD0"/>
    <w:rsid w:val="00F4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368"/>
    <w:rPr>
      <w:color w:val="808080"/>
    </w:rPr>
  </w:style>
  <w:style w:type="paragraph" w:customStyle="1" w:styleId="6ACC1282E35944EDB42E417E12A0D38C">
    <w:name w:val="6ACC1282E35944EDB42E417E12A0D38C"/>
    <w:rsid w:val="00F41368"/>
  </w:style>
  <w:style w:type="paragraph" w:customStyle="1" w:styleId="38C160F359BC48D9A5E6721E1F3990DD">
    <w:name w:val="38C160F359BC48D9A5E6721E1F3990DD"/>
    <w:rsid w:val="00F41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6784</Words>
  <Characters>38673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Pashanejad, Ehsan</dc:creator>
  <cp:keywords/>
  <dc:description/>
  <cp:lastModifiedBy>Pashanejad, Ehsan</cp:lastModifiedBy>
  <cp:revision>5</cp:revision>
  <dcterms:created xsi:type="dcterms:W3CDTF">2025-08-14T01:46:00Z</dcterms:created>
  <dcterms:modified xsi:type="dcterms:W3CDTF">2025-08-15T00:48:00Z</dcterms:modified>
</cp:coreProperties>
</file>