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543C3" w14:textId="77777777" w:rsidR="00B01780" w:rsidRPr="00070C24" w:rsidRDefault="00B01780" w:rsidP="00B01780">
      <w:pPr>
        <w:pStyle w:val="Heading1"/>
        <w:spacing w:line="360" w:lineRule="auto"/>
        <w:rPr>
          <w:rFonts w:ascii="Arial" w:hAnsi="Arial" w:cs="Arial"/>
          <w:b/>
          <w:bCs/>
          <w:color w:val="auto"/>
          <w:sz w:val="24"/>
          <w:szCs w:val="24"/>
        </w:rPr>
      </w:pPr>
      <w:r w:rsidRPr="00070C24">
        <w:rPr>
          <w:rFonts w:ascii="Arial" w:hAnsi="Arial" w:cs="Arial"/>
          <w:b/>
          <w:bCs/>
          <w:color w:val="auto"/>
          <w:sz w:val="24"/>
          <w:szCs w:val="24"/>
        </w:rPr>
        <w:t>Appendix I</w:t>
      </w:r>
    </w:p>
    <w:p w14:paraId="4A9542F1" w14:textId="77777777" w:rsidR="00B01780" w:rsidRPr="00070C24" w:rsidRDefault="00B01780" w:rsidP="00B01780">
      <w:pPr>
        <w:pStyle w:val="Heading1"/>
        <w:spacing w:line="360" w:lineRule="auto"/>
        <w:rPr>
          <w:rFonts w:ascii="Arial" w:hAnsi="Arial" w:cs="Arial"/>
          <w:b/>
          <w:bCs/>
          <w:color w:val="auto"/>
          <w:sz w:val="24"/>
          <w:szCs w:val="24"/>
        </w:rPr>
      </w:pPr>
      <w:r w:rsidRPr="00070C24">
        <w:rPr>
          <w:rFonts w:ascii="Arial" w:hAnsi="Arial" w:cs="Arial"/>
          <w:b/>
          <w:bCs/>
          <w:color w:val="auto"/>
          <w:sz w:val="24"/>
          <w:szCs w:val="24"/>
        </w:rPr>
        <w:t>3.2</w:t>
      </w:r>
      <w:r w:rsidRPr="00070C24">
        <w:rPr>
          <w:rFonts w:ascii="Arial" w:hAnsi="Arial" w:cs="Arial"/>
          <w:b/>
          <w:bCs/>
          <w:color w:val="auto"/>
          <w:sz w:val="24"/>
          <w:szCs w:val="24"/>
        </w:rPr>
        <w:tab/>
        <w:t>Evidence / Data Extraction Table</w:t>
      </w:r>
    </w:p>
    <w:p w14:paraId="5B35ECBF" w14:textId="77777777" w:rsidR="00B01780" w:rsidRPr="00070C24" w:rsidRDefault="00B01780" w:rsidP="00B01780">
      <w:pPr>
        <w:spacing w:line="360" w:lineRule="auto"/>
        <w:jc w:val="both"/>
        <w:rPr>
          <w:rFonts w:ascii="Arial" w:hAnsi="Arial" w:cs="Arial"/>
        </w:rPr>
      </w:pPr>
      <w:r w:rsidRPr="00070C24">
        <w:rPr>
          <w:rFonts w:ascii="Arial" w:hAnsi="Arial" w:cs="Arial"/>
          <w:b/>
          <w:bCs/>
        </w:rPr>
        <w:t xml:space="preserve">Results: </w:t>
      </w:r>
      <w:r w:rsidRPr="00070C24">
        <w:rPr>
          <w:rFonts w:ascii="Arial" w:hAnsi="Arial" w:cs="Arial"/>
        </w:rPr>
        <w:t xml:space="preserve">Studies involving the application of Whole Genome Sequences in the Identification of </w:t>
      </w:r>
      <w:r w:rsidRPr="00070C24">
        <w:rPr>
          <w:rFonts w:ascii="Arial" w:hAnsi="Arial" w:cs="Arial"/>
          <w:i/>
        </w:rPr>
        <w:t>Listeria monocytogenes</w:t>
      </w:r>
      <w:r w:rsidRPr="00070C24">
        <w:rPr>
          <w:rFonts w:ascii="Arial" w:hAnsi="Arial" w:cs="Arial"/>
        </w:rPr>
        <w:t xml:space="preserve"> in Cheese.</w:t>
      </w:r>
    </w:p>
    <w:tbl>
      <w:tblPr>
        <w:tblStyle w:val="TableGrid"/>
        <w:tblW w:w="23177" w:type="dxa"/>
        <w:tblLook w:val="04A0" w:firstRow="1" w:lastRow="0" w:firstColumn="1" w:lastColumn="0" w:noHBand="0" w:noVBand="1"/>
      </w:tblPr>
      <w:tblGrid>
        <w:gridCol w:w="1297"/>
        <w:gridCol w:w="1857"/>
        <w:gridCol w:w="2313"/>
        <w:gridCol w:w="2223"/>
        <w:gridCol w:w="2057"/>
        <w:gridCol w:w="3007"/>
        <w:gridCol w:w="2100"/>
        <w:gridCol w:w="2583"/>
        <w:gridCol w:w="3386"/>
        <w:gridCol w:w="2354"/>
      </w:tblGrid>
      <w:tr w:rsidR="00B01780" w:rsidRPr="00070C24" w14:paraId="2EEDD09D" w14:textId="77777777" w:rsidTr="00E04401">
        <w:trPr>
          <w:trHeight w:val="1482"/>
        </w:trPr>
        <w:tc>
          <w:tcPr>
            <w:tcW w:w="0" w:type="auto"/>
            <w:hideMark/>
          </w:tcPr>
          <w:p w14:paraId="3EC83A06" w14:textId="77777777" w:rsidR="00B01780" w:rsidRPr="00070C24" w:rsidRDefault="00B01780" w:rsidP="00E04401">
            <w:pPr>
              <w:spacing w:line="360" w:lineRule="auto"/>
              <w:rPr>
                <w:rFonts w:ascii="Arial" w:hAnsi="Arial" w:cs="Arial"/>
                <w:b/>
                <w:bCs/>
              </w:rPr>
            </w:pPr>
            <w:r w:rsidRPr="00070C24">
              <w:rPr>
                <w:rFonts w:ascii="Arial" w:hAnsi="Arial" w:cs="Arial"/>
                <w:b/>
                <w:bCs/>
              </w:rPr>
              <w:t>Author (Year)</w:t>
            </w:r>
          </w:p>
        </w:tc>
        <w:tc>
          <w:tcPr>
            <w:tcW w:w="0" w:type="auto"/>
            <w:hideMark/>
          </w:tcPr>
          <w:p w14:paraId="2266BB78" w14:textId="77777777" w:rsidR="00B01780" w:rsidRPr="00070C24" w:rsidRDefault="00B01780" w:rsidP="00E04401">
            <w:pPr>
              <w:spacing w:line="360" w:lineRule="auto"/>
              <w:rPr>
                <w:rFonts w:ascii="Arial" w:hAnsi="Arial" w:cs="Arial"/>
                <w:b/>
                <w:bCs/>
              </w:rPr>
            </w:pPr>
            <w:r w:rsidRPr="00070C24">
              <w:rPr>
                <w:rFonts w:ascii="Arial" w:hAnsi="Arial" w:cs="Arial"/>
                <w:b/>
                <w:bCs/>
              </w:rPr>
              <w:t>Source</w:t>
            </w:r>
          </w:p>
        </w:tc>
        <w:tc>
          <w:tcPr>
            <w:tcW w:w="2313" w:type="dxa"/>
          </w:tcPr>
          <w:p w14:paraId="5A32A26A" w14:textId="77777777" w:rsidR="00B01780" w:rsidRPr="00070C24" w:rsidRDefault="00B01780" w:rsidP="00E04401">
            <w:pPr>
              <w:spacing w:line="360" w:lineRule="auto"/>
              <w:rPr>
                <w:rFonts w:ascii="Arial" w:hAnsi="Arial" w:cs="Arial"/>
                <w:b/>
                <w:bCs/>
              </w:rPr>
            </w:pPr>
            <w:r w:rsidRPr="00070C24">
              <w:rPr>
                <w:rFonts w:ascii="Arial" w:hAnsi="Arial" w:cs="Arial"/>
                <w:b/>
                <w:bCs/>
              </w:rPr>
              <w:t>Conceptual Framework</w:t>
            </w:r>
          </w:p>
          <w:p w14:paraId="638DA2B5" w14:textId="77777777" w:rsidR="00B01780" w:rsidRPr="00070C24" w:rsidRDefault="00B01780" w:rsidP="00E04401">
            <w:pPr>
              <w:spacing w:line="360" w:lineRule="auto"/>
              <w:rPr>
                <w:rFonts w:ascii="Arial" w:hAnsi="Arial" w:cs="Arial"/>
                <w:b/>
                <w:bCs/>
              </w:rPr>
            </w:pPr>
          </w:p>
        </w:tc>
        <w:tc>
          <w:tcPr>
            <w:tcW w:w="2223" w:type="dxa"/>
          </w:tcPr>
          <w:p w14:paraId="4BA7F0AA" w14:textId="77777777" w:rsidR="00B01780" w:rsidRPr="00070C24" w:rsidRDefault="00B01780" w:rsidP="00E04401">
            <w:pPr>
              <w:spacing w:line="360" w:lineRule="auto"/>
              <w:rPr>
                <w:rFonts w:ascii="Arial" w:hAnsi="Arial" w:cs="Arial"/>
                <w:b/>
                <w:bCs/>
              </w:rPr>
            </w:pPr>
            <w:r w:rsidRPr="00070C24">
              <w:rPr>
                <w:rFonts w:ascii="Arial" w:hAnsi="Arial" w:cs="Arial"/>
                <w:b/>
                <w:bCs/>
              </w:rPr>
              <w:t>Design/ Method</w:t>
            </w:r>
          </w:p>
          <w:p w14:paraId="04C88DB7" w14:textId="77777777" w:rsidR="00B01780" w:rsidRPr="00070C24" w:rsidRDefault="00B01780" w:rsidP="00E04401">
            <w:pPr>
              <w:spacing w:line="360" w:lineRule="auto"/>
              <w:rPr>
                <w:rFonts w:ascii="Arial" w:hAnsi="Arial" w:cs="Arial"/>
                <w:b/>
                <w:bCs/>
              </w:rPr>
            </w:pPr>
          </w:p>
        </w:tc>
        <w:tc>
          <w:tcPr>
            <w:tcW w:w="2057" w:type="dxa"/>
          </w:tcPr>
          <w:p w14:paraId="1CF164CC" w14:textId="77777777" w:rsidR="00B01780" w:rsidRPr="00070C24" w:rsidRDefault="00B01780" w:rsidP="00E04401">
            <w:pPr>
              <w:spacing w:line="360" w:lineRule="auto"/>
              <w:rPr>
                <w:rFonts w:ascii="Arial" w:hAnsi="Arial" w:cs="Arial"/>
                <w:b/>
                <w:bCs/>
              </w:rPr>
            </w:pPr>
            <w:r w:rsidRPr="00070C24">
              <w:rPr>
                <w:rFonts w:ascii="Arial" w:hAnsi="Arial" w:cs="Arial"/>
                <w:b/>
                <w:bCs/>
              </w:rPr>
              <w:t>Sample/ Setting</w:t>
            </w:r>
          </w:p>
          <w:p w14:paraId="73B4AC3D" w14:textId="77777777" w:rsidR="00B01780" w:rsidRPr="00070C24" w:rsidRDefault="00B01780" w:rsidP="00E04401">
            <w:pPr>
              <w:spacing w:line="360" w:lineRule="auto"/>
              <w:rPr>
                <w:rFonts w:ascii="Arial" w:hAnsi="Arial" w:cs="Arial"/>
                <w:b/>
                <w:bCs/>
              </w:rPr>
            </w:pPr>
          </w:p>
        </w:tc>
        <w:tc>
          <w:tcPr>
            <w:tcW w:w="3007" w:type="dxa"/>
          </w:tcPr>
          <w:p w14:paraId="7540A0F5" w14:textId="77777777" w:rsidR="00B01780" w:rsidRPr="00070C24" w:rsidRDefault="00B01780" w:rsidP="00E04401">
            <w:pPr>
              <w:spacing w:line="360" w:lineRule="auto"/>
              <w:rPr>
                <w:rFonts w:ascii="Arial" w:hAnsi="Arial" w:cs="Arial"/>
                <w:b/>
                <w:bCs/>
              </w:rPr>
            </w:pPr>
            <w:r w:rsidRPr="00070C24">
              <w:rPr>
                <w:rFonts w:ascii="Arial" w:hAnsi="Arial" w:cs="Arial"/>
                <w:b/>
                <w:bCs/>
              </w:rPr>
              <w:t>Major Variables Studied (and Their Definitions)</w:t>
            </w:r>
          </w:p>
          <w:p w14:paraId="4B6BE07F" w14:textId="77777777" w:rsidR="00B01780" w:rsidRPr="00070C24" w:rsidRDefault="00B01780" w:rsidP="00E04401">
            <w:pPr>
              <w:spacing w:line="360" w:lineRule="auto"/>
              <w:rPr>
                <w:rFonts w:ascii="Arial" w:hAnsi="Arial" w:cs="Arial"/>
                <w:b/>
                <w:bCs/>
              </w:rPr>
            </w:pPr>
          </w:p>
        </w:tc>
        <w:tc>
          <w:tcPr>
            <w:tcW w:w="2100" w:type="dxa"/>
          </w:tcPr>
          <w:p w14:paraId="04904DF8" w14:textId="77777777" w:rsidR="00B01780" w:rsidRPr="00070C24" w:rsidRDefault="00B01780" w:rsidP="00E04401">
            <w:pPr>
              <w:spacing w:line="360" w:lineRule="auto"/>
              <w:rPr>
                <w:rFonts w:ascii="Arial" w:hAnsi="Arial" w:cs="Arial"/>
                <w:b/>
                <w:bCs/>
              </w:rPr>
            </w:pPr>
            <w:r w:rsidRPr="00070C24">
              <w:rPr>
                <w:rFonts w:ascii="Arial" w:hAnsi="Arial" w:cs="Arial"/>
                <w:b/>
                <w:bCs/>
              </w:rPr>
              <w:t>Measurement</w:t>
            </w:r>
          </w:p>
          <w:p w14:paraId="2F0BD0CD" w14:textId="77777777" w:rsidR="00B01780" w:rsidRPr="00070C24" w:rsidRDefault="00B01780" w:rsidP="00E04401">
            <w:pPr>
              <w:spacing w:line="360" w:lineRule="auto"/>
              <w:rPr>
                <w:rFonts w:ascii="Arial" w:hAnsi="Arial" w:cs="Arial"/>
                <w:b/>
                <w:bCs/>
              </w:rPr>
            </w:pPr>
          </w:p>
        </w:tc>
        <w:tc>
          <w:tcPr>
            <w:tcW w:w="2583" w:type="dxa"/>
          </w:tcPr>
          <w:p w14:paraId="73561AAB" w14:textId="77777777" w:rsidR="00B01780" w:rsidRPr="00070C24" w:rsidRDefault="00B01780" w:rsidP="00E04401">
            <w:pPr>
              <w:spacing w:line="360" w:lineRule="auto"/>
              <w:rPr>
                <w:rFonts w:ascii="Arial" w:hAnsi="Arial" w:cs="Arial"/>
                <w:b/>
                <w:bCs/>
              </w:rPr>
            </w:pPr>
            <w:r w:rsidRPr="00070C24">
              <w:rPr>
                <w:rFonts w:ascii="Arial" w:hAnsi="Arial" w:cs="Arial"/>
                <w:b/>
                <w:bCs/>
              </w:rPr>
              <w:t>Data Analysis</w:t>
            </w:r>
          </w:p>
          <w:p w14:paraId="4949F5ED" w14:textId="77777777" w:rsidR="00B01780" w:rsidRPr="00070C24" w:rsidRDefault="00B01780" w:rsidP="00E04401">
            <w:pPr>
              <w:spacing w:line="360" w:lineRule="auto"/>
              <w:rPr>
                <w:rFonts w:ascii="Arial" w:hAnsi="Arial" w:cs="Arial"/>
                <w:b/>
                <w:bCs/>
              </w:rPr>
            </w:pPr>
          </w:p>
        </w:tc>
        <w:tc>
          <w:tcPr>
            <w:tcW w:w="3386" w:type="dxa"/>
          </w:tcPr>
          <w:p w14:paraId="356C5CD7" w14:textId="77777777" w:rsidR="00B01780" w:rsidRPr="00070C24" w:rsidRDefault="00B01780" w:rsidP="00E04401">
            <w:pPr>
              <w:spacing w:line="360" w:lineRule="auto"/>
              <w:rPr>
                <w:rFonts w:ascii="Arial" w:hAnsi="Arial" w:cs="Arial"/>
                <w:b/>
                <w:bCs/>
              </w:rPr>
            </w:pPr>
            <w:r w:rsidRPr="00070C24">
              <w:rPr>
                <w:rFonts w:ascii="Arial" w:hAnsi="Arial" w:cs="Arial"/>
                <w:b/>
                <w:bCs/>
              </w:rPr>
              <w:t>Findings</w:t>
            </w:r>
          </w:p>
          <w:p w14:paraId="1932727C" w14:textId="77777777" w:rsidR="00B01780" w:rsidRPr="00070C24" w:rsidRDefault="00B01780" w:rsidP="00E04401">
            <w:pPr>
              <w:spacing w:line="360" w:lineRule="auto"/>
              <w:rPr>
                <w:rFonts w:ascii="Arial" w:hAnsi="Arial" w:cs="Arial"/>
                <w:b/>
                <w:bCs/>
              </w:rPr>
            </w:pPr>
          </w:p>
        </w:tc>
        <w:tc>
          <w:tcPr>
            <w:tcW w:w="2354" w:type="dxa"/>
            <w:hideMark/>
          </w:tcPr>
          <w:p w14:paraId="3F5EB260" w14:textId="77777777" w:rsidR="00B01780" w:rsidRPr="00070C24" w:rsidRDefault="00B01780" w:rsidP="00E04401">
            <w:pPr>
              <w:spacing w:line="360" w:lineRule="auto"/>
              <w:rPr>
                <w:rFonts w:ascii="Arial" w:hAnsi="Arial" w:cs="Arial"/>
                <w:b/>
                <w:bCs/>
              </w:rPr>
            </w:pPr>
            <w:r w:rsidRPr="00070C24">
              <w:rPr>
                <w:rFonts w:ascii="Arial" w:hAnsi="Arial" w:cs="Arial"/>
                <w:b/>
                <w:bCs/>
              </w:rPr>
              <w:t>Appraisal: Worth to Practice</w:t>
            </w:r>
          </w:p>
        </w:tc>
      </w:tr>
      <w:tr w:rsidR="00B01780" w:rsidRPr="00070C24" w14:paraId="11FF03A0" w14:textId="77777777" w:rsidTr="00E04401">
        <w:trPr>
          <w:trHeight w:val="11103"/>
        </w:trPr>
        <w:tc>
          <w:tcPr>
            <w:tcW w:w="0" w:type="auto"/>
          </w:tcPr>
          <w:p w14:paraId="7468D24D" w14:textId="77777777" w:rsidR="00B01780" w:rsidRPr="00070C24" w:rsidRDefault="00B01780" w:rsidP="00E04401">
            <w:pPr>
              <w:spacing w:line="360" w:lineRule="auto"/>
              <w:rPr>
                <w:rFonts w:ascii="Arial" w:hAnsi="Arial" w:cs="Arial"/>
              </w:rPr>
            </w:pPr>
            <w:r w:rsidRPr="00070C24">
              <w:rPr>
                <w:rFonts w:ascii="Arial" w:hAnsi="Arial" w:cs="Arial"/>
              </w:rPr>
              <w:lastRenderedPageBreak/>
              <w:t>Hurley et al. (2019)</w:t>
            </w:r>
          </w:p>
        </w:tc>
        <w:tc>
          <w:tcPr>
            <w:tcW w:w="0" w:type="auto"/>
          </w:tcPr>
          <w:p w14:paraId="7458C7CF" w14:textId="77777777" w:rsidR="00B01780" w:rsidRPr="00070C24" w:rsidRDefault="00B01780" w:rsidP="00E04401">
            <w:pPr>
              <w:spacing w:line="360" w:lineRule="auto"/>
              <w:rPr>
                <w:rFonts w:ascii="Arial" w:hAnsi="Arial" w:cs="Arial"/>
              </w:rPr>
            </w:pPr>
            <w:r w:rsidRPr="00070C24">
              <w:rPr>
                <w:rFonts w:ascii="Arial" w:hAnsi="Arial" w:cs="Arial"/>
              </w:rPr>
              <w:t>Applied and Environmental Science, Volume 4, Issue 4</w:t>
            </w:r>
          </w:p>
          <w:p w14:paraId="0CF64983"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(Scopus)</w:t>
            </w:r>
          </w:p>
        </w:tc>
        <w:tc>
          <w:tcPr>
            <w:tcW w:w="2313" w:type="dxa"/>
          </w:tcPr>
          <w:p w14:paraId="5F6EDD10" w14:textId="77777777" w:rsidR="00B01780" w:rsidRPr="00070C24" w:rsidRDefault="00B01780" w:rsidP="00E04401">
            <w:pPr>
              <w:spacing w:line="360" w:lineRule="auto"/>
              <w:rPr>
                <w:rFonts w:ascii="Arial" w:hAnsi="Arial" w:cs="Arial"/>
              </w:rPr>
            </w:pPr>
            <w:r w:rsidRPr="00070C24">
              <w:rPr>
                <w:rFonts w:ascii="Arial" w:hAnsi="Arial" w:cs="Arial"/>
              </w:rPr>
              <w:t xml:space="preserve">Whole-genome sequencing (WGS) applied to the surveillance of </w:t>
            </w:r>
            <w:r w:rsidRPr="00070C24">
              <w:rPr>
                <w:rFonts w:ascii="Arial" w:hAnsi="Arial" w:cs="Arial"/>
                <w:i/>
              </w:rPr>
              <w:t>Listeria monocytogenes</w:t>
            </w:r>
            <w:r w:rsidRPr="00070C24">
              <w:rPr>
                <w:rFonts w:ascii="Arial" w:hAnsi="Arial" w:cs="Arial"/>
              </w:rPr>
              <w:t xml:space="preserve"> in food processing environments.</w:t>
            </w:r>
          </w:p>
          <w:p w14:paraId="3B238AAD" w14:textId="77777777" w:rsidR="00B01780" w:rsidRPr="00070C24" w:rsidRDefault="00B01780" w:rsidP="00E04401">
            <w:pPr>
              <w:spacing w:line="360" w:lineRule="auto"/>
              <w:rPr>
                <w:rFonts w:ascii="Arial" w:hAnsi="Arial" w:cs="Arial"/>
              </w:rPr>
            </w:pPr>
          </w:p>
        </w:tc>
        <w:tc>
          <w:tcPr>
            <w:tcW w:w="2223" w:type="dxa"/>
          </w:tcPr>
          <w:p w14:paraId="5D8BDCD9"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conducted surveillance of </w:t>
            </w:r>
            <w:r w:rsidRPr="00070C24">
              <w:rPr>
                <w:rFonts w:ascii="Arial" w:hAnsi="Arial" w:cs="Arial"/>
                <w:i/>
              </w:rPr>
              <w:t xml:space="preserve">L. monocytogenes </w:t>
            </w:r>
            <w:r w:rsidRPr="00070C24">
              <w:rPr>
                <w:rFonts w:ascii="Arial" w:hAnsi="Arial" w:cs="Arial"/>
              </w:rPr>
              <w:t>in three food processing environments over 4 years using WGS and bioinformatic analyses.</w:t>
            </w:r>
          </w:p>
          <w:p w14:paraId="59A44E0B" w14:textId="77777777" w:rsidR="00B01780" w:rsidRPr="00070C24" w:rsidRDefault="00B01780" w:rsidP="00E04401">
            <w:pPr>
              <w:spacing w:line="360" w:lineRule="auto"/>
              <w:rPr>
                <w:rFonts w:ascii="Arial" w:hAnsi="Arial" w:cs="Arial"/>
              </w:rPr>
            </w:pPr>
          </w:p>
        </w:tc>
        <w:tc>
          <w:tcPr>
            <w:tcW w:w="2057" w:type="dxa"/>
          </w:tcPr>
          <w:p w14:paraId="0F52D457" w14:textId="77777777" w:rsidR="00B01780" w:rsidRPr="00070C24" w:rsidRDefault="00B01780" w:rsidP="00E04401">
            <w:pPr>
              <w:spacing w:line="360" w:lineRule="auto"/>
              <w:rPr>
                <w:rFonts w:ascii="Arial" w:hAnsi="Arial" w:cs="Arial"/>
              </w:rPr>
            </w:pPr>
            <w:r w:rsidRPr="00070C24">
              <w:rPr>
                <w:rFonts w:ascii="Arial" w:hAnsi="Arial" w:cs="Arial"/>
              </w:rPr>
              <w:t xml:space="preserve"> The study involved three meat and vegetable processing facilities, with surveillance conducted over four years. A total of 100 </w:t>
            </w:r>
            <w:r w:rsidRPr="00070C24">
              <w:rPr>
                <w:rFonts w:ascii="Arial" w:hAnsi="Arial" w:cs="Arial"/>
                <w:i/>
              </w:rPr>
              <w:t xml:space="preserve">L. monocytogenes </w:t>
            </w:r>
            <w:r w:rsidRPr="00070C24">
              <w:rPr>
                <w:rFonts w:ascii="Arial" w:hAnsi="Arial" w:cs="Arial"/>
              </w:rPr>
              <w:t>isolates were obtained from environmental and food samples collected during routine surveillance.</w:t>
            </w:r>
          </w:p>
          <w:p w14:paraId="77A8C6FF" w14:textId="77777777" w:rsidR="00B01780" w:rsidRPr="00070C24" w:rsidRDefault="00B01780" w:rsidP="00E04401">
            <w:pPr>
              <w:spacing w:line="360" w:lineRule="auto"/>
              <w:rPr>
                <w:rFonts w:ascii="Arial" w:hAnsi="Arial" w:cs="Arial"/>
              </w:rPr>
            </w:pPr>
          </w:p>
        </w:tc>
        <w:tc>
          <w:tcPr>
            <w:tcW w:w="3007" w:type="dxa"/>
          </w:tcPr>
          <w:p w14:paraId="20E72A16" w14:textId="77777777" w:rsidR="00B01780" w:rsidRPr="00070C24" w:rsidRDefault="00B01780" w:rsidP="00E04401">
            <w:pPr>
              <w:spacing w:line="360" w:lineRule="auto"/>
              <w:rPr>
                <w:rFonts w:ascii="Arial" w:hAnsi="Arial" w:cs="Arial"/>
              </w:rPr>
            </w:pPr>
            <w:r w:rsidRPr="00070C24">
              <w:rPr>
                <w:rFonts w:ascii="Arial" w:hAnsi="Arial" w:cs="Arial"/>
                <w:b/>
                <w:i/>
              </w:rPr>
              <w:t xml:space="preserve">L. monocytogenes </w:t>
            </w:r>
            <w:r w:rsidRPr="00070C24">
              <w:rPr>
                <w:rFonts w:ascii="Arial" w:hAnsi="Arial" w:cs="Arial"/>
                <w:b/>
              </w:rPr>
              <w:t>isolates</w:t>
            </w:r>
            <w:r w:rsidRPr="00070C24">
              <w:rPr>
                <w:rFonts w:ascii="Arial" w:hAnsi="Arial" w:cs="Arial"/>
              </w:rPr>
              <w:t>: Bacterial strains isolated from environmental and food samples.</w:t>
            </w:r>
          </w:p>
          <w:p w14:paraId="5F4654CC" w14:textId="77777777" w:rsidR="00B01780" w:rsidRPr="00070C24" w:rsidRDefault="00B01780" w:rsidP="00E04401">
            <w:pPr>
              <w:spacing w:line="360" w:lineRule="auto"/>
              <w:rPr>
                <w:rFonts w:ascii="Arial" w:hAnsi="Arial" w:cs="Arial"/>
              </w:rPr>
            </w:pPr>
            <w:r w:rsidRPr="00070C24">
              <w:rPr>
                <w:rFonts w:ascii="Arial" w:hAnsi="Arial" w:cs="Arial"/>
                <w:b/>
              </w:rPr>
              <w:t>Core genome MLST (cgMLST) types and sublineages</w:t>
            </w:r>
            <w:r w:rsidRPr="00070C24">
              <w:rPr>
                <w:rFonts w:ascii="Arial" w:hAnsi="Arial" w:cs="Arial"/>
              </w:rPr>
              <w:t>: Defined groups based on allelic mismatches across conserved core loci.</w:t>
            </w:r>
          </w:p>
          <w:p w14:paraId="283008E7" w14:textId="77777777" w:rsidR="00B01780" w:rsidRPr="00070C24" w:rsidRDefault="00B01780" w:rsidP="00E04401">
            <w:pPr>
              <w:spacing w:line="360" w:lineRule="auto"/>
              <w:rPr>
                <w:rFonts w:ascii="Arial" w:hAnsi="Arial" w:cs="Arial"/>
              </w:rPr>
            </w:pPr>
            <w:r w:rsidRPr="00070C24">
              <w:rPr>
                <w:rFonts w:ascii="Arial" w:hAnsi="Arial" w:cs="Arial"/>
                <w:b/>
              </w:rPr>
              <w:t>PCR serogroup and MLST profiles</w:t>
            </w:r>
            <w:r w:rsidRPr="00070C24">
              <w:rPr>
                <w:rFonts w:ascii="Arial" w:hAnsi="Arial" w:cs="Arial"/>
              </w:rPr>
              <w:t>: Genetic characteristics determined in silico.</w:t>
            </w:r>
          </w:p>
          <w:p w14:paraId="55D243E2" w14:textId="77777777" w:rsidR="00B01780" w:rsidRPr="00070C24" w:rsidRDefault="00B01780" w:rsidP="00E04401">
            <w:pPr>
              <w:spacing w:line="360" w:lineRule="auto"/>
              <w:rPr>
                <w:rFonts w:ascii="Arial" w:hAnsi="Arial" w:cs="Arial"/>
              </w:rPr>
            </w:pPr>
            <w:r w:rsidRPr="00070C24">
              <w:rPr>
                <w:rFonts w:ascii="Arial" w:hAnsi="Arial" w:cs="Arial"/>
                <w:b/>
              </w:rPr>
              <w:t>Virulence factors</w:t>
            </w:r>
            <w:r w:rsidRPr="00070C24">
              <w:rPr>
                <w:rFonts w:ascii="Arial" w:hAnsi="Arial" w:cs="Arial"/>
              </w:rPr>
              <w:t>: Presence and integrity of genes associated with virulence, including internalin A, internalin B, and LIPI-1 to LIPI-4.</w:t>
            </w:r>
          </w:p>
          <w:p w14:paraId="7E831741" w14:textId="77777777" w:rsidR="00B01780" w:rsidRPr="00070C24" w:rsidRDefault="00B01780" w:rsidP="00E04401">
            <w:pPr>
              <w:spacing w:line="360" w:lineRule="auto"/>
              <w:rPr>
                <w:rFonts w:ascii="Arial" w:hAnsi="Arial" w:cs="Arial"/>
              </w:rPr>
            </w:pPr>
            <w:r w:rsidRPr="00070C24">
              <w:rPr>
                <w:rFonts w:ascii="Arial" w:hAnsi="Arial" w:cs="Arial"/>
                <w:b/>
              </w:rPr>
              <w:t>Antimicrobial resistance genes</w:t>
            </w:r>
            <w:r w:rsidRPr="00070C24">
              <w:rPr>
                <w:rFonts w:ascii="Arial" w:hAnsi="Arial" w:cs="Arial"/>
              </w:rPr>
              <w:t>: Genes associated with antimicrobial resistance.</w:t>
            </w:r>
          </w:p>
          <w:p w14:paraId="062016DF" w14:textId="77777777" w:rsidR="00B01780" w:rsidRPr="00070C24" w:rsidRDefault="00B01780" w:rsidP="00E04401">
            <w:pPr>
              <w:spacing w:line="360" w:lineRule="auto"/>
              <w:rPr>
                <w:rFonts w:ascii="Arial" w:hAnsi="Arial" w:cs="Arial"/>
              </w:rPr>
            </w:pPr>
            <w:r w:rsidRPr="00070C24">
              <w:rPr>
                <w:rFonts w:ascii="Arial" w:hAnsi="Arial" w:cs="Arial"/>
                <w:b/>
              </w:rPr>
              <w:t>Phylogenetic relationships</w:t>
            </w:r>
            <w:r w:rsidRPr="00070C24">
              <w:rPr>
                <w:rFonts w:ascii="Arial" w:hAnsi="Arial" w:cs="Arial"/>
              </w:rPr>
              <w:t>: Genetic relatedness among isolates assessed through SNP analysis.</w:t>
            </w:r>
          </w:p>
        </w:tc>
        <w:tc>
          <w:tcPr>
            <w:tcW w:w="2100" w:type="dxa"/>
          </w:tcPr>
          <w:p w14:paraId="181A1F0A" w14:textId="77777777" w:rsidR="00B01780" w:rsidRPr="00070C24" w:rsidRDefault="00B01780" w:rsidP="00E04401">
            <w:pPr>
              <w:spacing w:line="360" w:lineRule="auto"/>
              <w:rPr>
                <w:rFonts w:ascii="Arial" w:hAnsi="Arial" w:cs="Arial"/>
              </w:rPr>
            </w:pPr>
            <w:r w:rsidRPr="00070C24">
              <w:rPr>
                <w:rFonts w:ascii="Arial" w:hAnsi="Arial" w:cs="Arial"/>
              </w:rPr>
              <w:t>Utilized core genome MLST (cgMLST) profiling and SNP analyses for genomic characterization.</w:t>
            </w:r>
          </w:p>
          <w:p w14:paraId="3D2574AF" w14:textId="77777777" w:rsidR="00B01780" w:rsidRPr="00070C24" w:rsidRDefault="00B01780" w:rsidP="00E04401">
            <w:pPr>
              <w:spacing w:line="360" w:lineRule="auto"/>
              <w:rPr>
                <w:rFonts w:ascii="Arial" w:hAnsi="Arial" w:cs="Arial"/>
              </w:rPr>
            </w:pPr>
            <w:r w:rsidRPr="00070C24">
              <w:rPr>
                <w:rFonts w:ascii="Arial" w:hAnsi="Arial" w:cs="Arial"/>
              </w:rPr>
              <w:t>Genomic DNA purification, library preparation, and sequencing were conducted for all isolates. Bioinformatic analyses were performed to assess virulence factors, antimicrobial resistance genes, and SNP-based phylogenetic relationships.</w:t>
            </w:r>
          </w:p>
        </w:tc>
        <w:tc>
          <w:tcPr>
            <w:tcW w:w="2583" w:type="dxa"/>
          </w:tcPr>
          <w:p w14:paraId="60FA444D" w14:textId="77777777" w:rsidR="00B01780" w:rsidRPr="00070C24" w:rsidRDefault="00B01780" w:rsidP="00E04401">
            <w:pPr>
              <w:spacing w:line="360" w:lineRule="auto"/>
              <w:rPr>
                <w:rFonts w:ascii="Arial" w:hAnsi="Arial" w:cs="Arial"/>
              </w:rPr>
            </w:pPr>
            <w:r w:rsidRPr="00070C24">
              <w:rPr>
                <w:rFonts w:ascii="Arial" w:hAnsi="Arial" w:cs="Arial"/>
              </w:rPr>
              <w:t>Analyzed cgMLST profiles, SNP analyses, and bioinformatic tools to assess genomic diversity, antimicrobial resistance, virulence genotypes, and persistence.</w:t>
            </w:r>
          </w:p>
        </w:tc>
        <w:tc>
          <w:tcPr>
            <w:tcW w:w="3386" w:type="dxa"/>
          </w:tcPr>
          <w:p w14:paraId="7C1B18EF" w14:textId="77777777" w:rsidR="00B01780" w:rsidRPr="00070C24" w:rsidRDefault="00B01780" w:rsidP="00E04401">
            <w:pPr>
              <w:spacing w:line="360" w:lineRule="auto"/>
              <w:rPr>
                <w:rFonts w:ascii="Arial" w:hAnsi="Arial" w:cs="Arial"/>
              </w:rPr>
            </w:pPr>
            <w:r w:rsidRPr="00070C24">
              <w:rPr>
                <w:rFonts w:ascii="Arial" w:hAnsi="Arial" w:cs="Arial"/>
              </w:rPr>
              <w:t xml:space="preserve">Identified 18 different sublineages of </w:t>
            </w:r>
            <w:r w:rsidRPr="00070C24">
              <w:rPr>
                <w:rFonts w:ascii="Arial" w:hAnsi="Arial" w:cs="Arial"/>
                <w:i/>
              </w:rPr>
              <w:t xml:space="preserve">L. monocytogenes </w:t>
            </w:r>
            <w:r w:rsidRPr="00070C24">
              <w:rPr>
                <w:rFonts w:ascii="Arial" w:hAnsi="Arial" w:cs="Arial"/>
              </w:rPr>
              <w:t>isolates, characterized their distribution by isolation source, and identified putative persistent strains. Found fosX as the only antibiotic resistance-encoding gene, with 55% of isolates harboring BC tolerance-encoding genes. Observed stress survival islands 1 and 2 in different proportions among isolates. Detected mutations associated with virulence factors in various isolates. Identified cross-contamination events within food processing environments.</w:t>
            </w:r>
          </w:p>
        </w:tc>
        <w:tc>
          <w:tcPr>
            <w:tcW w:w="2354" w:type="dxa"/>
          </w:tcPr>
          <w:p w14:paraId="3698764C"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provides explains the genetic diversity, virulence potential, and antimicrobial resistance profiles of </w:t>
            </w:r>
            <w:r w:rsidRPr="00070C24">
              <w:rPr>
                <w:rFonts w:ascii="Arial" w:hAnsi="Arial" w:cs="Arial"/>
                <w:i/>
              </w:rPr>
              <w:t xml:space="preserve">L. monocytogenes </w:t>
            </w:r>
            <w:r w:rsidRPr="00070C24">
              <w:rPr>
                <w:rFonts w:ascii="Arial" w:hAnsi="Arial" w:cs="Arial"/>
              </w:rPr>
              <w:t xml:space="preserve">strains circulating in food processing environments. The findings can inform risk assessment and management strategies to enhance food safety practices and mitigate the risk of listeriosis outbreaks. Additionally, the longitudinal nature of the study adds robustness to the findings by capturing temporal trends in </w:t>
            </w:r>
            <w:r w:rsidRPr="00070C24">
              <w:rPr>
                <w:rFonts w:ascii="Arial" w:hAnsi="Arial" w:cs="Arial"/>
                <w:i/>
              </w:rPr>
              <w:t xml:space="preserve">L. monocytogenes </w:t>
            </w:r>
            <w:r w:rsidRPr="00070C24">
              <w:rPr>
                <w:rFonts w:ascii="Arial" w:hAnsi="Arial" w:cs="Arial"/>
              </w:rPr>
              <w:t>populations within food processing facilities.</w:t>
            </w:r>
          </w:p>
        </w:tc>
      </w:tr>
      <w:tr w:rsidR="00B01780" w:rsidRPr="00070C24" w14:paraId="0D50FB77" w14:textId="77777777" w:rsidTr="00E04401">
        <w:trPr>
          <w:trHeight w:val="146"/>
        </w:trPr>
        <w:tc>
          <w:tcPr>
            <w:tcW w:w="0" w:type="auto"/>
          </w:tcPr>
          <w:p w14:paraId="7F3AC592" w14:textId="77777777" w:rsidR="00B01780" w:rsidRPr="00070C24" w:rsidRDefault="00B01780" w:rsidP="00E04401">
            <w:pPr>
              <w:spacing w:line="360" w:lineRule="auto"/>
              <w:rPr>
                <w:rFonts w:ascii="Arial" w:hAnsi="Arial" w:cs="Arial"/>
              </w:rPr>
            </w:pPr>
            <w:r w:rsidRPr="00070C24">
              <w:rPr>
                <w:rFonts w:ascii="Arial" w:hAnsi="Arial" w:cs="Arial"/>
              </w:rPr>
              <w:t>Lee et al. (2023)</w:t>
            </w:r>
          </w:p>
        </w:tc>
        <w:tc>
          <w:tcPr>
            <w:tcW w:w="0" w:type="auto"/>
          </w:tcPr>
          <w:p w14:paraId="0CBA77F0" w14:textId="77777777" w:rsidR="00B01780" w:rsidRPr="00070C24" w:rsidRDefault="00B01780" w:rsidP="00E04401">
            <w:pPr>
              <w:spacing w:line="360" w:lineRule="auto"/>
              <w:rPr>
                <w:rFonts w:ascii="Arial" w:hAnsi="Arial" w:cs="Arial"/>
              </w:rPr>
            </w:pPr>
            <w:r w:rsidRPr="00070C24">
              <w:rPr>
                <w:rFonts w:ascii="Arial" w:hAnsi="Arial" w:cs="Arial"/>
              </w:rPr>
              <w:t>F</w:t>
            </w:r>
            <w:r w:rsidRPr="00070C24">
              <w:rPr>
                <w:rFonts w:ascii="Arial" w:hAnsi="Arial" w:cs="Arial"/>
                <w:shd w:val="clear" w:color="auto" w:fill="FFFFFF"/>
              </w:rPr>
              <w:t xml:space="preserve">rontiers in Microbiology </w:t>
            </w:r>
            <w:r w:rsidRPr="00070C24">
              <w:rPr>
                <w:rFonts w:ascii="Arial" w:hAnsi="Arial" w:cs="Arial"/>
              </w:rPr>
              <w:t>(FSTA)</w:t>
            </w:r>
          </w:p>
        </w:tc>
        <w:tc>
          <w:tcPr>
            <w:tcW w:w="2313" w:type="dxa"/>
          </w:tcPr>
          <w:p w14:paraId="6897FC70" w14:textId="77777777" w:rsidR="00B01780" w:rsidRPr="00070C24" w:rsidRDefault="00B01780" w:rsidP="00E04401">
            <w:pPr>
              <w:spacing w:line="360" w:lineRule="auto"/>
              <w:rPr>
                <w:rFonts w:ascii="Arial" w:hAnsi="Arial" w:cs="Arial"/>
              </w:rPr>
            </w:pPr>
            <w:r w:rsidRPr="00070C24">
              <w:rPr>
                <w:rFonts w:ascii="Arial" w:hAnsi="Arial" w:cs="Arial"/>
              </w:rPr>
              <w:t xml:space="preserve">Whole-genome sequencing of </w:t>
            </w:r>
            <w:r w:rsidRPr="00070C24">
              <w:rPr>
                <w:rFonts w:ascii="Arial" w:hAnsi="Arial" w:cs="Arial"/>
                <w:i/>
              </w:rPr>
              <w:t xml:space="preserve">Listeria </w:t>
            </w:r>
            <w:r w:rsidRPr="00070C24">
              <w:rPr>
                <w:rFonts w:ascii="Arial" w:hAnsi="Arial" w:cs="Arial"/>
                <w:i/>
              </w:rPr>
              <w:lastRenderedPageBreak/>
              <w:t>monocytogenes</w:t>
            </w:r>
            <w:r w:rsidRPr="00070C24">
              <w:rPr>
                <w:rFonts w:ascii="Arial" w:hAnsi="Arial" w:cs="Arial"/>
              </w:rPr>
              <w:t xml:space="preserve"> isolated from the first listeriosis foodborne outbreak in South Korea</w:t>
            </w:r>
          </w:p>
          <w:p w14:paraId="29BC551E" w14:textId="77777777" w:rsidR="00B01780" w:rsidRPr="00070C24" w:rsidRDefault="00B01780" w:rsidP="00E04401">
            <w:pPr>
              <w:spacing w:line="360" w:lineRule="auto"/>
              <w:rPr>
                <w:rFonts w:ascii="Arial" w:hAnsi="Arial" w:cs="Arial"/>
              </w:rPr>
            </w:pPr>
          </w:p>
        </w:tc>
        <w:tc>
          <w:tcPr>
            <w:tcW w:w="2223" w:type="dxa"/>
          </w:tcPr>
          <w:p w14:paraId="391A201D"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Characterization of </w:t>
            </w:r>
            <w:r w:rsidRPr="00070C24">
              <w:rPr>
                <w:rFonts w:ascii="Arial" w:hAnsi="Arial" w:cs="Arial"/>
                <w:i/>
              </w:rPr>
              <w:t xml:space="preserve">L. monocytogenes </w:t>
            </w:r>
            <w:r w:rsidRPr="00070C24">
              <w:rPr>
                <w:rFonts w:ascii="Arial" w:hAnsi="Arial" w:cs="Arial"/>
              </w:rPr>
              <w:lastRenderedPageBreak/>
              <w:t>strains using WGS strategy, including Illumina technology for high-accuracy sequences and Oxford Nanopore technology for filling inter-contig gaps.</w:t>
            </w:r>
          </w:p>
        </w:tc>
        <w:tc>
          <w:tcPr>
            <w:tcW w:w="2057" w:type="dxa"/>
          </w:tcPr>
          <w:p w14:paraId="3A4EC590" w14:textId="77777777" w:rsidR="00B01780" w:rsidRPr="00070C24" w:rsidRDefault="00B01780" w:rsidP="00E04401">
            <w:pPr>
              <w:spacing w:line="360" w:lineRule="auto"/>
              <w:rPr>
                <w:rFonts w:ascii="Arial" w:hAnsi="Arial" w:cs="Arial"/>
              </w:rPr>
            </w:pPr>
            <w:r w:rsidRPr="00070C24">
              <w:rPr>
                <w:rFonts w:ascii="Arial" w:hAnsi="Arial" w:cs="Arial"/>
                <w:i/>
              </w:rPr>
              <w:lastRenderedPageBreak/>
              <w:t xml:space="preserve">L. monocytogenes </w:t>
            </w:r>
            <w:r w:rsidRPr="00070C24">
              <w:rPr>
                <w:rFonts w:ascii="Arial" w:hAnsi="Arial" w:cs="Arial"/>
              </w:rPr>
              <w:t xml:space="preserve">strains isolated </w:t>
            </w:r>
            <w:r w:rsidRPr="00070C24">
              <w:rPr>
                <w:rFonts w:ascii="Arial" w:hAnsi="Arial" w:cs="Arial"/>
              </w:rPr>
              <w:lastRenderedPageBreak/>
              <w:t>from foods sold in South Korea, including the outbreak strain FSCNU0110 and multiple other strains (n = 19).</w:t>
            </w:r>
          </w:p>
        </w:tc>
        <w:tc>
          <w:tcPr>
            <w:tcW w:w="3007" w:type="dxa"/>
          </w:tcPr>
          <w:p w14:paraId="7AFDF4A9" w14:textId="77777777" w:rsidR="00B01780" w:rsidRPr="00070C24" w:rsidRDefault="00B01780" w:rsidP="00E04401">
            <w:pPr>
              <w:spacing w:line="360" w:lineRule="auto"/>
              <w:rPr>
                <w:rFonts w:ascii="Arial" w:hAnsi="Arial" w:cs="Arial"/>
              </w:rPr>
            </w:pPr>
            <w:r w:rsidRPr="00070C24">
              <w:rPr>
                <w:rFonts w:ascii="Arial" w:hAnsi="Arial" w:cs="Arial"/>
                <w:b/>
                <w:bCs/>
              </w:rPr>
              <w:lastRenderedPageBreak/>
              <w:t>Serotype</w:t>
            </w:r>
            <w:r w:rsidRPr="00070C24">
              <w:rPr>
                <w:rFonts w:ascii="Arial" w:hAnsi="Arial" w:cs="Arial"/>
              </w:rPr>
              <w:t xml:space="preserve">: The specific serotype of </w:t>
            </w:r>
            <w:r w:rsidRPr="00070C24">
              <w:rPr>
                <w:rFonts w:ascii="Arial" w:hAnsi="Arial" w:cs="Arial"/>
                <w:i/>
              </w:rPr>
              <w:t>Listeria monocytogenes</w:t>
            </w:r>
            <w:r w:rsidRPr="00070C24">
              <w:rPr>
                <w:rFonts w:ascii="Arial" w:hAnsi="Arial" w:cs="Arial"/>
              </w:rPr>
              <w:t xml:space="preserve"> isolates.</w:t>
            </w:r>
          </w:p>
          <w:p w14:paraId="7B9FDEF1" w14:textId="77777777" w:rsidR="00B01780" w:rsidRPr="00070C24" w:rsidRDefault="00B01780" w:rsidP="00E04401">
            <w:pPr>
              <w:spacing w:line="360" w:lineRule="auto"/>
              <w:rPr>
                <w:rFonts w:ascii="Arial" w:hAnsi="Arial" w:cs="Arial"/>
              </w:rPr>
            </w:pPr>
            <w:r w:rsidRPr="00070C24">
              <w:rPr>
                <w:rFonts w:ascii="Arial" w:hAnsi="Arial" w:cs="Arial"/>
                <w:b/>
                <w:bCs/>
              </w:rPr>
              <w:lastRenderedPageBreak/>
              <w:t>MLST (Multilocus Sequence Typing</w:t>
            </w:r>
            <w:r w:rsidRPr="00070C24">
              <w:rPr>
                <w:rFonts w:ascii="Arial" w:hAnsi="Arial" w:cs="Arial"/>
              </w:rPr>
              <w:t>): A method to classify strains based on the nucleotide sequences of several housekeeping genes.</w:t>
            </w:r>
          </w:p>
          <w:p w14:paraId="3F38C4F4" w14:textId="77777777" w:rsidR="00B01780" w:rsidRPr="00070C24" w:rsidRDefault="00B01780" w:rsidP="00E04401">
            <w:pPr>
              <w:spacing w:line="360" w:lineRule="auto"/>
              <w:rPr>
                <w:rFonts w:ascii="Arial" w:hAnsi="Arial" w:cs="Arial"/>
              </w:rPr>
            </w:pPr>
            <w:r w:rsidRPr="00070C24">
              <w:rPr>
                <w:rFonts w:ascii="Arial" w:hAnsi="Arial" w:cs="Arial"/>
                <w:b/>
                <w:bCs/>
              </w:rPr>
              <w:t>Antibiotic resistance</w:t>
            </w:r>
            <w:r w:rsidRPr="00070C24">
              <w:rPr>
                <w:rFonts w:ascii="Arial" w:hAnsi="Arial" w:cs="Arial"/>
              </w:rPr>
              <w:t xml:space="preserve">: Resistance of </w:t>
            </w:r>
            <w:r w:rsidRPr="00070C24">
              <w:rPr>
                <w:rFonts w:ascii="Arial" w:hAnsi="Arial" w:cs="Arial"/>
                <w:i/>
              </w:rPr>
              <w:t>Listeria monocytogenes</w:t>
            </w:r>
            <w:r w:rsidRPr="00070C24">
              <w:rPr>
                <w:rFonts w:ascii="Arial" w:hAnsi="Arial" w:cs="Arial"/>
              </w:rPr>
              <w:t xml:space="preserve"> isolates to various antibiotics.</w:t>
            </w:r>
          </w:p>
          <w:p w14:paraId="7FE892CA" w14:textId="77777777" w:rsidR="00B01780" w:rsidRPr="00070C24" w:rsidRDefault="00B01780" w:rsidP="00E04401">
            <w:pPr>
              <w:spacing w:line="360" w:lineRule="auto"/>
              <w:rPr>
                <w:rFonts w:ascii="Arial" w:hAnsi="Arial" w:cs="Arial"/>
              </w:rPr>
            </w:pPr>
            <w:r w:rsidRPr="00070C24">
              <w:rPr>
                <w:rFonts w:ascii="Arial" w:hAnsi="Arial" w:cs="Arial"/>
                <w:b/>
                <w:bCs/>
              </w:rPr>
              <w:t>Virulence genes</w:t>
            </w:r>
            <w:r w:rsidRPr="00070C24">
              <w:rPr>
                <w:rFonts w:ascii="Arial" w:hAnsi="Arial" w:cs="Arial"/>
              </w:rPr>
              <w:t>: Presence of genes associated with virulence, including Listeria pathogenicity island 1 (LIPI-1) and LIPI-3.</w:t>
            </w:r>
          </w:p>
          <w:p w14:paraId="18543A88" w14:textId="77777777" w:rsidR="00B01780" w:rsidRPr="00070C24" w:rsidRDefault="00B01780" w:rsidP="00E04401">
            <w:pPr>
              <w:spacing w:line="360" w:lineRule="auto"/>
              <w:rPr>
                <w:rFonts w:ascii="Arial" w:hAnsi="Arial" w:cs="Arial"/>
              </w:rPr>
            </w:pPr>
          </w:p>
        </w:tc>
        <w:tc>
          <w:tcPr>
            <w:tcW w:w="2100" w:type="dxa"/>
          </w:tcPr>
          <w:p w14:paraId="725643A7"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Serotyping, MLST analysis, antibiotic </w:t>
            </w:r>
            <w:r w:rsidRPr="00070C24">
              <w:rPr>
                <w:rFonts w:ascii="Arial" w:hAnsi="Arial" w:cs="Arial"/>
              </w:rPr>
              <w:lastRenderedPageBreak/>
              <w:t>resistance assays, whole-genome sequencing.</w:t>
            </w:r>
          </w:p>
        </w:tc>
        <w:tc>
          <w:tcPr>
            <w:tcW w:w="2583" w:type="dxa"/>
          </w:tcPr>
          <w:p w14:paraId="726E4C1C"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Comparison of whole-genome sequences, cgMLST analysis, </w:t>
            </w:r>
            <w:r w:rsidRPr="00070C24">
              <w:rPr>
                <w:rFonts w:ascii="Arial" w:hAnsi="Arial" w:cs="Arial"/>
              </w:rPr>
              <w:lastRenderedPageBreak/>
              <w:t>identification of virulence and antibiotic resistance genes.</w:t>
            </w:r>
          </w:p>
        </w:tc>
        <w:tc>
          <w:tcPr>
            <w:tcW w:w="3386" w:type="dxa"/>
          </w:tcPr>
          <w:p w14:paraId="0C6AC47D"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outbreak strain FSCNU0110 belonged to </w:t>
            </w:r>
            <w:r w:rsidRPr="00070C24">
              <w:rPr>
                <w:rFonts w:ascii="Arial" w:hAnsi="Arial" w:cs="Arial"/>
              </w:rPr>
              <w:lastRenderedPageBreak/>
              <w:t>serotype 1/2b and MLST sequence type 224 (ST224).</w:t>
            </w:r>
          </w:p>
          <w:p w14:paraId="77009BB1" w14:textId="77777777" w:rsidR="00B01780" w:rsidRPr="00070C24" w:rsidRDefault="00B01780" w:rsidP="00E04401">
            <w:pPr>
              <w:spacing w:line="360" w:lineRule="auto"/>
              <w:rPr>
                <w:rFonts w:ascii="Arial" w:hAnsi="Arial" w:cs="Arial"/>
              </w:rPr>
            </w:pPr>
            <w:r w:rsidRPr="00070C24">
              <w:rPr>
                <w:rFonts w:ascii="Arial" w:hAnsi="Arial" w:cs="Arial"/>
              </w:rPr>
              <w:t>MLST analysis identified 13 different sequence types (STs) among the analyzed isolates.</w:t>
            </w:r>
          </w:p>
          <w:p w14:paraId="6D61BC8D" w14:textId="77777777" w:rsidR="00B01780" w:rsidRPr="00070C24" w:rsidRDefault="00B01780" w:rsidP="00E04401">
            <w:pPr>
              <w:spacing w:line="360" w:lineRule="auto"/>
              <w:rPr>
                <w:rFonts w:ascii="Arial" w:hAnsi="Arial" w:cs="Arial"/>
              </w:rPr>
            </w:pPr>
            <w:r w:rsidRPr="00070C24">
              <w:rPr>
                <w:rFonts w:ascii="Arial" w:hAnsi="Arial" w:cs="Arial"/>
              </w:rPr>
              <w:t>Antibiotic resistance testing showed resistance to lincomycin and penicillin G in all strains, with variable resistance to other antibiotics such as ampicillin, tetracycline, and oxytetracycline.</w:t>
            </w:r>
          </w:p>
          <w:p w14:paraId="598B52C0" w14:textId="77777777" w:rsidR="00B01780" w:rsidRPr="00070C24" w:rsidRDefault="00B01780" w:rsidP="00E04401">
            <w:pPr>
              <w:spacing w:line="360" w:lineRule="auto"/>
              <w:rPr>
                <w:rFonts w:ascii="Arial" w:hAnsi="Arial" w:cs="Arial"/>
              </w:rPr>
            </w:pPr>
            <w:r w:rsidRPr="00070C24">
              <w:rPr>
                <w:rFonts w:ascii="Arial" w:hAnsi="Arial" w:cs="Arial"/>
              </w:rPr>
              <w:t>The genome of FSCNU0110 harbored antibiotic resistance genes fosX, norB, sul, lin, and tetM, along with 64 virulence genes including LIPI-1 and LIPI-3.</w:t>
            </w:r>
          </w:p>
          <w:p w14:paraId="50F26E62" w14:textId="77777777" w:rsidR="00B01780" w:rsidRPr="00070C24" w:rsidRDefault="00B01780" w:rsidP="00E04401">
            <w:pPr>
              <w:spacing w:line="360" w:lineRule="auto"/>
              <w:rPr>
                <w:rFonts w:ascii="Arial" w:hAnsi="Arial" w:cs="Arial"/>
              </w:rPr>
            </w:pPr>
            <w:r w:rsidRPr="00070C24">
              <w:rPr>
                <w:rFonts w:ascii="Arial" w:hAnsi="Arial" w:cs="Arial"/>
              </w:rPr>
              <w:t>Comparison with other CC224 strains revealed genetic variations in virulence and antibiotic resistance genes, including a characteristic SNP in llsX gene in LIPI-3 among South Korean strains.</w:t>
            </w:r>
          </w:p>
          <w:p w14:paraId="7F818F3F" w14:textId="77777777" w:rsidR="00B01780" w:rsidRPr="00070C24" w:rsidRDefault="00B01780" w:rsidP="00E04401">
            <w:pPr>
              <w:spacing w:line="360" w:lineRule="auto"/>
              <w:rPr>
                <w:rFonts w:ascii="Arial" w:hAnsi="Arial" w:cs="Arial"/>
              </w:rPr>
            </w:pPr>
          </w:p>
        </w:tc>
        <w:tc>
          <w:tcPr>
            <w:tcW w:w="2354" w:type="dxa"/>
          </w:tcPr>
          <w:p w14:paraId="28616870"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provides valuable insights into the genetic </w:t>
            </w:r>
            <w:r w:rsidRPr="00070C24">
              <w:rPr>
                <w:rFonts w:ascii="Arial" w:hAnsi="Arial" w:cs="Arial"/>
              </w:rPr>
              <w:lastRenderedPageBreak/>
              <w:t xml:space="preserve">characteristics and antibiotic resistance profiles of </w:t>
            </w:r>
            <w:r w:rsidRPr="00070C24">
              <w:rPr>
                <w:rFonts w:ascii="Arial" w:hAnsi="Arial" w:cs="Arial"/>
                <w:i/>
              </w:rPr>
              <w:t xml:space="preserve">L. monocytogenes </w:t>
            </w:r>
            <w:r w:rsidRPr="00070C24">
              <w:rPr>
                <w:rFonts w:ascii="Arial" w:hAnsi="Arial" w:cs="Arial"/>
              </w:rPr>
              <w:t xml:space="preserve">strains isolated from foods in South Korea, offering important information for the management and control of listeriosis outbreaks and antibiotic treatment strategies. Further research is warranted to better understand the epidemiology and characteristics of local </w:t>
            </w:r>
            <w:r w:rsidRPr="00070C24">
              <w:rPr>
                <w:rFonts w:ascii="Arial" w:hAnsi="Arial" w:cs="Arial"/>
                <w:i/>
              </w:rPr>
              <w:t xml:space="preserve">L. monocytogenes </w:t>
            </w:r>
            <w:r w:rsidRPr="00070C24">
              <w:rPr>
                <w:rFonts w:ascii="Arial" w:hAnsi="Arial" w:cs="Arial"/>
              </w:rPr>
              <w:t>populations in South Korea.</w:t>
            </w:r>
          </w:p>
          <w:p w14:paraId="3BF0509A" w14:textId="77777777" w:rsidR="00B01780" w:rsidRPr="00070C24" w:rsidRDefault="00B01780" w:rsidP="00E04401">
            <w:pPr>
              <w:spacing w:line="360" w:lineRule="auto"/>
              <w:rPr>
                <w:rFonts w:ascii="Arial" w:hAnsi="Arial" w:cs="Arial"/>
              </w:rPr>
            </w:pPr>
          </w:p>
        </w:tc>
      </w:tr>
      <w:tr w:rsidR="00B01780" w:rsidRPr="00070C24" w14:paraId="516B9C62" w14:textId="77777777" w:rsidTr="00E04401">
        <w:trPr>
          <w:trHeight w:val="146"/>
        </w:trPr>
        <w:tc>
          <w:tcPr>
            <w:tcW w:w="0" w:type="auto"/>
          </w:tcPr>
          <w:p w14:paraId="76CBBDB3" w14:textId="77777777" w:rsidR="00B01780" w:rsidRPr="00070C24" w:rsidRDefault="00B01780" w:rsidP="00E04401">
            <w:pPr>
              <w:spacing w:line="360" w:lineRule="auto"/>
              <w:rPr>
                <w:rFonts w:ascii="Arial" w:hAnsi="Arial" w:cs="Arial"/>
              </w:rPr>
            </w:pPr>
            <w:r w:rsidRPr="00070C24">
              <w:rPr>
                <w:rFonts w:ascii="Arial" w:hAnsi="Arial" w:cs="Arial"/>
              </w:rPr>
              <w:lastRenderedPageBreak/>
              <w:t>Ji et al. (2023)</w:t>
            </w:r>
          </w:p>
        </w:tc>
        <w:tc>
          <w:tcPr>
            <w:tcW w:w="0" w:type="auto"/>
          </w:tcPr>
          <w:p w14:paraId="01396215"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Frontiers in Microbiology </w:t>
            </w:r>
            <w:r w:rsidRPr="00070C24">
              <w:rPr>
                <w:rFonts w:ascii="Arial" w:hAnsi="Arial" w:cs="Arial"/>
              </w:rPr>
              <w:t>(FSTA)</w:t>
            </w:r>
          </w:p>
        </w:tc>
        <w:tc>
          <w:tcPr>
            <w:tcW w:w="2313" w:type="dxa"/>
          </w:tcPr>
          <w:p w14:paraId="11748265" w14:textId="77777777" w:rsidR="00B01780" w:rsidRPr="00070C24" w:rsidRDefault="00B01780" w:rsidP="00E04401">
            <w:pPr>
              <w:spacing w:line="360" w:lineRule="auto"/>
              <w:rPr>
                <w:rFonts w:ascii="Arial" w:hAnsi="Arial" w:cs="Arial"/>
              </w:rPr>
            </w:pPr>
            <w:r w:rsidRPr="00070C24">
              <w:rPr>
                <w:rFonts w:ascii="Arial" w:hAnsi="Arial" w:cs="Arial"/>
              </w:rPr>
              <w:t xml:space="preserve">Whole-genome sequencing (WGS) for genomic characterization of </w:t>
            </w:r>
            <w:r w:rsidRPr="00070C24">
              <w:rPr>
                <w:rFonts w:ascii="Arial" w:hAnsi="Arial" w:cs="Arial"/>
                <w:i/>
              </w:rPr>
              <w:t xml:space="preserve">Listeria </w:t>
            </w:r>
            <w:r w:rsidRPr="00070C24">
              <w:rPr>
                <w:rFonts w:ascii="Arial" w:hAnsi="Arial" w:cs="Arial"/>
                <w:i/>
              </w:rPr>
              <w:lastRenderedPageBreak/>
              <w:t>monocytogenes</w:t>
            </w:r>
            <w:r w:rsidRPr="00070C24">
              <w:rPr>
                <w:rFonts w:ascii="Arial" w:hAnsi="Arial" w:cs="Arial"/>
              </w:rPr>
              <w:t xml:space="preserve"> from food in China.</w:t>
            </w:r>
          </w:p>
          <w:p w14:paraId="3DBB0A19" w14:textId="77777777" w:rsidR="00B01780" w:rsidRPr="00070C24" w:rsidRDefault="00B01780" w:rsidP="00E04401">
            <w:pPr>
              <w:spacing w:line="360" w:lineRule="auto"/>
              <w:rPr>
                <w:rFonts w:ascii="Arial" w:hAnsi="Arial" w:cs="Arial"/>
              </w:rPr>
            </w:pPr>
          </w:p>
        </w:tc>
        <w:tc>
          <w:tcPr>
            <w:tcW w:w="2223" w:type="dxa"/>
          </w:tcPr>
          <w:p w14:paraId="4B7F4945"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Whole-genome sequencing of 322 </w:t>
            </w:r>
            <w:r w:rsidRPr="00070C24">
              <w:rPr>
                <w:rFonts w:ascii="Arial" w:hAnsi="Arial" w:cs="Arial"/>
                <w:i/>
              </w:rPr>
              <w:t xml:space="preserve">L. monocytogenes </w:t>
            </w:r>
            <w:r w:rsidRPr="00070C24">
              <w:rPr>
                <w:rFonts w:ascii="Arial" w:hAnsi="Arial" w:cs="Arial"/>
              </w:rPr>
              <w:t xml:space="preserve">isolates from food across China </w:t>
            </w:r>
            <w:r w:rsidRPr="00070C24">
              <w:rPr>
                <w:rFonts w:ascii="Arial" w:hAnsi="Arial" w:cs="Arial"/>
              </w:rPr>
              <w:lastRenderedPageBreak/>
              <w:t>between 2000 and 2018. Comparative analysis with 310 genomes from GenBank, including isolates from China and other countries.</w:t>
            </w:r>
          </w:p>
          <w:p w14:paraId="6D2AB8AD" w14:textId="77777777" w:rsidR="00B01780" w:rsidRPr="00070C24" w:rsidRDefault="00B01780" w:rsidP="00E04401">
            <w:pPr>
              <w:spacing w:line="360" w:lineRule="auto"/>
              <w:rPr>
                <w:rFonts w:ascii="Arial" w:hAnsi="Arial" w:cs="Arial"/>
              </w:rPr>
            </w:pPr>
          </w:p>
        </w:tc>
        <w:tc>
          <w:tcPr>
            <w:tcW w:w="2057" w:type="dxa"/>
          </w:tcPr>
          <w:p w14:paraId="1AFBB22C" w14:textId="77777777" w:rsidR="00B01780" w:rsidRPr="00070C24" w:rsidRDefault="00B01780" w:rsidP="00E04401">
            <w:pPr>
              <w:spacing w:line="360" w:lineRule="auto"/>
              <w:rPr>
                <w:rFonts w:ascii="Arial" w:hAnsi="Arial" w:cs="Arial"/>
              </w:rPr>
            </w:pPr>
            <w:r w:rsidRPr="00070C24">
              <w:rPr>
                <w:rFonts w:ascii="Arial" w:hAnsi="Arial" w:cs="Arial"/>
                <w:i/>
              </w:rPr>
              <w:lastRenderedPageBreak/>
              <w:t xml:space="preserve">L. monocytogenes </w:t>
            </w:r>
            <w:r w:rsidRPr="00070C24">
              <w:rPr>
                <w:rFonts w:ascii="Arial" w:hAnsi="Arial" w:cs="Arial"/>
              </w:rPr>
              <w:t xml:space="preserve">isolates from various food sources in 12 </w:t>
            </w:r>
            <w:r w:rsidRPr="00070C24">
              <w:rPr>
                <w:rFonts w:ascii="Arial" w:hAnsi="Arial" w:cs="Arial"/>
              </w:rPr>
              <w:lastRenderedPageBreak/>
              <w:t>provinces and one municipality in China.</w:t>
            </w:r>
          </w:p>
        </w:tc>
        <w:tc>
          <w:tcPr>
            <w:tcW w:w="3007" w:type="dxa"/>
          </w:tcPr>
          <w:p w14:paraId="44EEF60F" w14:textId="77777777" w:rsidR="00B01780" w:rsidRPr="00070C24" w:rsidRDefault="00B01780" w:rsidP="00E04401">
            <w:pPr>
              <w:spacing w:line="360" w:lineRule="auto"/>
              <w:rPr>
                <w:rFonts w:ascii="Arial" w:hAnsi="Arial" w:cs="Arial"/>
              </w:rPr>
            </w:pPr>
            <w:r w:rsidRPr="00070C24">
              <w:rPr>
                <w:rFonts w:ascii="Arial" w:hAnsi="Arial" w:cs="Arial"/>
              </w:rPr>
              <w:lastRenderedPageBreak/>
              <w:t>Whole genome characteristics (e.g., genome size, scaffolds, GC content, protein-coding sequences)</w:t>
            </w:r>
          </w:p>
          <w:p w14:paraId="1E628082" w14:textId="77777777" w:rsidR="00B01780" w:rsidRPr="00070C24" w:rsidRDefault="00B01780" w:rsidP="00E04401">
            <w:pPr>
              <w:spacing w:line="360" w:lineRule="auto"/>
              <w:rPr>
                <w:rFonts w:ascii="Arial" w:hAnsi="Arial" w:cs="Arial"/>
              </w:rPr>
            </w:pPr>
            <w:r w:rsidRPr="00070C24">
              <w:rPr>
                <w:rFonts w:ascii="Arial" w:hAnsi="Arial" w:cs="Arial"/>
              </w:rPr>
              <w:lastRenderedPageBreak/>
              <w:t>Serogroup identification based on five genes (lmo0737, lmo1118, ORF2110, ORF2819, and prs)</w:t>
            </w:r>
          </w:p>
          <w:p w14:paraId="43E8B3A6" w14:textId="77777777" w:rsidR="00B01780" w:rsidRPr="00070C24" w:rsidRDefault="00B01780" w:rsidP="00E04401">
            <w:pPr>
              <w:spacing w:line="360" w:lineRule="auto"/>
              <w:rPr>
                <w:rFonts w:ascii="Arial" w:hAnsi="Arial" w:cs="Arial"/>
              </w:rPr>
            </w:pPr>
            <w:r w:rsidRPr="00070C24">
              <w:rPr>
                <w:rFonts w:ascii="Arial" w:hAnsi="Arial" w:cs="Arial"/>
              </w:rPr>
              <w:t>Multilocus Sequence Typing (MLST) based on seven genes</w:t>
            </w:r>
          </w:p>
          <w:p w14:paraId="5140B887" w14:textId="77777777" w:rsidR="00B01780" w:rsidRPr="00070C24" w:rsidRDefault="00B01780" w:rsidP="00E04401">
            <w:pPr>
              <w:spacing w:line="360" w:lineRule="auto"/>
              <w:rPr>
                <w:rFonts w:ascii="Arial" w:hAnsi="Arial" w:cs="Arial"/>
              </w:rPr>
            </w:pPr>
            <w:r w:rsidRPr="00070C24">
              <w:rPr>
                <w:rFonts w:ascii="Arial" w:hAnsi="Arial" w:cs="Arial"/>
              </w:rPr>
              <w:t>Core-SNP phylogenetic analysis</w:t>
            </w:r>
          </w:p>
          <w:p w14:paraId="3AF3E8FD" w14:textId="77777777" w:rsidR="00B01780" w:rsidRPr="00070C24" w:rsidRDefault="00B01780" w:rsidP="00E04401">
            <w:pPr>
              <w:spacing w:line="360" w:lineRule="auto"/>
              <w:rPr>
                <w:rFonts w:ascii="Arial" w:hAnsi="Arial" w:cs="Arial"/>
              </w:rPr>
            </w:pPr>
            <w:r w:rsidRPr="00070C24">
              <w:rPr>
                <w:rFonts w:ascii="Arial" w:hAnsi="Arial" w:cs="Arial"/>
              </w:rPr>
              <w:t>Pair-wise wgSNP analysis of closely related isolates</w:t>
            </w:r>
          </w:p>
          <w:p w14:paraId="3A3DF280" w14:textId="77777777" w:rsidR="00B01780" w:rsidRPr="00070C24" w:rsidRDefault="00B01780" w:rsidP="00E04401">
            <w:pPr>
              <w:spacing w:line="360" w:lineRule="auto"/>
              <w:rPr>
                <w:rFonts w:ascii="Arial" w:hAnsi="Arial" w:cs="Arial"/>
              </w:rPr>
            </w:pPr>
            <w:r w:rsidRPr="00070C24">
              <w:rPr>
                <w:rFonts w:ascii="Arial" w:hAnsi="Arial" w:cs="Arial"/>
              </w:rPr>
              <w:t xml:space="preserve">Distribution of prevalent subtypes of </w:t>
            </w:r>
            <w:r w:rsidRPr="00070C24">
              <w:rPr>
                <w:rFonts w:ascii="Arial" w:hAnsi="Arial" w:cs="Arial"/>
                <w:i/>
              </w:rPr>
              <w:t xml:space="preserve">L. monocytogenes </w:t>
            </w:r>
            <w:r w:rsidRPr="00070C24">
              <w:rPr>
                <w:rFonts w:ascii="Arial" w:hAnsi="Arial" w:cs="Arial"/>
              </w:rPr>
              <w:t>isolates in China in the context of global isolates</w:t>
            </w:r>
          </w:p>
          <w:p w14:paraId="758CE200" w14:textId="77777777" w:rsidR="00B01780" w:rsidRPr="00070C24" w:rsidRDefault="00B01780" w:rsidP="00E04401">
            <w:pPr>
              <w:spacing w:line="360" w:lineRule="auto"/>
              <w:rPr>
                <w:rFonts w:ascii="Arial" w:hAnsi="Arial" w:cs="Arial"/>
              </w:rPr>
            </w:pPr>
            <w:r w:rsidRPr="00070C24">
              <w:rPr>
                <w:rFonts w:ascii="Arial" w:hAnsi="Arial" w:cs="Arial"/>
              </w:rPr>
              <w:t>Stress resistance genes</w:t>
            </w:r>
          </w:p>
          <w:p w14:paraId="38C72179" w14:textId="77777777" w:rsidR="00B01780" w:rsidRPr="00070C24" w:rsidRDefault="00B01780" w:rsidP="00E04401">
            <w:pPr>
              <w:spacing w:line="360" w:lineRule="auto"/>
              <w:rPr>
                <w:rFonts w:ascii="Arial" w:hAnsi="Arial" w:cs="Arial"/>
              </w:rPr>
            </w:pPr>
            <w:r w:rsidRPr="00070C24">
              <w:rPr>
                <w:rFonts w:ascii="Arial" w:hAnsi="Arial" w:cs="Arial"/>
              </w:rPr>
              <w:t>Virulence factors</w:t>
            </w:r>
          </w:p>
          <w:p w14:paraId="4A5BE204" w14:textId="77777777" w:rsidR="00B01780" w:rsidRPr="00070C24" w:rsidRDefault="00B01780" w:rsidP="00E04401">
            <w:pPr>
              <w:spacing w:line="360" w:lineRule="auto"/>
              <w:rPr>
                <w:rFonts w:ascii="Arial" w:hAnsi="Arial" w:cs="Arial"/>
              </w:rPr>
            </w:pPr>
            <w:r w:rsidRPr="00070C24">
              <w:rPr>
                <w:rFonts w:ascii="Arial" w:hAnsi="Arial" w:cs="Arial"/>
              </w:rPr>
              <w:t>Antibiotic resistance genes</w:t>
            </w:r>
          </w:p>
        </w:tc>
        <w:tc>
          <w:tcPr>
            <w:tcW w:w="2100" w:type="dxa"/>
          </w:tcPr>
          <w:p w14:paraId="41FAA319"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Genomic DNA extraction, whole-genome sequencing on Illumina HiSeq X </w:t>
            </w:r>
            <w:r w:rsidRPr="00070C24">
              <w:rPr>
                <w:rFonts w:ascii="Arial" w:hAnsi="Arial" w:cs="Arial"/>
              </w:rPr>
              <w:lastRenderedPageBreak/>
              <w:t>PE150 platform, in silico subtyping, phylogenetic analysis, and identification of genes for stress resistance, virulence factors, and antibiotic resistance.</w:t>
            </w:r>
          </w:p>
          <w:p w14:paraId="474FC249" w14:textId="77777777" w:rsidR="00B01780" w:rsidRPr="00070C24" w:rsidRDefault="00B01780" w:rsidP="00E04401">
            <w:pPr>
              <w:spacing w:line="360" w:lineRule="auto"/>
              <w:rPr>
                <w:rFonts w:ascii="Arial" w:hAnsi="Arial" w:cs="Arial"/>
              </w:rPr>
            </w:pPr>
          </w:p>
        </w:tc>
        <w:tc>
          <w:tcPr>
            <w:tcW w:w="2583" w:type="dxa"/>
          </w:tcPr>
          <w:p w14:paraId="59DD39F1"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Serogroup identification, MLST analysis, core genome SNP analysis, phylogenetic </w:t>
            </w:r>
            <w:r w:rsidRPr="00070C24">
              <w:rPr>
                <w:rFonts w:ascii="Arial" w:hAnsi="Arial" w:cs="Arial"/>
              </w:rPr>
              <w:lastRenderedPageBreak/>
              <w:t>tree inference, pan-genome analysis, and gene detection using BLASTN algorithm.</w:t>
            </w:r>
          </w:p>
        </w:tc>
        <w:tc>
          <w:tcPr>
            <w:tcW w:w="3386" w:type="dxa"/>
          </w:tcPr>
          <w:p w14:paraId="1704C113" w14:textId="77777777" w:rsidR="00B01780" w:rsidRPr="00070C24" w:rsidRDefault="00B01780" w:rsidP="00E04401">
            <w:pPr>
              <w:spacing w:line="360" w:lineRule="auto"/>
              <w:rPr>
                <w:rFonts w:ascii="Arial" w:hAnsi="Arial" w:cs="Arial"/>
              </w:rPr>
            </w:pPr>
            <w:r w:rsidRPr="00070C24">
              <w:rPr>
                <w:rFonts w:ascii="Arial" w:hAnsi="Arial" w:cs="Arial"/>
              </w:rPr>
              <w:lastRenderedPageBreak/>
              <w:t>Identification of five serogroups (IIa, IIb, IIc, IVb, L) with different distributions across food types</w:t>
            </w:r>
          </w:p>
          <w:p w14:paraId="2C6FA64F" w14:textId="77777777" w:rsidR="00B01780" w:rsidRPr="00070C24" w:rsidRDefault="00B01780" w:rsidP="00E04401">
            <w:pPr>
              <w:spacing w:line="360" w:lineRule="auto"/>
              <w:rPr>
                <w:rFonts w:ascii="Arial" w:hAnsi="Arial" w:cs="Arial"/>
              </w:rPr>
            </w:pPr>
            <w:r w:rsidRPr="00070C24">
              <w:rPr>
                <w:rFonts w:ascii="Arial" w:hAnsi="Arial" w:cs="Arial"/>
              </w:rPr>
              <w:lastRenderedPageBreak/>
              <w:t>Classification of isolates into 35 sequence types (STs) further grouped into 26 clonal complexes (CCs)</w:t>
            </w:r>
          </w:p>
          <w:p w14:paraId="524BE536" w14:textId="77777777" w:rsidR="00B01780" w:rsidRPr="00070C24" w:rsidRDefault="00B01780" w:rsidP="00E04401">
            <w:pPr>
              <w:spacing w:line="360" w:lineRule="auto"/>
              <w:rPr>
                <w:rFonts w:ascii="Arial" w:hAnsi="Arial" w:cs="Arial"/>
              </w:rPr>
            </w:pPr>
            <w:r w:rsidRPr="00070C24">
              <w:rPr>
                <w:rFonts w:ascii="Arial" w:hAnsi="Arial" w:cs="Arial"/>
              </w:rPr>
              <w:t>Core-SNP phylogenetic analysis revealing three clusters corresponding to three lineages</w:t>
            </w:r>
          </w:p>
          <w:p w14:paraId="44A53184" w14:textId="77777777" w:rsidR="00B01780" w:rsidRPr="00070C24" w:rsidRDefault="00B01780" w:rsidP="00E04401">
            <w:pPr>
              <w:spacing w:line="360" w:lineRule="auto"/>
              <w:rPr>
                <w:rFonts w:ascii="Arial" w:hAnsi="Arial" w:cs="Arial"/>
              </w:rPr>
            </w:pPr>
            <w:r w:rsidRPr="00070C24">
              <w:rPr>
                <w:rFonts w:ascii="Arial" w:hAnsi="Arial" w:cs="Arial"/>
              </w:rPr>
              <w:t>Pair-wise wgSNP analysis identifying 23 potentially relevant clusters with minimal SNP differences among isolates</w:t>
            </w:r>
          </w:p>
          <w:p w14:paraId="10697A2F" w14:textId="77777777" w:rsidR="00B01780" w:rsidRPr="00070C24" w:rsidRDefault="00B01780" w:rsidP="00E04401">
            <w:pPr>
              <w:spacing w:line="360" w:lineRule="auto"/>
              <w:rPr>
                <w:rFonts w:ascii="Arial" w:hAnsi="Arial" w:cs="Arial"/>
              </w:rPr>
            </w:pPr>
            <w:r w:rsidRPr="00070C24">
              <w:rPr>
                <w:rFonts w:ascii="Arial" w:hAnsi="Arial" w:cs="Arial"/>
              </w:rPr>
              <w:t xml:space="preserve">Distribution of prevalent subtypes of </w:t>
            </w:r>
            <w:r w:rsidRPr="00070C24">
              <w:rPr>
                <w:rFonts w:ascii="Arial" w:hAnsi="Arial" w:cs="Arial"/>
                <w:i/>
              </w:rPr>
              <w:t xml:space="preserve">L. monocytogenes </w:t>
            </w:r>
            <w:r w:rsidRPr="00070C24">
              <w:rPr>
                <w:rFonts w:ascii="Arial" w:hAnsi="Arial" w:cs="Arial"/>
              </w:rPr>
              <w:t>isolates from China in the context of global isolates</w:t>
            </w:r>
          </w:p>
          <w:p w14:paraId="39811FC3" w14:textId="77777777" w:rsidR="00B01780" w:rsidRPr="00070C24" w:rsidRDefault="00B01780" w:rsidP="00E04401">
            <w:pPr>
              <w:spacing w:line="360" w:lineRule="auto"/>
              <w:rPr>
                <w:rFonts w:ascii="Arial" w:hAnsi="Arial" w:cs="Arial"/>
              </w:rPr>
            </w:pPr>
            <w:r w:rsidRPr="00070C24">
              <w:rPr>
                <w:rFonts w:ascii="Arial" w:hAnsi="Arial" w:cs="Arial"/>
              </w:rPr>
              <w:t>Screening and characterization of stress resistance genes, virulence factors, and antibiotic resistance genes</w:t>
            </w:r>
          </w:p>
        </w:tc>
        <w:tc>
          <w:tcPr>
            <w:tcW w:w="2354" w:type="dxa"/>
          </w:tcPr>
          <w:p w14:paraId="29AC48A5"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provides reveals the genomic characterization of </w:t>
            </w:r>
            <w:r w:rsidRPr="00070C24">
              <w:rPr>
                <w:rFonts w:ascii="Arial" w:hAnsi="Arial" w:cs="Arial"/>
                <w:i/>
              </w:rPr>
              <w:t xml:space="preserve">L. monocytogenes </w:t>
            </w:r>
            <w:r w:rsidRPr="00070C24">
              <w:rPr>
                <w:rFonts w:ascii="Arial" w:hAnsi="Arial" w:cs="Arial"/>
              </w:rPr>
              <w:lastRenderedPageBreak/>
              <w:t xml:space="preserve">from food in China using WGS, offering important information for understanding the epidemiology, genetic diversity, and antibiotic resistance profiles of </w:t>
            </w:r>
            <w:r w:rsidRPr="00070C24">
              <w:rPr>
                <w:rFonts w:ascii="Arial" w:hAnsi="Arial" w:cs="Arial"/>
                <w:i/>
              </w:rPr>
              <w:t xml:space="preserve">L. monocytogenes </w:t>
            </w:r>
            <w:r w:rsidRPr="00070C24">
              <w:rPr>
                <w:rFonts w:ascii="Arial" w:hAnsi="Arial" w:cs="Arial"/>
              </w:rPr>
              <w:t>strains in the region. This knowledge can contribute to improved surveillance, prevention, and control strategies for listeriosis in China.</w:t>
            </w:r>
          </w:p>
        </w:tc>
      </w:tr>
      <w:tr w:rsidR="00B01780" w:rsidRPr="00070C24" w14:paraId="693A1FCF" w14:textId="77777777" w:rsidTr="00E04401">
        <w:trPr>
          <w:trHeight w:val="273"/>
        </w:trPr>
        <w:tc>
          <w:tcPr>
            <w:tcW w:w="0" w:type="auto"/>
          </w:tcPr>
          <w:p w14:paraId="285B4F84" w14:textId="77777777" w:rsidR="00B01780" w:rsidRPr="00070C24" w:rsidRDefault="00B01780" w:rsidP="00E04401">
            <w:pPr>
              <w:spacing w:line="360" w:lineRule="auto"/>
              <w:rPr>
                <w:rFonts w:ascii="Arial" w:hAnsi="Arial" w:cs="Arial"/>
              </w:rPr>
            </w:pPr>
            <w:r w:rsidRPr="00070C24">
              <w:rPr>
                <w:rFonts w:ascii="Arial" w:hAnsi="Arial" w:cs="Arial"/>
              </w:rPr>
              <w:lastRenderedPageBreak/>
              <w:t>Halbedel et al. (2018)</w:t>
            </w:r>
          </w:p>
        </w:tc>
        <w:tc>
          <w:tcPr>
            <w:tcW w:w="0" w:type="auto"/>
          </w:tcPr>
          <w:p w14:paraId="520654B7"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Journal of Clinical Microbiology (PubMed)</w:t>
            </w:r>
          </w:p>
        </w:tc>
        <w:tc>
          <w:tcPr>
            <w:tcW w:w="2313" w:type="dxa"/>
          </w:tcPr>
          <w:p w14:paraId="57ECE18C"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investigates the population structure and disease clusters of </w:t>
            </w:r>
            <w:r w:rsidRPr="00070C24">
              <w:rPr>
                <w:rFonts w:ascii="Arial" w:hAnsi="Arial" w:cs="Arial"/>
                <w:i/>
              </w:rPr>
              <w:t>Listeria monocytogenes</w:t>
            </w:r>
            <w:r w:rsidRPr="00070C24">
              <w:rPr>
                <w:rFonts w:ascii="Arial" w:hAnsi="Arial" w:cs="Arial"/>
              </w:rPr>
              <w:t xml:space="preserve"> in Germany using whole-genome sequencing (WGS). By comparing </w:t>
            </w:r>
            <w:r w:rsidRPr="00070C24">
              <w:rPr>
                <w:rFonts w:ascii="Arial" w:hAnsi="Arial" w:cs="Arial"/>
              </w:rPr>
              <w:lastRenderedPageBreak/>
              <w:t>molecular serotyping, pulsed-field gel electrophoresis (PFGE), core-genome multilocus sequence typing (cgMLST), and SNP calling, the study aims to enhance outbreak detection and source identification, contributing to improved public health responses.</w:t>
            </w:r>
          </w:p>
        </w:tc>
        <w:tc>
          <w:tcPr>
            <w:tcW w:w="2223" w:type="dxa"/>
          </w:tcPr>
          <w:p w14:paraId="3595955F" w14:textId="77777777" w:rsidR="00B01780" w:rsidRPr="00070C24" w:rsidRDefault="00B01780" w:rsidP="00E04401">
            <w:pPr>
              <w:spacing w:line="360" w:lineRule="auto"/>
              <w:rPr>
                <w:rFonts w:ascii="Arial" w:hAnsi="Arial" w:cs="Arial"/>
              </w:rPr>
            </w:pPr>
            <w:r w:rsidRPr="00070C24">
              <w:rPr>
                <w:rFonts w:ascii="Arial" w:hAnsi="Arial" w:cs="Arial"/>
              </w:rPr>
              <w:lastRenderedPageBreak/>
              <w:t>Whole-genome sequencing (WGS) combined with core-genome multilocus sequence typing (cgMLST), SNP calling, molecular serotyping, PFGE, MLST.</w:t>
            </w:r>
          </w:p>
        </w:tc>
        <w:tc>
          <w:tcPr>
            <w:tcW w:w="2057" w:type="dxa"/>
          </w:tcPr>
          <w:p w14:paraId="46902B5D"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424 human </w:t>
            </w:r>
            <w:r w:rsidRPr="00070C24">
              <w:rPr>
                <w:rFonts w:ascii="Arial" w:hAnsi="Arial" w:cs="Arial"/>
                <w:i/>
                <w:shd w:val="clear" w:color="auto" w:fill="FFFFFF"/>
              </w:rPr>
              <w:t xml:space="preserve">L. monocytogenes </w:t>
            </w:r>
            <w:r w:rsidRPr="00070C24">
              <w:rPr>
                <w:rFonts w:ascii="Arial" w:hAnsi="Arial" w:cs="Arial"/>
                <w:shd w:val="clear" w:color="auto" w:fill="FFFFFF"/>
              </w:rPr>
              <w:t>isolates collected in Germany from 2007 to 2017</w:t>
            </w:r>
          </w:p>
        </w:tc>
        <w:tc>
          <w:tcPr>
            <w:tcW w:w="3007" w:type="dxa"/>
          </w:tcPr>
          <w:p w14:paraId="23DC5E10" w14:textId="77777777" w:rsidR="00B01780" w:rsidRPr="00070C24" w:rsidRDefault="00B01780" w:rsidP="00E04401">
            <w:pPr>
              <w:spacing w:line="360" w:lineRule="auto"/>
              <w:rPr>
                <w:rFonts w:ascii="Arial" w:hAnsi="Arial" w:cs="Arial"/>
              </w:rPr>
            </w:pPr>
            <w:r w:rsidRPr="00070C24">
              <w:rPr>
                <w:rFonts w:ascii="Arial" w:hAnsi="Arial" w:cs="Arial"/>
                <w:b/>
                <w:bCs/>
              </w:rPr>
              <w:t>Molecular serogroups</w:t>
            </w:r>
            <w:r w:rsidRPr="00070C24">
              <w:rPr>
                <w:rFonts w:ascii="Arial" w:hAnsi="Arial" w:cs="Arial"/>
              </w:rPr>
              <w:t>: Determined by multiplex PCR</w:t>
            </w:r>
          </w:p>
          <w:p w14:paraId="58114608" w14:textId="77777777" w:rsidR="00B01780" w:rsidRPr="00070C24" w:rsidRDefault="00B01780" w:rsidP="00E04401">
            <w:pPr>
              <w:spacing w:line="360" w:lineRule="auto"/>
              <w:rPr>
                <w:rFonts w:ascii="Arial" w:hAnsi="Arial" w:cs="Arial"/>
              </w:rPr>
            </w:pPr>
            <w:r w:rsidRPr="00070C24">
              <w:rPr>
                <w:rFonts w:ascii="Arial" w:hAnsi="Arial" w:cs="Arial"/>
                <w:b/>
                <w:bCs/>
              </w:rPr>
              <w:t>MLST sequence types (STs</w:t>
            </w:r>
            <w:r w:rsidRPr="00070C24">
              <w:rPr>
                <w:rFonts w:ascii="Arial" w:hAnsi="Arial" w:cs="Arial"/>
              </w:rPr>
              <w:t>): Determined using an MLST scheme based on seven housekeeping genes</w:t>
            </w:r>
          </w:p>
          <w:p w14:paraId="29B87FEB" w14:textId="77777777" w:rsidR="00B01780" w:rsidRPr="00070C24" w:rsidRDefault="00B01780" w:rsidP="00E04401">
            <w:pPr>
              <w:spacing w:line="360" w:lineRule="auto"/>
              <w:rPr>
                <w:rFonts w:ascii="Arial" w:hAnsi="Arial" w:cs="Arial"/>
              </w:rPr>
            </w:pPr>
            <w:r w:rsidRPr="00070C24">
              <w:rPr>
                <w:rFonts w:ascii="Arial" w:hAnsi="Arial" w:cs="Arial"/>
                <w:b/>
                <w:bCs/>
              </w:rPr>
              <w:t>PFGE profiles</w:t>
            </w:r>
            <w:r w:rsidRPr="00070C24">
              <w:rPr>
                <w:rFonts w:ascii="Arial" w:hAnsi="Arial" w:cs="Arial"/>
              </w:rPr>
              <w:t>: Generated using the PulseNet protocol</w:t>
            </w:r>
          </w:p>
          <w:p w14:paraId="26101A23" w14:textId="77777777" w:rsidR="00B01780" w:rsidRPr="00070C24" w:rsidRDefault="00B01780" w:rsidP="00E04401">
            <w:pPr>
              <w:spacing w:line="360" w:lineRule="auto"/>
              <w:rPr>
                <w:rFonts w:ascii="Arial" w:hAnsi="Arial" w:cs="Arial"/>
              </w:rPr>
            </w:pPr>
            <w:r w:rsidRPr="00070C24">
              <w:rPr>
                <w:rFonts w:ascii="Arial" w:hAnsi="Arial" w:cs="Arial"/>
              </w:rPr>
              <w:lastRenderedPageBreak/>
              <w:t>cgMLST cluster types (CTs): Determined using a 1,701-locus cgMLST scheme</w:t>
            </w:r>
          </w:p>
          <w:p w14:paraId="52C77A4B" w14:textId="77777777" w:rsidR="00B01780" w:rsidRPr="00070C24" w:rsidRDefault="00B01780" w:rsidP="00E04401">
            <w:pPr>
              <w:spacing w:line="360" w:lineRule="auto"/>
              <w:rPr>
                <w:rFonts w:ascii="Arial" w:hAnsi="Arial" w:cs="Arial"/>
              </w:rPr>
            </w:pPr>
            <w:r w:rsidRPr="00070C24">
              <w:rPr>
                <w:rFonts w:ascii="Arial" w:hAnsi="Arial" w:cs="Arial"/>
                <w:b/>
                <w:bCs/>
              </w:rPr>
              <w:t>SNP distances</w:t>
            </w:r>
            <w:r w:rsidRPr="00070C24">
              <w:rPr>
                <w:rFonts w:ascii="Arial" w:hAnsi="Arial" w:cs="Arial"/>
              </w:rPr>
              <w:t xml:space="preserve">: Calculated to determine genetic relatedness within cgMLST complexes </w:t>
            </w:r>
          </w:p>
          <w:p w14:paraId="49AB7752" w14:textId="77777777" w:rsidR="00B01780" w:rsidRPr="00070C24" w:rsidRDefault="00B01780" w:rsidP="00E04401">
            <w:pPr>
              <w:spacing w:line="360" w:lineRule="auto"/>
              <w:rPr>
                <w:rFonts w:ascii="Arial" w:hAnsi="Arial" w:cs="Arial"/>
              </w:rPr>
            </w:pPr>
            <w:r w:rsidRPr="00070C24">
              <w:rPr>
                <w:rFonts w:ascii="Arial" w:hAnsi="Arial" w:cs="Arial"/>
                <w:b/>
                <w:bCs/>
              </w:rPr>
              <w:t>Outbreak clusters</w:t>
            </w:r>
            <w:r w:rsidRPr="00070C24">
              <w:rPr>
                <w:rFonts w:ascii="Arial" w:hAnsi="Arial" w:cs="Arial"/>
              </w:rPr>
              <w:t>: Identified based on cgMLST and SNP analysis</w:t>
            </w:r>
          </w:p>
          <w:p w14:paraId="520D6A17" w14:textId="77777777" w:rsidR="00B01780" w:rsidRPr="00070C24" w:rsidRDefault="00B01780" w:rsidP="00E04401">
            <w:pPr>
              <w:spacing w:line="360" w:lineRule="auto"/>
              <w:rPr>
                <w:rFonts w:ascii="Arial" w:hAnsi="Arial" w:cs="Arial"/>
              </w:rPr>
            </w:pPr>
          </w:p>
        </w:tc>
        <w:tc>
          <w:tcPr>
            <w:tcW w:w="2100" w:type="dxa"/>
          </w:tcPr>
          <w:p w14:paraId="67ABE45F"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DNA extraction, library preparation, and genome sequencing using Illumina platforms; molecular serogroup determination by multiplex PCR; </w:t>
            </w:r>
            <w:r w:rsidRPr="00070C24">
              <w:rPr>
                <w:rFonts w:ascii="Arial" w:hAnsi="Arial" w:cs="Arial"/>
              </w:rPr>
              <w:lastRenderedPageBreak/>
              <w:t>MLST and cgMLST using Burrows-Wheeler aligner (BWA) mapping algorithm and Ridom SeqSphere software; SNP calling using VarScan; PFGE analysis with BioNumerics software</w:t>
            </w:r>
          </w:p>
          <w:p w14:paraId="4864FF8E" w14:textId="77777777" w:rsidR="00B01780" w:rsidRPr="00070C24" w:rsidRDefault="00B01780" w:rsidP="00E04401">
            <w:pPr>
              <w:spacing w:line="360" w:lineRule="auto"/>
              <w:rPr>
                <w:rFonts w:ascii="Arial" w:hAnsi="Arial" w:cs="Arial"/>
              </w:rPr>
            </w:pPr>
          </w:p>
        </w:tc>
        <w:tc>
          <w:tcPr>
            <w:tcW w:w="2583" w:type="dxa"/>
          </w:tcPr>
          <w:p w14:paraId="65ACCBC4"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Allelic similarity analysis for cgMLST, SNP calling, phylogenetic tree construction, determination of allelic distances and SNP distances within cgMLST complexes, comparison of typing </w:t>
            </w:r>
            <w:r w:rsidRPr="00070C24">
              <w:rPr>
                <w:rFonts w:ascii="Arial" w:hAnsi="Arial" w:cs="Arial"/>
              </w:rPr>
              <w:lastRenderedPageBreak/>
              <w:t>resolution between PFGE and cgMLST.</w:t>
            </w:r>
          </w:p>
        </w:tc>
        <w:tc>
          <w:tcPr>
            <w:tcW w:w="3386" w:type="dxa"/>
          </w:tcPr>
          <w:p w14:paraId="31120E99"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424 </w:t>
            </w:r>
            <w:r w:rsidRPr="00070C24">
              <w:rPr>
                <w:rFonts w:ascii="Arial" w:hAnsi="Arial" w:cs="Arial"/>
                <w:i/>
              </w:rPr>
              <w:t xml:space="preserve">L. monocytogenes </w:t>
            </w:r>
            <w:r w:rsidRPr="00070C24">
              <w:rPr>
                <w:rFonts w:ascii="Arial" w:hAnsi="Arial" w:cs="Arial"/>
              </w:rPr>
              <w:t>isolates formed 38 cgMLST complexes, with 12 complexes including recent cases, suggesting ongoing activity of the pathogen source.</w:t>
            </w:r>
          </w:p>
          <w:p w14:paraId="1CC6C8BE" w14:textId="77777777" w:rsidR="00B01780" w:rsidRPr="00070C24" w:rsidRDefault="00B01780" w:rsidP="00E04401">
            <w:pPr>
              <w:spacing w:line="360" w:lineRule="auto"/>
              <w:rPr>
                <w:rFonts w:ascii="Arial" w:hAnsi="Arial" w:cs="Arial"/>
              </w:rPr>
            </w:pPr>
            <w:r w:rsidRPr="00070C24">
              <w:rPr>
                <w:rFonts w:ascii="Arial" w:hAnsi="Arial" w:cs="Arial"/>
              </w:rPr>
              <w:t xml:space="preserve">Maximum allelic distances within cgMLST complexes ranged from 0 to 25 alleles, supporting a cutoff value </w:t>
            </w:r>
            <w:r w:rsidRPr="00070C24">
              <w:rPr>
                <w:rFonts w:ascii="Arial" w:hAnsi="Arial" w:cs="Arial"/>
              </w:rPr>
              <w:lastRenderedPageBreak/>
              <w:t>close to 10 alleles for defining outbreak clusters.</w:t>
            </w:r>
          </w:p>
          <w:p w14:paraId="110FED9A" w14:textId="77777777" w:rsidR="00B01780" w:rsidRPr="00070C24" w:rsidRDefault="00B01780" w:rsidP="00E04401">
            <w:pPr>
              <w:spacing w:line="360" w:lineRule="auto"/>
              <w:rPr>
                <w:rFonts w:ascii="Arial" w:hAnsi="Arial" w:cs="Arial"/>
              </w:rPr>
            </w:pPr>
            <w:r w:rsidRPr="00070C24">
              <w:rPr>
                <w:rFonts w:ascii="Arial" w:hAnsi="Arial" w:cs="Arial"/>
              </w:rPr>
              <w:t>SNP calling confirmed cgMLST complexes, with differences of up to 15 SNPs observed within a complex.</w:t>
            </w:r>
          </w:p>
          <w:p w14:paraId="2B1AF8D9" w14:textId="77777777" w:rsidR="00B01780" w:rsidRPr="00070C24" w:rsidRDefault="00B01780" w:rsidP="00E04401">
            <w:pPr>
              <w:spacing w:line="360" w:lineRule="auto"/>
              <w:rPr>
                <w:rFonts w:ascii="Arial" w:hAnsi="Arial" w:cs="Arial"/>
              </w:rPr>
            </w:pPr>
            <w:r w:rsidRPr="00070C24">
              <w:rPr>
                <w:rFonts w:ascii="Arial" w:hAnsi="Arial" w:cs="Arial"/>
              </w:rPr>
              <w:t>cgMLST showed higher discriminatory power than PFGE, with 73% of PFGE profiles further differentiated by cgMLST.</w:t>
            </w:r>
          </w:p>
          <w:p w14:paraId="44C976BF" w14:textId="77777777" w:rsidR="00B01780" w:rsidRPr="00070C24" w:rsidRDefault="00B01780" w:rsidP="00E04401">
            <w:pPr>
              <w:spacing w:line="360" w:lineRule="auto"/>
              <w:rPr>
                <w:rFonts w:ascii="Arial" w:hAnsi="Arial" w:cs="Arial"/>
              </w:rPr>
            </w:pPr>
            <w:r w:rsidRPr="00070C24">
              <w:rPr>
                <w:rFonts w:ascii="Arial" w:hAnsi="Arial" w:cs="Arial"/>
              </w:rPr>
              <w:t>PFGE outperformed cgMLST in subtyping certain strains (e.g., CT90), where genomic rearrangements were identified.</w:t>
            </w:r>
          </w:p>
        </w:tc>
        <w:tc>
          <w:tcPr>
            <w:tcW w:w="2354" w:type="dxa"/>
          </w:tcPr>
          <w:p w14:paraId="7FDD5606"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lastRenderedPageBreak/>
              <w:t xml:space="preserve">The study demonstrates the utility of WGS combined with cgMLST and SNP analysis for identifying </w:t>
            </w:r>
            <w:r w:rsidRPr="00070C24">
              <w:rPr>
                <w:rFonts w:ascii="Arial" w:hAnsi="Arial" w:cs="Arial"/>
                <w:i/>
                <w:shd w:val="clear" w:color="auto" w:fill="FFFFFF"/>
              </w:rPr>
              <w:t xml:space="preserve">L. monocytogenes </w:t>
            </w:r>
            <w:r w:rsidRPr="00070C24">
              <w:rPr>
                <w:rFonts w:ascii="Arial" w:hAnsi="Arial" w:cs="Arial"/>
                <w:shd w:val="clear" w:color="auto" w:fill="FFFFFF"/>
              </w:rPr>
              <w:t xml:space="preserve">outbreak clusters with high precision. The findings </w:t>
            </w:r>
            <w:r w:rsidRPr="00070C24">
              <w:rPr>
                <w:rFonts w:ascii="Arial" w:hAnsi="Arial" w:cs="Arial"/>
                <w:shd w:val="clear" w:color="auto" w:fill="FFFFFF"/>
              </w:rPr>
              <w:lastRenderedPageBreak/>
              <w:t>suggest the importance of comprehensive and timely genomic surveillance to enhance outbreak detection and source identification, supporting its applicability in public health practice for improving food safety and disease control strategies.</w:t>
            </w:r>
          </w:p>
        </w:tc>
      </w:tr>
      <w:tr w:rsidR="00B01780" w:rsidRPr="00070C24" w14:paraId="492B4673" w14:textId="77777777" w:rsidTr="00E04401">
        <w:trPr>
          <w:trHeight w:val="273"/>
        </w:trPr>
        <w:tc>
          <w:tcPr>
            <w:tcW w:w="0" w:type="auto"/>
          </w:tcPr>
          <w:p w14:paraId="75E33D4F" w14:textId="77777777" w:rsidR="00B01780" w:rsidRPr="00070C24" w:rsidRDefault="00B01780" w:rsidP="00E04401">
            <w:pPr>
              <w:spacing w:line="360" w:lineRule="auto"/>
              <w:rPr>
                <w:rFonts w:ascii="Arial" w:hAnsi="Arial" w:cs="Arial"/>
              </w:rPr>
            </w:pPr>
            <w:r w:rsidRPr="00070C24">
              <w:rPr>
                <w:rFonts w:ascii="Arial" w:hAnsi="Arial" w:cs="Arial"/>
              </w:rPr>
              <w:lastRenderedPageBreak/>
              <w:t>Harrand et al. (2020)</w:t>
            </w:r>
          </w:p>
        </w:tc>
        <w:tc>
          <w:tcPr>
            <w:tcW w:w="0" w:type="auto"/>
          </w:tcPr>
          <w:p w14:paraId="29B3FC3B"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Applied and Environmental Microbiology (PubMed)</w:t>
            </w:r>
          </w:p>
        </w:tc>
        <w:tc>
          <w:tcPr>
            <w:tcW w:w="2313" w:type="dxa"/>
          </w:tcPr>
          <w:p w14:paraId="78E03913"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The rate of evolution of </w:t>
            </w:r>
            <w:r w:rsidRPr="00070C24">
              <w:rPr>
                <w:rFonts w:ascii="Arial" w:hAnsi="Arial" w:cs="Arial"/>
                <w:i/>
                <w:shd w:val="clear" w:color="auto" w:fill="FFFFFF"/>
              </w:rPr>
              <w:t>Listeria monocytogenes</w:t>
            </w:r>
            <w:r w:rsidRPr="00070C24">
              <w:rPr>
                <w:rFonts w:ascii="Arial" w:hAnsi="Arial" w:cs="Arial"/>
                <w:shd w:val="clear" w:color="auto" w:fill="FFFFFF"/>
              </w:rPr>
              <w:t xml:space="preserve"> isolates in food processing facilities using whole-genome sequencing.</w:t>
            </w:r>
          </w:p>
        </w:tc>
        <w:tc>
          <w:tcPr>
            <w:tcW w:w="2223" w:type="dxa"/>
          </w:tcPr>
          <w:p w14:paraId="4CFA7F58"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Longitudinal study analyzing 42 </w:t>
            </w:r>
            <w:r w:rsidRPr="00070C24">
              <w:rPr>
                <w:rFonts w:ascii="Arial" w:hAnsi="Arial" w:cs="Arial"/>
                <w:i/>
                <w:shd w:val="clear" w:color="auto" w:fill="FFFFFF"/>
              </w:rPr>
              <w:t xml:space="preserve">L. monocytogenes </w:t>
            </w:r>
            <w:r w:rsidRPr="00070C24">
              <w:rPr>
                <w:rFonts w:ascii="Arial" w:hAnsi="Arial" w:cs="Arial"/>
                <w:shd w:val="clear" w:color="auto" w:fill="FFFFFF"/>
              </w:rPr>
              <w:t>isolates (40 from facility X, 2 from other facilities) collected over 18 years. Whole-genome sequencing, SNP analysis, and phylogenetic tree construction were conducted.</w:t>
            </w:r>
          </w:p>
        </w:tc>
        <w:tc>
          <w:tcPr>
            <w:tcW w:w="2057" w:type="dxa"/>
          </w:tcPr>
          <w:p w14:paraId="40F42D1C"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Isolates collected from a cold-smoked salmon processing facility (facility X) and two other cold-smoked salmon processing facilities.</w:t>
            </w:r>
          </w:p>
        </w:tc>
        <w:tc>
          <w:tcPr>
            <w:tcW w:w="3007" w:type="dxa"/>
          </w:tcPr>
          <w:p w14:paraId="7273525A"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Evolutionary rate, time of most common recent ancestor (MCRA), mutation rate, prophage variation, stress resistance genes, plasmid profiles, phenotypic characteristics (e.g., sanitizer sensitivity, growth under stress conditions).</w:t>
            </w:r>
          </w:p>
        </w:tc>
        <w:tc>
          <w:tcPr>
            <w:tcW w:w="2100" w:type="dxa"/>
          </w:tcPr>
          <w:p w14:paraId="4D2B35F7"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SNP analysis, tip-dated phylogeny, identification of prophage profiles, plasmid sequencing, phenotypic assays.</w:t>
            </w:r>
          </w:p>
        </w:tc>
        <w:tc>
          <w:tcPr>
            <w:tcW w:w="2583" w:type="dxa"/>
          </w:tcPr>
          <w:p w14:paraId="0DC21488"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Tip-dated phylogeny using BEAST, SNP analysis for mutation rate estimation, identification of prophage profiles, plasmid sequence comparison, statistical analysis for phenotype associations.</w:t>
            </w:r>
          </w:p>
        </w:tc>
        <w:tc>
          <w:tcPr>
            <w:tcW w:w="3386" w:type="dxa"/>
          </w:tcPr>
          <w:p w14:paraId="699A6A0A"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Slow evolution of </w:t>
            </w:r>
            <w:r w:rsidRPr="00070C24">
              <w:rPr>
                <w:rFonts w:ascii="Arial" w:hAnsi="Arial" w:cs="Arial"/>
                <w:i/>
                <w:shd w:val="clear" w:color="auto" w:fill="FFFFFF"/>
              </w:rPr>
              <w:t xml:space="preserve">L. monocytogenes </w:t>
            </w:r>
            <w:r w:rsidRPr="00070C24">
              <w:rPr>
                <w:rFonts w:ascii="Arial" w:hAnsi="Arial" w:cs="Arial"/>
                <w:shd w:val="clear" w:color="auto" w:fill="FFFFFF"/>
              </w:rPr>
              <w:t xml:space="preserve">by point mutations and negative selection. Mutation rate: 1.15 × 10^-7 per nucleotide per year. Most recent common ancestor (MRCA) estimated to exist circa 1832. Prophage variation observed, with events of acquisition, loss, and replacement detected. Stress resistance genes associated with specific clusters/subclusters. Plasmid profiles varied across clusters. Sanitizer tolerance genes associated with </w:t>
            </w:r>
            <w:r w:rsidRPr="00070C24">
              <w:rPr>
                <w:rFonts w:ascii="Arial" w:hAnsi="Arial" w:cs="Arial"/>
                <w:shd w:val="clear" w:color="auto" w:fill="FFFFFF"/>
              </w:rPr>
              <w:lastRenderedPageBreak/>
              <w:t>persistent isolates. Growth under stress conditions differed among isolates.</w:t>
            </w:r>
          </w:p>
        </w:tc>
        <w:tc>
          <w:tcPr>
            <w:tcW w:w="2354" w:type="dxa"/>
          </w:tcPr>
          <w:p w14:paraId="63E2EA28"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lastRenderedPageBreak/>
              <w:t xml:space="preserve">The study shows into the long-term evolution of </w:t>
            </w:r>
            <w:r w:rsidRPr="00070C24">
              <w:rPr>
                <w:rFonts w:ascii="Arial" w:hAnsi="Arial" w:cs="Arial"/>
                <w:i/>
                <w:shd w:val="clear" w:color="auto" w:fill="FFFFFF"/>
              </w:rPr>
              <w:t xml:space="preserve">L. monocytogenes </w:t>
            </w:r>
            <w:r w:rsidRPr="00070C24">
              <w:rPr>
                <w:rFonts w:ascii="Arial" w:hAnsi="Arial" w:cs="Arial"/>
                <w:shd w:val="clear" w:color="auto" w:fill="FFFFFF"/>
              </w:rPr>
              <w:t xml:space="preserve">in food processing facilities, informing strategies for control and prevention. The study highlights the importance of whole-genome sequencing in understanding microbial dynamics and the role of genetic factors in </w:t>
            </w:r>
            <w:r w:rsidRPr="00070C24">
              <w:rPr>
                <w:rFonts w:ascii="Arial" w:hAnsi="Arial" w:cs="Arial"/>
                <w:shd w:val="clear" w:color="auto" w:fill="FFFFFF"/>
              </w:rPr>
              <w:lastRenderedPageBreak/>
              <w:t>persistence. Results are valuable for food safety practices.</w:t>
            </w:r>
          </w:p>
          <w:p w14:paraId="133DE949" w14:textId="77777777" w:rsidR="00B01780" w:rsidRPr="00070C24" w:rsidRDefault="00B01780" w:rsidP="00E04401">
            <w:pPr>
              <w:spacing w:line="360" w:lineRule="auto"/>
              <w:rPr>
                <w:rFonts w:ascii="Arial" w:hAnsi="Arial" w:cs="Arial"/>
              </w:rPr>
            </w:pPr>
          </w:p>
        </w:tc>
      </w:tr>
      <w:tr w:rsidR="00B01780" w:rsidRPr="00070C24" w14:paraId="2A74441F" w14:textId="77777777" w:rsidTr="00E04401">
        <w:trPr>
          <w:trHeight w:val="273"/>
        </w:trPr>
        <w:tc>
          <w:tcPr>
            <w:tcW w:w="0" w:type="auto"/>
          </w:tcPr>
          <w:p w14:paraId="1C3A74B5" w14:textId="77777777" w:rsidR="00B01780" w:rsidRPr="00070C24" w:rsidRDefault="00B01780" w:rsidP="00E04401">
            <w:pPr>
              <w:spacing w:line="360" w:lineRule="auto"/>
              <w:rPr>
                <w:rFonts w:ascii="Arial" w:hAnsi="Arial" w:cs="Arial"/>
              </w:rPr>
            </w:pPr>
            <w:r w:rsidRPr="00070C24">
              <w:rPr>
                <w:rFonts w:ascii="Arial" w:hAnsi="Arial" w:cs="Arial"/>
              </w:rPr>
              <w:lastRenderedPageBreak/>
              <w:t>Fagerlund et al. (2022)</w:t>
            </w:r>
          </w:p>
        </w:tc>
        <w:tc>
          <w:tcPr>
            <w:tcW w:w="0" w:type="auto"/>
          </w:tcPr>
          <w:p w14:paraId="099C0FCF"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Applied and Environmental Microbiology (PubMed)</w:t>
            </w:r>
          </w:p>
        </w:tc>
        <w:tc>
          <w:tcPr>
            <w:tcW w:w="2313" w:type="dxa"/>
          </w:tcPr>
          <w:p w14:paraId="431739B0" w14:textId="77777777" w:rsidR="00B01780" w:rsidRPr="00070C24" w:rsidRDefault="00B01780" w:rsidP="00E04401">
            <w:pPr>
              <w:spacing w:line="360" w:lineRule="auto"/>
              <w:rPr>
                <w:rFonts w:ascii="Arial" w:hAnsi="Arial" w:cs="Arial"/>
              </w:rPr>
            </w:pPr>
            <w:r w:rsidRPr="00070C24">
              <w:rPr>
                <w:rFonts w:ascii="Arial" w:hAnsi="Arial" w:cs="Arial"/>
              </w:rPr>
              <w:t xml:space="preserve">Whole-Genome Sequencing Analysis of </w:t>
            </w:r>
            <w:r w:rsidRPr="00070C24">
              <w:rPr>
                <w:rFonts w:ascii="Arial" w:hAnsi="Arial" w:cs="Arial"/>
                <w:i/>
              </w:rPr>
              <w:t>Listeria monocytogenes</w:t>
            </w:r>
            <w:r w:rsidRPr="00070C24">
              <w:rPr>
                <w:rFonts w:ascii="Arial" w:hAnsi="Arial" w:cs="Arial"/>
              </w:rPr>
              <w:t xml:space="preserve"> from Rural, Urban, and Farm Environments in Norway: Genetic Diversity, Persistence, and Relation to Clinical and Food Isolates</w:t>
            </w:r>
          </w:p>
          <w:p w14:paraId="6D0CE555" w14:textId="77777777" w:rsidR="00B01780" w:rsidRPr="00070C24" w:rsidRDefault="00B01780" w:rsidP="00E04401">
            <w:pPr>
              <w:spacing w:line="360" w:lineRule="auto"/>
              <w:rPr>
                <w:rFonts w:ascii="Arial" w:hAnsi="Arial" w:cs="Arial"/>
              </w:rPr>
            </w:pPr>
          </w:p>
        </w:tc>
        <w:tc>
          <w:tcPr>
            <w:tcW w:w="2223" w:type="dxa"/>
          </w:tcPr>
          <w:p w14:paraId="22C6EA43"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employed convenience sampling to collect </w:t>
            </w:r>
            <w:r w:rsidRPr="00070C24">
              <w:rPr>
                <w:rFonts w:ascii="Arial" w:hAnsi="Arial" w:cs="Arial"/>
                <w:i/>
              </w:rPr>
              <w:t xml:space="preserve">L. monocytogenes </w:t>
            </w:r>
            <w:r w:rsidRPr="00070C24">
              <w:rPr>
                <w:rFonts w:ascii="Arial" w:hAnsi="Arial" w:cs="Arial"/>
              </w:rPr>
              <w:t xml:space="preserve">isolates from various environments, including rural and urban areas, as well as areas near food processing factories. Sampling was designed to cover different geographical regions of Norway and areas hypothesized to have high or low occurrence of L. monocytogenes. The samples were analyzed using whole-genome sequencing (WGS) to assess genetic diversity, </w:t>
            </w:r>
            <w:r w:rsidRPr="00070C24">
              <w:rPr>
                <w:rFonts w:ascii="Arial" w:hAnsi="Arial" w:cs="Arial"/>
              </w:rPr>
              <w:lastRenderedPageBreak/>
              <w:t>persistence, and genetic relationships between isolates.</w:t>
            </w:r>
          </w:p>
          <w:p w14:paraId="4415D3E5" w14:textId="77777777" w:rsidR="00B01780" w:rsidRPr="00070C24" w:rsidRDefault="00B01780" w:rsidP="00E04401">
            <w:pPr>
              <w:spacing w:line="360" w:lineRule="auto"/>
              <w:rPr>
                <w:rFonts w:ascii="Arial" w:hAnsi="Arial" w:cs="Arial"/>
              </w:rPr>
            </w:pPr>
          </w:p>
        </w:tc>
        <w:tc>
          <w:tcPr>
            <w:tcW w:w="2057" w:type="dxa"/>
          </w:tcPr>
          <w:p w14:paraId="146EE3F1" w14:textId="77777777" w:rsidR="00B01780" w:rsidRPr="00070C24" w:rsidRDefault="00B01780" w:rsidP="00E04401">
            <w:pPr>
              <w:spacing w:line="360" w:lineRule="auto"/>
              <w:rPr>
                <w:rFonts w:ascii="Arial" w:hAnsi="Arial" w:cs="Arial"/>
              </w:rPr>
            </w:pPr>
            <w:r w:rsidRPr="00070C24">
              <w:rPr>
                <w:rFonts w:ascii="Arial" w:hAnsi="Arial" w:cs="Arial"/>
              </w:rPr>
              <w:lastRenderedPageBreak/>
              <w:t>Isolates were collected from various environments, including rural, urban, and farm environments in Norway, as well as dairy farms and slugs. A total of 218 isolates were analyzed.</w:t>
            </w:r>
          </w:p>
        </w:tc>
        <w:tc>
          <w:tcPr>
            <w:tcW w:w="3007" w:type="dxa"/>
          </w:tcPr>
          <w:p w14:paraId="7D2B4FAA" w14:textId="77777777" w:rsidR="00B01780" w:rsidRPr="00070C24" w:rsidRDefault="00B01780" w:rsidP="00E04401">
            <w:pPr>
              <w:spacing w:line="360" w:lineRule="auto"/>
              <w:rPr>
                <w:rFonts w:ascii="Arial" w:hAnsi="Arial" w:cs="Arial"/>
              </w:rPr>
            </w:pPr>
            <w:r w:rsidRPr="00070C24">
              <w:rPr>
                <w:rFonts w:ascii="Arial" w:hAnsi="Arial" w:cs="Arial"/>
              </w:rPr>
              <w:t xml:space="preserve">Genetic diversity and persistence of </w:t>
            </w:r>
            <w:r w:rsidRPr="00070C24">
              <w:rPr>
                <w:rFonts w:ascii="Arial" w:hAnsi="Arial" w:cs="Arial"/>
                <w:i/>
              </w:rPr>
              <w:t xml:space="preserve">L. monocytogenes </w:t>
            </w:r>
            <w:r w:rsidRPr="00070C24">
              <w:rPr>
                <w:rFonts w:ascii="Arial" w:hAnsi="Arial" w:cs="Arial"/>
              </w:rPr>
              <w:t>in natural, urban, and farm environments</w:t>
            </w:r>
          </w:p>
          <w:p w14:paraId="019C3907" w14:textId="77777777" w:rsidR="00B01780" w:rsidRPr="00070C24" w:rsidRDefault="00B01780" w:rsidP="00E04401">
            <w:pPr>
              <w:spacing w:line="360" w:lineRule="auto"/>
              <w:rPr>
                <w:rFonts w:ascii="Arial" w:hAnsi="Arial" w:cs="Arial"/>
              </w:rPr>
            </w:pPr>
            <w:r w:rsidRPr="00070C24">
              <w:rPr>
                <w:rFonts w:ascii="Arial" w:hAnsi="Arial" w:cs="Arial"/>
              </w:rPr>
              <w:t xml:space="preserve">Relation of </w:t>
            </w:r>
            <w:r w:rsidRPr="00070C24">
              <w:rPr>
                <w:rFonts w:ascii="Arial" w:hAnsi="Arial" w:cs="Arial"/>
                <w:i/>
              </w:rPr>
              <w:t xml:space="preserve">L. monocytogenes </w:t>
            </w:r>
            <w:r w:rsidRPr="00070C24">
              <w:rPr>
                <w:rFonts w:ascii="Arial" w:hAnsi="Arial" w:cs="Arial"/>
              </w:rPr>
              <w:t>isolates from different environments to clinical and food-associated sources</w:t>
            </w:r>
          </w:p>
          <w:p w14:paraId="61447637" w14:textId="77777777" w:rsidR="00B01780" w:rsidRPr="00070C24" w:rsidRDefault="00B01780" w:rsidP="00E04401">
            <w:pPr>
              <w:spacing w:line="360" w:lineRule="auto"/>
              <w:rPr>
                <w:rFonts w:ascii="Arial" w:hAnsi="Arial" w:cs="Arial"/>
              </w:rPr>
            </w:pPr>
            <w:r w:rsidRPr="00070C24">
              <w:rPr>
                <w:rFonts w:ascii="Arial" w:hAnsi="Arial" w:cs="Arial"/>
              </w:rPr>
              <w:t xml:space="preserve">Clonal complexes (CCs) and sequence types (STs) of </w:t>
            </w:r>
            <w:r w:rsidRPr="00070C24">
              <w:rPr>
                <w:rFonts w:ascii="Arial" w:hAnsi="Arial" w:cs="Arial"/>
                <w:i/>
              </w:rPr>
              <w:t xml:space="preserve">L. monocytogenes </w:t>
            </w:r>
            <w:r w:rsidRPr="00070C24">
              <w:rPr>
                <w:rFonts w:ascii="Arial" w:hAnsi="Arial" w:cs="Arial"/>
              </w:rPr>
              <w:t>isolates.</w:t>
            </w:r>
          </w:p>
          <w:p w14:paraId="1A78106C" w14:textId="77777777" w:rsidR="00B01780" w:rsidRPr="00070C24" w:rsidRDefault="00B01780" w:rsidP="00E04401">
            <w:pPr>
              <w:spacing w:line="360" w:lineRule="auto"/>
              <w:rPr>
                <w:rFonts w:ascii="Arial" w:hAnsi="Arial" w:cs="Arial"/>
              </w:rPr>
            </w:pPr>
          </w:p>
        </w:tc>
        <w:tc>
          <w:tcPr>
            <w:tcW w:w="2100" w:type="dxa"/>
          </w:tcPr>
          <w:p w14:paraId="0B1AC885" w14:textId="77777777" w:rsidR="00B01780" w:rsidRPr="00070C24" w:rsidRDefault="00B01780" w:rsidP="00E04401">
            <w:pPr>
              <w:spacing w:line="360" w:lineRule="auto"/>
              <w:rPr>
                <w:rFonts w:ascii="Arial" w:hAnsi="Arial" w:cs="Arial"/>
              </w:rPr>
            </w:pPr>
            <w:r w:rsidRPr="00070C24">
              <w:rPr>
                <w:rFonts w:ascii="Arial" w:hAnsi="Arial" w:cs="Arial"/>
              </w:rPr>
              <w:t xml:space="preserve">Whole-genome sequencing (WGS) was performed on </w:t>
            </w:r>
            <w:r w:rsidRPr="00070C24">
              <w:rPr>
                <w:rFonts w:ascii="Arial" w:hAnsi="Arial" w:cs="Arial"/>
                <w:i/>
              </w:rPr>
              <w:t xml:space="preserve">L. monocytogenes </w:t>
            </w:r>
            <w:r w:rsidRPr="00070C24">
              <w:rPr>
                <w:rFonts w:ascii="Arial" w:hAnsi="Arial" w:cs="Arial"/>
              </w:rPr>
              <w:t>isolates collected from rural/urban environments and Arion vulgaris slugs. For dairy farm isolates, genomic DNA was extracted and sequenced using the Illumina platform.</w:t>
            </w:r>
          </w:p>
        </w:tc>
        <w:tc>
          <w:tcPr>
            <w:tcW w:w="2583" w:type="dxa"/>
          </w:tcPr>
          <w:p w14:paraId="1D8B3C28" w14:textId="77777777" w:rsidR="00B01780" w:rsidRPr="00070C24" w:rsidRDefault="00B01780" w:rsidP="00E04401">
            <w:pPr>
              <w:spacing w:line="360" w:lineRule="auto"/>
              <w:rPr>
                <w:rFonts w:ascii="Arial" w:hAnsi="Arial" w:cs="Arial"/>
              </w:rPr>
            </w:pPr>
            <w:r w:rsidRPr="00070C24">
              <w:rPr>
                <w:rFonts w:ascii="Arial" w:hAnsi="Arial" w:cs="Arial"/>
              </w:rPr>
              <w:t>Phylogenetic analyses were conducted using classical MLST analysis and in silico MLST typing. Whole genome multilocus sequence typing (wgMLST) and core genome MLST (cgMLST) analyses were performed using BioNumerics. Minimum spanning trees were constructed based on categorical differences in allelic profiles.</w:t>
            </w:r>
          </w:p>
        </w:tc>
        <w:tc>
          <w:tcPr>
            <w:tcW w:w="3386" w:type="dxa"/>
          </w:tcPr>
          <w:p w14:paraId="018F99F6" w14:textId="77777777" w:rsidR="00B01780" w:rsidRPr="00070C24" w:rsidRDefault="00B01780" w:rsidP="00E04401">
            <w:pPr>
              <w:spacing w:line="360" w:lineRule="auto"/>
              <w:rPr>
                <w:rFonts w:ascii="Arial" w:hAnsi="Arial" w:cs="Arial"/>
              </w:rPr>
            </w:pPr>
            <w:r w:rsidRPr="00070C24">
              <w:rPr>
                <w:rFonts w:ascii="Arial" w:hAnsi="Arial" w:cs="Arial"/>
              </w:rPr>
              <w:t xml:space="preserve">Multiple clusters of isolates with low wgMLST allelic differences were found over time in the same location, indicating persistence of </w:t>
            </w:r>
            <w:r w:rsidRPr="00070C24">
              <w:rPr>
                <w:rFonts w:ascii="Arial" w:hAnsi="Arial" w:cs="Arial"/>
                <w:i/>
              </w:rPr>
              <w:t xml:space="preserve">L. monocytogenes </w:t>
            </w:r>
            <w:r w:rsidRPr="00070C24">
              <w:rPr>
                <w:rFonts w:ascii="Arial" w:hAnsi="Arial" w:cs="Arial"/>
              </w:rPr>
              <w:t>in natural, urban, and farm environments.</w:t>
            </w:r>
          </w:p>
          <w:p w14:paraId="7D121428" w14:textId="77777777" w:rsidR="00B01780" w:rsidRPr="00070C24" w:rsidRDefault="00B01780" w:rsidP="00E04401">
            <w:pPr>
              <w:spacing w:line="360" w:lineRule="auto"/>
              <w:rPr>
                <w:rFonts w:ascii="Arial" w:hAnsi="Arial" w:cs="Arial"/>
              </w:rPr>
            </w:pPr>
            <w:r w:rsidRPr="00070C24">
              <w:rPr>
                <w:rFonts w:ascii="Arial" w:hAnsi="Arial" w:cs="Arial"/>
              </w:rPr>
              <w:t>Several clusters containing isolates collected across different locations, times, and habitats were identified, including clusters harboring clinical isolates.</w:t>
            </w:r>
          </w:p>
          <w:p w14:paraId="399C3FAA" w14:textId="77777777" w:rsidR="00B01780" w:rsidRPr="00070C24" w:rsidRDefault="00B01780" w:rsidP="00E04401">
            <w:pPr>
              <w:spacing w:line="360" w:lineRule="auto"/>
              <w:rPr>
                <w:rFonts w:ascii="Arial" w:hAnsi="Arial" w:cs="Arial"/>
              </w:rPr>
            </w:pPr>
            <w:r w:rsidRPr="00070C24">
              <w:rPr>
                <w:rFonts w:ascii="Arial" w:hAnsi="Arial" w:cs="Arial"/>
              </w:rPr>
              <w:t>ST91 was found to be more prevalent in Norway than in other countries, and a high proportion of the hypovirulent ST121 was found among Norwegian clinical cases.</w:t>
            </w:r>
          </w:p>
          <w:p w14:paraId="3A4328D0" w14:textId="77777777" w:rsidR="00B01780" w:rsidRPr="00070C24" w:rsidRDefault="00B01780" w:rsidP="00E04401">
            <w:pPr>
              <w:spacing w:line="360" w:lineRule="auto"/>
              <w:rPr>
                <w:rFonts w:ascii="Arial" w:hAnsi="Arial" w:cs="Arial"/>
              </w:rPr>
            </w:pPr>
          </w:p>
        </w:tc>
        <w:tc>
          <w:tcPr>
            <w:tcW w:w="2354" w:type="dxa"/>
          </w:tcPr>
          <w:p w14:paraId="3D81750D"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provides valuable insights into the genetic diversity, persistence, and genetic relationships of </w:t>
            </w:r>
            <w:r w:rsidRPr="00070C24">
              <w:rPr>
                <w:rFonts w:ascii="Arial" w:hAnsi="Arial" w:cs="Arial"/>
                <w:i/>
              </w:rPr>
              <w:t xml:space="preserve">L. monocytogenes </w:t>
            </w:r>
            <w:r w:rsidRPr="00070C24">
              <w:rPr>
                <w:rFonts w:ascii="Arial" w:hAnsi="Arial" w:cs="Arial"/>
              </w:rPr>
              <w:t xml:space="preserve">isolates from different environments in Norway. The findings underscore the importance of using whole-genome sequencing (WGS) for source tracking, surveillance, and risk assessment of </w:t>
            </w:r>
            <w:r w:rsidRPr="00070C24">
              <w:rPr>
                <w:rFonts w:ascii="Arial" w:hAnsi="Arial" w:cs="Arial"/>
                <w:i/>
              </w:rPr>
              <w:t xml:space="preserve">L. monocytogenes </w:t>
            </w:r>
            <w:r w:rsidRPr="00070C24">
              <w:rPr>
                <w:rFonts w:ascii="Arial" w:hAnsi="Arial" w:cs="Arial"/>
              </w:rPr>
              <w:t>in various settings.</w:t>
            </w:r>
          </w:p>
        </w:tc>
      </w:tr>
      <w:tr w:rsidR="00B01780" w:rsidRPr="00070C24" w14:paraId="2E648D1C" w14:textId="77777777" w:rsidTr="00E04401">
        <w:trPr>
          <w:trHeight w:val="273"/>
        </w:trPr>
        <w:tc>
          <w:tcPr>
            <w:tcW w:w="0" w:type="auto"/>
          </w:tcPr>
          <w:p w14:paraId="49662F47" w14:textId="77777777" w:rsidR="00B01780" w:rsidRPr="00070C24" w:rsidRDefault="00B01780" w:rsidP="00E04401">
            <w:pPr>
              <w:spacing w:line="360" w:lineRule="auto"/>
              <w:rPr>
                <w:rFonts w:ascii="Arial" w:hAnsi="Arial" w:cs="Arial"/>
              </w:rPr>
            </w:pPr>
            <w:r w:rsidRPr="00070C24">
              <w:rPr>
                <w:rFonts w:ascii="Arial" w:hAnsi="Arial" w:cs="Arial"/>
              </w:rPr>
              <w:t>Moura et al. (2017)</w:t>
            </w:r>
          </w:p>
        </w:tc>
        <w:tc>
          <w:tcPr>
            <w:tcW w:w="0" w:type="auto"/>
          </w:tcPr>
          <w:p w14:paraId="7030A4B6"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Emerging Infectious Diseases, Volume 23, Number 9 (CDC)</w:t>
            </w:r>
          </w:p>
        </w:tc>
        <w:tc>
          <w:tcPr>
            <w:tcW w:w="2313" w:type="dxa"/>
          </w:tcPr>
          <w:p w14:paraId="152BC5DE"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Real-Time Whole-Genome Sequencing for Surveillance of </w:t>
            </w:r>
            <w:r w:rsidRPr="00070C24">
              <w:rPr>
                <w:rFonts w:ascii="Arial" w:hAnsi="Arial" w:cs="Arial"/>
                <w:i/>
                <w:shd w:val="clear" w:color="auto" w:fill="FFFFFF"/>
              </w:rPr>
              <w:t>Listeria monocytogenes</w:t>
            </w:r>
          </w:p>
        </w:tc>
        <w:tc>
          <w:tcPr>
            <w:tcW w:w="2223" w:type="dxa"/>
          </w:tcPr>
          <w:p w14:paraId="4B5290EB"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Prospective study</w:t>
            </w:r>
          </w:p>
        </w:tc>
        <w:tc>
          <w:tcPr>
            <w:tcW w:w="2057" w:type="dxa"/>
          </w:tcPr>
          <w:p w14:paraId="398E54D9"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2,743 </w:t>
            </w:r>
            <w:r w:rsidRPr="00070C24">
              <w:rPr>
                <w:rFonts w:ascii="Arial" w:hAnsi="Arial" w:cs="Arial"/>
                <w:i/>
                <w:shd w:val="clear" w:color="auto" w:fill="FFFFFF"/>
              </w:rPr>
              <w:t>Listeria monocytogenes</w:t>
            </w:r>
            <w:r w:rsidRPr="00070C24">
              <w:rPr>
                <w:rFonts w:ascii="Arial" w:hAnsi="Arial" w:cs="Arial"/>
                <w:shd w:val="clear" w:color="auto" w:fill="FFFFFF"/>
              </w:rPr>
              <w:t xml:space="preserve"> isolates collected during January 1, 2015, to December 31, 2016, in France as part of routine surveillance, including isolates from humans, food, and food production environments.</w:t>
            </w:r>
          </w:p>
        </w:tc>
        <w:tc>
          <w:tcPr>
            <w:tcW w:w="3007" w:type="dxa"/>
          </w:tcPr>
          <w:p w14:paraId="2459DBA1"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Comparison of pulsed-field gel electrophoresis (PFGE) and core genome multilocus sequence typing (cgMLST) for </w:t>
            </w:r>
            <w:r w:rsidRPr="00070C24">
              <w:rPr>
                <w:rFonts w:ascii="Arial" w:hAnsi="Arial" w:cs="Arial"/>
                <w:i/>
                <w:shd w:val="clear" w:color="auto" w:fill="FFFFFF"/>
              </w:rPr>
              <w:t xml:space="preserve">L. monocytogenes </w:t>
            </w:r>
            <w:r w:rsidRPr="00070C24">
              <w:rPr>
                <w:rFonts w:ascii="Arial" w:hAnsi="Arial" w:cs="Arial"/>
                <w:shd w:val="clear" w:color="auto" w:fill="FFFFFF"/>
              </w:rPr>
              <w:t>typing. PFGE profiles were obtained using restriction enzymes AscI and ApaI. cgMLST profiles were extracted from genome assemblies.</w:t>
            </w:r>
          </w:p>
        </w:tc>
        <w:tc>
          <w:tcPr>
            <w:tcW w:w="2100" w:type="dxa"/>
          </w:tcPr>
          <w:p w14:paraId="264B7E51"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Discriminatory power of PFGE and cgMLST, number of clusters identified, confirmed food sources identified, false PFGE cluster-alerts, clusters not detected by PFGE, identification of outbreak-associated cases, detection of long-term persistent </w:t>
            </w:r>
            <w:r w:rsidRPr="00070C24">
              <w:rPr>
                <w:rFonts w:ascii="Arial" w:hAnsi="Arial" w:cs="Arial"/>
                <w:i/>
                <w:shd w:val="clear" w:color="auto" w:fill="FFFFFF"/>
              </w:rPr>
              <w:t xml:space="preserve">L. monocytogenes </w:t>
            </w:r>
            <w:r w:rsidRPr="00070C24">
              <w:rPr>
                <w:rFonts w:ascii="Arial" w:hAnsi="Arial" w:cs="Arial"/>
                <w:shd w:val="clear" w:color="auto" w:fill="FFFFFF"/>
              </w:rPr>
              <w:t>strains, and identification of outbreaks after regulatory food testing.</w:t>
            </w:r>
          </w:p>
        </w:tc>
        <w:tc>
          <w:tcPr>
            <w:tcW w:w="2583" w:type="dxa"/>
          </w:tcPr>
          <w:p w14:paraId="3939A033"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Simpson index of diversity, adjusted Wallace index of concordance, rarefaction analyses, phylogenetic classification, and comparison of typing results.</w:t>
            </w:r>
          </w:p>
        </w:tc>
        <w:tc>
          <w:tcPr>
            <w:tcW w:w="3386" w:type="dxa"/>
          </w:tcPr>
          <w:p w14:paraId="72C395E6"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cgMLST significantly increased discrimination of </w:t>
            </w:r>
            <w:r w:rsidRPr="00070C24">
              <w:rPr>
                <w:rFonts w:ascii="Arial" w:hAnsi="Arial" w:cs="Arial"/>
                <w:i/>
                <w:shd w:val="clear" w:color="auto" w:fill="FFFFFF"/>
              </w:rPr>
              <w:t xml:space="preserve">L. monocytogenes </w:t>
            </w:r>
            <w:r w:rsidRPr="00070C24">
              <w:rPr>
                <w:rFonts w:ascii="Arial" w:hAnsi="Arial" w:cs="Arial"/>
                <w:shd w:val="clear" w:color="auto" w:fill="FFFFFF"/>
              </w:rPr>
              <w:t>compared with PFGE (p&lt;0.001). cgMLST identified more clusters (119 cgMLST cluster-alerts vs. 31 PFGE cluster-alerts) and confirmed food sources (22 vs. 3) compared with PFGE. cgMLST also detected clusters not identified by PFGE and facilitated detection of outbreak-associated cases.</w:t>
            </w:r>
          </w:p>
        </w:tc>
        <w:tc>
          <w:tcPr>
            <w:tcW w:w="2354" w:type="dxa"/>
          </w:tcPr>
          <w:p w14:paraId="545A7C6F"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 xml:space="preserve">WGS-based typing, particularly cgMLST, should replace PFGE as the primary typing method for </w:t>
            </w:r>
            <w:r w:rsidRPr="00070C24">
              <w:rPr>
                <w:rFonts w:ascii="Arial" w:hAnsi="Arial" w:cs="Arial"/>
                <w:i/>
                <w:shd w:val="clear" w:color="auto" w:fill="FFFFFF"/>
              </w:rPr>
              <w:t xml:space="preserve">L. monocytogenes </w:t>
            </w:r>
            <w:r w:rsidRPr="00070C24">
              <w:rPr>
                <w:rFonts w:ascii="Arial" w:hAnsi="Arial" w:cs="Arial"/>
                <w:shd w:val="clear" w:color="auto" w:fill="FFFFFF"/>
              </w:rPr>
              <w:t>surveillance, given its higher discriminatory power and added value for epidemiological investigations.</w:t>
            </w:r>
          </w:p>
        </w:tc>
      </w:tr>
      <w:tr w:rsidR="00B01780" w:rsidRPr="00070C24" w14:paraId="0F42E283" w14:textId="77777777" w:rsidTr="00E04401">
        <w:trPr>
          <w:trHeight w:val="273"/>
        </w:trPr>
        <w:tc>
          <w:tcPr>
            <w:tcW w:w="0" w:type="auto"/>
          </w:tcPr>
          <w:p w14:paraId="62863C64" w14:textId="77777777" w:rsidR="00B01780" w:rsidRPr="00070C24" w:rsidRDefault="00B01780" w:rsidP="00E04401">
            <w:pPr>
              <w:spacing w:line="360" w:lineRule="auto"/>
              <w:rPr>
                <w:rFonts w:ascii="Arial" w:hAnsi="Arial" w:cs="Arial"/>
              </w:rPr>
            </w:pPr>
            <w:r w:rsidRPr="00070C24">
              <w:rPr>
                <w:rFonts w:ascii="Arial" w:hAnsi="Arial" w:cs="Arial"/>
              </w:rPr>
              <w:t>Hyden et al. (2016)</w:t>
            </w:r>
          </w:p>
        </w:tc>
        <w:tc>
          <w:tcPr>
            <w:tcW w:w="0" w:type="auto"/>
          </w:tcPr>
          <w:p w14:paraId="52C7C4A2"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Journal of Biotechnology (</w:t>
            </w:r>
            <w:r w:rsidRPr="00070C24">
              <w:rPr>
                <w:rFonts w:ascii="Calibri" w:hAnsi="Calibri" w:cs="Calibri"/>
                <w:shd w:val="clear" w:color="auto" w:fill="FFFFFF"/>
              </w:rPr>
              <w:t>﻿</w:t>
            </w:r>
            <w:r w:rsidRPr="00070C24">
              <w:rPr>
                <w:rFonts w:ascii="Arial" w:hAnsi="Arial" w:cs="Arial"/>
                <w:shd w:val="clear" w:color="auto" w:fill="FFFFFF"/>
              </w:rPr>
              <w:t>ScienceDirect)</w:t>
            </w:r>
          </w:p>
        </w:tc>
        <w:tc>
          <w:tcPr>
            <w:tcW w:w="2313" w:type="dxa"/>
          </w:tcPr>
          <w:p w14:paraId="54CF61CD"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 xml:space="preserve">Whole genome sequencing-based serogrouping of </w:t>
            </w:r>
            <w:r w:rsidRPr="00070C24">
              <w:rPr>
                <w:rStyle w:val="Emphasis"/>
                <w:rFonts w:ascii="Arial" w:hAnsi="Arial" w:cs="Arial"/>
              </w:rPr>
              <w:t xml:space="preserve">Listeria </w:t>
            </w:r>
            <w:r w:rsidRPr="00070C24">
              <w:rPr>
                <w:rStyle w:val="Emphasis"/>
                <w:rFonts w:ascii="Arial" w:hAnsi="Arial" w:cs="Arial"/>
              </w:rPr>
              <w:lastRenderedPageBreak/>
              <w:t>monocytogenes</w:t>
            </w:r>
            <w:r w:rsidRPr="00070C24">
              <w:rPr>
                <w:rFonts w:ascii="Arial" w:hAnsi="Arial" w:cs="Arial"/>
                <w:shd w:val="clear" w:color="auto" w:fill="FFFFFF"/>
              </w:rPr>
              <w:t xml:space="preserve"> isolates</w:t>
            </w:r>
          </w:p>
        </w:tc>
        <w:tc>
          <w:tcPr>
            <w:tcW w:w="2223" w:type="dxa"/>
          </w:tcPr>
          <w:p w14:paraId="32E7E557"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Experimental study utilizing next-generation sequencing (NGS) </w:t>
            </w:r>
            <w:r w:rsidRPr="00070C24">
              <w:rPr>
                <w:rFonts w:ascii="Arial" w:hAnsi="Arial" w:cs="Arial"/>
                <w:shd w:val="clear" w:color="auto" w:fill="FFFFFF"/>
              </w:rPr>
              <w:lastRenderedPageBreak/>
              <w:t>and core-genome (cg) MLST minimum-spanning tree (MST) analysis</w:t>
            </w:r>
          </w:p>
        </w:tc>
        <w:tc>
          <w:tcPr>
            <w:tcW w:w="2057" w:type="dxa"/>
          </w:tcPr>
          <w:p w14:paraId="05561BB7"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207 </w:t>
            </w:r>
            <w:r w:rsidRPr="00070C24">
              <w:rPr>
                <w:rStyle w:val="Emphasis"/>
                <w:rFonts w:ascii="Arial" w:hAnsi="Arial" w:cs="Arial"/>
              </w:rPr>
              <w:t xml:space="preserve">L. monocytogenes </w:t>
            </w:r>
            <w:r w:rsidRPr="00070C24">
              <w:rPr>
                <w:rFonts w:ascii="Arial" w:hAnsi="Arial" w:cs="Arial"/>
                <w:shd w:val="clear" w:color="auto" w:fill="FFFFFF"/>
              </w:rPr>
              <w:t xml:space="preserve">isolates from the Austrian National </w:t>
            </w:r>
            <w:r w:rsidRPr="00070C24">
              <w:rPr>
                <w:rFonts w:ascii="Arial" w:hAnsi="Arial" w:cs="Arial"/>
                <w:shd w:val="clear" w:color="auto" w:fill="FFFFFF"/>
              </w:rPr>
              <w:lastRenderedPageBreak/>
              <w:t xml:space="preserve">Reference Laboratory for </w:t>
            </w:r>
            <w:r w:rsidRPr="00070C24">
              <w:rPr>
                <w:rStyle w:val="Emphasis"/>
                <w:rFonts w:ascii="Arial" w:hAnsi="Arial" w:cs="Arial"/>
              </w:rPr>
              <w:t>Listeria</w:t>
            </w:r>
            <w:r w:rsidRPr="00070C24">
              <w:rPr>
                <w:rFonts w:ascii="Arial" w:hAnsi="Arial" w:cs="Arial"/>
                <w:shd w:val="clear" w:color="auto" w:fill="FFFFFF"/>
              </w:rPr>
              <w:t xml:space="preserve"> (NRLL), including 15 reference strains covering the twelve serotypes</w:t>
            </w:r>
          </w:p>
        </w:tc>
        <w:tc>
          <w:tcPr>
            <w:tcW w:w="3007" w:type="dxa"/>
          </w:tcPr>
          <w:p w14:paraId="5371FE8A" w14:textId="77777777" w:rsidR="00B01780" w:rsidRPr="00070C24" w:rsidRDefault="00B01780" w:rsidP="00E04401">
            <w:pPr>
              <w:numPr>
                <w:ilvl w:val="0"/>
                <w:numId w:val="1"/>
              </w:numPr>
              <w:spacing w:line="360" w:lineRule="auto"/>
              <w:rPr>
                <w:rFonts w:ascii="Arial" w:hAnsi="Arial" w:cs="Arial"/>
              </w:rPr>
            </w:pPr>
            <w:r w:rsidRPr="00070C24">
              <w:rPr>
                <w:rFonts w:ascii="Arial" w:hAnsi="Arial" w:cs="Arial"/>
              </w:rPr>
              <w:lastRenderedPageBreak/>
              <w:t>Core genome MLST (cgMLST) profiles</w:t>
            </w:r>
          </w:p>
          <w:p w14:paraId="573EE3C6" w14:textId="77777777" w:rsidR="00B01780" w:rsidRPr="00070C24" w:rsidRDefault="00B01780" w:rsidP="00E04401">
            <w:pPr>
              <w:numPr>
                <w:ilvl w:val="0"/>
                <w:numId w:val="1"/>
              </w:numPr>
              <w:spacing w:line="360" w:lineRule="auto"/>
              <w:rPr>
                <w:rFonts w:ascii="Arial" w:hAnsi="Arial" w:cs="Arial"/>
              </w:rPr>
            </w:pPr>
            <w:r w:rsidRPr="00070C24">
              <w:rPr>
                <w:rFonts w:ascii="Arial" w:hAnsi="Arial" w:cs="Arial"/>
              </w:rPr>
              <w:t xml:space="preserve">Serogroup determination based </w:t>
            </w:r>
            <w:r w:rsidRPr="00070C24">
              <w:rPr>
                <w:rFonts w:ascii="Arial" w:hAnsi="Arial" w:cs="Arial"/>
              </w:rPr>
              <w:lastRenderedPageBreak/>
              <w:t>on cgMLST allelic profiles</w:t>
            </w:r>
          </w:p>
          <w:p w14:paraId="22B5157F" w14:textId="77777777" w:rsidR="00B01780" w:rsidRPr="00070C24" w:rsidRDefault="00B01780" w:rsidP="00E04401">
            <w:pPr>
              <w:spacing w:line="360" w:lineRule="auto"/>
              <w:rPr>
                <w:rFonts w:ascii="Arial" w:hAnsi="Arial" w:cs="Arial"/>
                <w:shd w:val="clear" w:color="auto" w:fill="FFFFFF"/>
              </w:rPr>
            </w:pPr>
          </w:p>
        </w:tc>
        <w:tc>
          <w:tcPr>
            <w:tcW w:w="2100" w:type="dxa"/>
          </w:tcPr>
          <w:p w14:paraId="18067890"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lastRenderedPageBreak/>
              <w:t xml:space="preserve">Whole genome sequencing, assembly, and data analysis </w:t>
            </w:r>
            <w:r w:rsidRPr="00070C24">
              <w:rPr>
                <w:rFonts w:ascii="Arial" w:hAnsi="Arial" w:cs="Arial"/>
                <w:shd w:val="clear" w:color="auto" w:fill="FFFFFF"/>
              </w:rPr>
              <w:lastRenderedPageBreak/>
              <w:t>using SeqSphere+</w:t>
            </w:r>
          </w:p>
        </w:tc>
        <w:tc>
          <w:tcPr>
            <w:tcW w:w="2583" w:type="dxa"/>
          </w:tcPr>
          <w:p w14:paraId="4B4BF478"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Sequencing libraries prepared using Nextera XT chemistry for a 2 × 300 bp </w:t>
            </w:r>
            <w:r w:rsidRPr="00070C24">
              <w:rPr>
                <w:rFonts w:ascii="Arial" w:hAnsi="Arial" w:cs="Arial"/>
                <w:shd w:val="clear" w:color="auto" w:fill="FFFFFF"/>
              </w:rPr>
              <w:lastRenderedPageBreak/>
              <w:t>sequencing run on an Illumina MiSeq sequencer; assemblies compared using the Velvet assembler and SeqSphere+ software; minimum spanning tree visualized; neighbor-joining tree exported and visualized</w:t>
            </w:r>
          </w:p>
        </w:tc>
        <w:tc>
          <w:tcPr>
            <w:tcW w:w="3386" w:type="dxa"/>
          </w:tcPr>
          <w:p w14:paraId="3BEE765C"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cgMLST-based serogroup determination was successful for 204 out of 217 isolates tested (over 90% accuracy); </w:t>
            </w:r>
            <w:r w:rsidRPr="00070C24">
              <w:rPr>
                <w:rFonts w:ascii="Arial" w:hAnsi="Arial" w:cs="Arial"/>
                <w:shd w:val="clear" w:color="auto" w:fill="FFFFFF"/>
              </w:rPr>
              <w:lastRenderedPageBreak/>
              <w:t>41 isolates with previously uncharacterized serogroups were correctly assigned, while four were misclassified.</w:t>
            </w:r>
          </w:p>
        </w:tc>
        <w:tc>
          <w:tcPr>
            <w:tcW w:w="2354" w:type="dxa"/>
          </w:tcPr>
          <w:p w14:paraId="463F8E4C"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The study demonstrates the potential of using cgMLST allelic </w:t>
            </w:r>
            <w:r w:rsidRPr="00070C24">
              <w:rPr>
                <w:rFonts w:ascii="Arial" w:hAnsi="Arial" w:cs="Arial"/>
                <w:shd w:val="clear" w:color="auto" w:fill="FFFFFF"/>
              </w:rPr>
              <w:lastRenderedPageBreak/>
              <w:t>profiles for accurate serogroup determination, offering a promising alternative to traditional PCR-based methods. However, limitations were observed in a small number of isolates, indicating areas for improvement in the scheme.</w:t>
            </w:r>
          </w:p>
        </w:tc>
      </w:tr>
      <w:tr w:rsidR="00B01780" w:rsidRPr="00070C24" w14:paraId="3A43891C" w14:textId="77777777" w:rsidTr="00E04401">
        <w:trPr>
          <w:trHeight w:val="273"/>
        </w:trPr>
        <w:tc>
          <w:tcPr>
            <w:tcW w:w="0" w:type="auto"/>
          </w:tcPr>
          <w:p w14:paraId="13F87A75" w14:textId="77777777" w:rsidR="00B01780" w:rsidRPr="00070C24" w:rsidRDefault="00B01780" w:rsidP="00E04401">
            <w:pPr>
              <w:spacing w:line="360" w:lineRule="auto"/>
              <w:rPr>
                <w:rFonts w:ascii="Arial" w:hAnsi="Arial" w:cs="Arial"/>
              </w:rPr>
            </w:pPr>
            <w:r w:rsidRPr="00070C24">
              <w:rPr>
                <w:rFonts w:ascii="Arial" w:hAnsi="Arial" w:cs="Arial"/>
              </w:rPr>
              <w:lastRenderedPageBreak/>
              <w:t>Schmid et al. (2014)</w:t>
            </w:r>
          </w:p>
        </w:tc>
        <w:tc>
          <w:tcPr>
            <w:tcW w:w="0" w:type="auto"/>
          </w:tcPr>
          <w:p w14:paraId="3E7E9D31"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Clinical Microbiology and Infection, Volume 20, Issue 5, May 2014, Pages 431-436</w:t>
            </w:r>
          </w:p>
          <w:p w14:paraId="1A612D9B"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(Google Scholar)</w:t>
            </w:r>
          </w:p>
        </w:tc>
        <w:tc>
          <w:tcPr>
            <w:tcW w:w="2313" w:type="dxa"/>
          </w:tcPr>
          <w:p w14:paraId="1D1F4DC1"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Investigation of a listeriosis cluster using whole genome sequencing (WGS) for strain comparison and source attribution.</w:t>
            </w:r>
          </w:p>
        </w:tc>
        <w:tc>
          <w:tcPr>
            <w:tcW w:w="2223" w:type="dxa"/>
          </w:tcPr>
          <w:p w14:paraId="54F6B2AA"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 xml:space="preserve">Retrospective cohort study involving WGS of </w:t>
            </w:r>
            <w:r w:rsidRPr="00070C24">
              <w:rPr>
                <w:rFonts w:ascii="Arial" w:hAnsi="Arial" w:cs="Arial"/>
                <w:i/>
                <w:shd w:val="clear" w:color="auto" w:fill="FFFFFF"/>
              </w:rPr>
              <w:t>Listeria monocytogenes</w:t>
            </w:r>
            <w:r w:rsidRPr="00070C24">
              <w:rPr>
                <w:rFonts w:ascii="Arial" w:hAnsi="Arial" w:cs="Arial"/>
                <w:shd w:val="clear" w:color="auto" w:fill="FFFFFF"/>
              </w:rPr>
              <w:t xml:space="preserve"> isolates from human cases and food products.</w:t>
            </w:r>
          </w:p>
        </w:tc>
        <w:tc>
          <w:tcPr>
            <w:tcW w:w="2057" w:type="dxa"/>
          </w:tcPr>
          <w:p w14:paraId="1730FD86"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Human cases (n=7) and food isolates (n=10) from Austria and Germany between April 2011 and July 2013.</w:t>
            </w:r>
          </w:p>
        </w:tc>
        <w:tc>
          <w:tcPr>
            <w:tcW w:w="3007" w:type="dxa"/>
          </w:tcPr>
          <w:p w14:paraId="4D7AC862" w14:textId="77777777" w:rsidR="00B01780" w:rsidRPr="00070C24" w:rsidRDefault="00B01780" w:rsidP="00E04401">
            <w:pPr>
              <w:numPr>
                <w:ilvl w:val="0"/>
                <w:numId w:val="2"/>
              </w:numPr>
              <w:spacing w:line="360" w:lineRule="auto"/>
              <w:rPr>
                <w:rFonts w:ascii="Arial" w:hAnsi="Arial" w:cs="Arial"/>
              </w:rPr>
            </w:pPr>
            <w:r w:rsidRPr="00070C24">
              <w:rPr>
                <w:rFonts w:ascii="Arial" w:hAnsi="Arial" w:cs="Arial"/>
                <w:i/>
              </w:rPr>
              <w:t xml:space="preserve">L. monocytogenes </w:t>
            </w:r>
            <w:r w:rsidRPr="00070C24">
              <w:rPr>
                <w:rFonts w:ascii="Arial" w:hAnsi="Arial" w:cs="Arial"/>
              </w:rPr>
              <w:t>serovar 1/2b isolates from human cases and food products.</w:t>
            </w:r>
          </w:p>
          <w:p w14:paraId="7A66351C" w14:textId="77777777" w:rsidR="00B01780" w:rsidRPr="00070C24" w:rsidRDefault="00B01780" w:rsidP="00E04401">
            <w:pPr>
              <w:numPr>
                <w:ilvl w:val="0"/>
                <w:numId w:val="2"/>
              </w:numPr>
              <w:spacing w:line="360" w:lineRule="auto"/>
              <w:rPr>
                <w:rFonts w:ascii="Arial" w:hAnsi="Arial" w:cs="Arial"/>
              </w:rPr>
            </w:pPr>
            <w:r w:rsidRPr="00070C24">
              <w:rPr>
                <w:rFonts w:ascii="Arial" w:hAnsi="Arial" w:cs="Arial"/>
              </w:rPr>
              <w:t>Pulsed-field gel electrophoresis (PFGE) and fluorescent amplified fragment length polymorphism (fAFLP) patterns.</w:t>
            </w:r>
          </w:p>
          <w:p w14:paraId="3E106763" w14:textId="77777777" w:rsidR="00B01780" w:rsidRPr="00070C24" w:rsidRDefault="00B01780" w:rsidP="00E04401">
            <w:pPr>
              <w:numPr>
                <w:ilvl w:val="0"/>
                <w:numId w:val="2"/>
              </w:numPr>
              <w:spacing w:line="360" w:lineRule="auto"/>
              <w:rPr>
                <w:rFonts w:ascii="Arial" w:hAnsi="Arial" w:cs="Arial"/>
              </w:rPr>
            </w:pPr>
            <w:r w:rsidRPr="00070C24">
              <w:rPr>
                <w:rFonts w:ascii="Arial" w:hAnsi="Arial" w:cs="Arial"/>
              </w:rPr>
              <w:t>Whole genome allelic profiles (MLST+) derived from WGS data.</w:t>
            </w:r>
          </w:p>
          <w:p w14:paraId="165B1051" w14:textId="77777777" w:rsidR="00B01780" w:rsidRPr="00070C24" w:rsidRDefault="00B01780" w:rsidP="00E04401">
            <w:pPr>
              <w:spacing w:line="360" w:lineRule="auto"/>
              <w:rPr>
                <w:rFonts w:ascii="Arial" w:hAnsi="Arial" w:cs="Arial"/>
              </w:rPr>
            </w:pPr>
          </w:p>
        </w:tc>
        <w:tc>
          <w:tcPr>
            <w:tcW w:w="2100" w:type="dxa"/>
          </w:tcPr>
          <w:p w14:paraId="3E8DB49D"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 xml:space="preserve">WGS of 18 </w:t>
            </w:r>
            <w:r w:rsidRPr="00070C24">
              <w:rPr>
                <w:rFonts w:ascii="Arial" w:hAnsi="Arial" w:cs="Arial"/>
                <w:i/>
                <w:shd w:val="clear" w:color="auto" w:fill="FFFFFF"/>
              </w:rPr>
              <w:t xml:space="preserve">L. monocytogenes </w:t>
            </w:r>
            <w:r w:rsidRPr="00070C24">
              <w:rPr>
                <w:rFonts w:ascii="Arial" w:hAnsi="Arial" w:cs="Arial"/>
                <w:shd w:val="clear" w:color="auto" w:fill="FFFFFF"/>
              </w:rPr>
              <w:t>SV1/2b isolates, quality control, and gene-by-gene comparison (MLST+).</w:t>
            </w:r>
          </w:p>
        </w:tc>
        <w:tc>
          <w:tcPr>
            <w:tcW w:w="2583" w:type="dxa"/>
          </w:tcPr>
          <w:p w14:paraId="5D56C5EC"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Comparison of whole genome allelic profiles using SeqSphere+ software. Phylogenetic analysis based on allelic profiles.</w:t>
            </w:r>
          </w:p>
        </w:tc>
        <w:tc>
          <w:tcPr>
            <w:tcW w:w="3386" w:type="dxa"/>
          </w:tcPr>
          <w:p w14:paraId="64F3D53C" w14:textId="77777777" w:rsidR="00B01780" w:rsidRPr="00070C24" w:rsidRDefault="00B01780" w:rsidP="00E04401">
            <w:pPr>
              <w:numPr>
                <w:ilvl w:val="0"/>
                <w:numId w:val="3"/>
              </w:numPr>
              <w:spacing w:line="360" w:lineRule="auto"/>
              <w:rPr>
                <w:rFonts w:ascii="Arial" w:hAnsi="Arial" w:cs="Arial"/>
              </w:rPr>
            </w:pPr>
            <w:r w:rsidRPr="00070C24">
              <w:rPr>
                <w:rFonts w:ascii="Arial" w:hAnsi="Arial" w:cs="Arial"/>
              </w:rPr>
              <w:t>WGS analysis of 2298 genes revealed ≤6 gene differences among four human outbreak isolates from 2012 to 2013.</w:t>
            </w:r>
          </w:p>
          <w:p w14:paraId="79484B37" w14:textId="77777777" w:rsidR="00B01780" w:rsidRPr="00070C24" w:rsidRDefault="00B01780" w:rsidP="00E04401">
            <w:pPr>
              <w:numPr>
                <w:ilvl w:val="0"/>
                <w:numId w:val="3"/>
              </w:numPr>
              <w:spacing w:line="360" w:lineRule="auto"/>
              <w:rPr>
                <w:rFonts w:ascii="Arial" w:hAnsi="Arial" w:cs="Arial"/>
              </w:rPr>
            </w:pPr>
            <w:r w:rsidRPr="00070C24">
              <w:rPr>
                <w:rFonts w:ascii="Arial" w:hAnsi="Arial" w:cs="Arial"/>
              </w:rPr>
              <w:t>Human outbreak isolates showed genetic similarity to Austrian unaged soft cheese and Austrian ready-to-eat meat isolates.</w:t>
            </w:r>
          </w:p>
          <w:p w14:paraId="657A76D0" w14:textId="77777777" w:rsidR="00B01780" w:rsidRPr="00070C24" w:rsidRDefault="00B01780" w:rsidP="00E04401">
            <w:pPr>
              <w:numPr>
                <w:ilvl w:val="0"/>
                <w:numId w:val="3"/>
              </w:numPr>
              <w:spacing w:line="360" w:lineRule="auto"/>
              <w:rPr>
                <w:rFonts w:ascii="Arial" w:hAnsi="Arial" w:cs="Arial"/>
              </w:rPr>
            </w:pPr>
            <w:r w:rsidRPr="00070C24">
              <w:rPr>
                <w:rFonts w:ascii="Arial" w:hAnsi="Arial" w:cs="Arial"/>
              </w:rPr>
              <w:t>MLST+ distinguished outbreak cases from earlier cases and unrelated isolates, aiding source attribution.</w:t>
            </w:r>
          </w:p>
          <w:p w14:paraId="262CF0E4" w14:textId="77777777" w:rsidR="00B01780" w:rsidRPr="00070C24" w:rsidRDefault="00B01780" w:rsidP="00E04401">
            <w:pPr>
              <w:numPr>
                <w:ilvl w:val="0"/>
                <w:numId w:val="3"/>
              </w:numPr>
              <w:spacing w:line="360" w:lineRule="auto"/>
              <w:rPr>
                <w:rFonts w:ascii="Arial" w:hAnsi="Arial" w:cs="Arial"/>
              </w:rPr>
            </w:pPr>
            <w:r w:rsidRPr="00070C24">
              <w:rPr>
                <w:rFonts w:ascii="Arial" w:hAnsi="Arial" w:cs="Arial"/>
              </w:rPr>
              <w:t>Increased awareness and sanitation efforts in food production facilities halted further cases</w:t>
            </w:r>
          </w:p>
          <w:p w14:paraId="252220D0" w14:textId="77777777" w:rsidR="00B01780" w:rsidRPr="00070C24" w:rsidRDefault="00B01780" w:rsidP="00E04401">
            <w:pPr>
              <w:spacing w:line="360" w:lineRule="auto"/>
              <w:rPr>
                <w:rFonts w:ascii="Arial" w:hAnsi="Arial" w:cs="Arial"/>
                <w:shd w:val="clear" w:color="auto" w:fill="FFFFFF"/>
              </w:rPr>
            </w:pPr>
          </w:p>
        </w:tc>
        <w:tc>
          <w:tcPr>
            <w:tcW w:w="2354" w:type="dxa"/>
          </w:tcPr>
          <w:p w14:paraId="29519811"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 xml:space="preserve">The study demonstrates the utility of WGS in discriminating </w:t>
            </w:r>
            <w:r w:rsidRPr="00070C24">
              <w:rPr>
                <w:rFonts w:ascii="Arial" w:hAnsi="Arial" w:cs="Arial"/>
                <w:i/>
                <w:shd w:val="clear" w:color="auto" w:fill="FFFFFF"/>
              </w:rPr>
              <w:t xml:space="preserve">L. monocytogenes </w:t>
            </w:r>
            <w:r w:rsidRPr="00070C24">
              <w:rPr>
                <w:rFonts w:ascii="Arial" w:hAnsi="Arial" w:cs="Arial"/>
                <w:shd w:val="clear" w:color="auto" w:fill="FFFFFF"/>
              </w:rPr>
              <w:t>strains and attributing sources in outbreak investigations, highlighting its potential for enhancing public health surveillance and control measures</w:t>
            </w:r>
          </w:p>
        </w:tc>
      </w:tr>
      <w:tr w:rsidR="00B01780" w:rsidRPr="00070C24" w14:paraId="25005EEA" w14:textId="77777777" w:rsidTr="00E04401">
        <w:trPr>
          <w:trHeight w:val="273"/>
        </w:trPr>
        <w:tc>
          <w:tcPr>
            <w:tcW w:w="0" w:type="auto"/>
          </w:tcPr>
          <w:p w14:paraId="4BEFD535" w14:textId="77777777" w:rsidR="00B01780" w:rsidRPr="00070C24" w:rsidRDefault="00B01780" w:rsidP="00E04401">
            <w:pPr>
              <w:spacing w:line="360" w:lineRule="auto"/>
              <w:rPr>
                <w:rFonts w:ascii="Arial" w:hAnsi="Arial" w:cs="Arial"/>
              </w:rPr>
            </w:pPr>
            <w:r w:rsidRPr="00070C24">
              <w:rPr>
                <w:rFonts w:ascii="Arial" w:hAnsi="Arial" w:cs="Arial"/>
              </w:rPr>
              <w:t>Bolten et al. (2024)</w:t>
            </w:r>
          </w:p>
        </w:tc>
        <w:tc>
          <w:tcPr>
            <w:tcW w:w="0" w:type="auto"/>
          </w:tcPr>
          <w:p w14:paraId="4AD32A85"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Journal of Food Protection, Volume 87, Issue 4, April 2024 (Embase)</w:t>
            </w:r>
          </w:p>
        </w:tc>
        <w:tc>
          <w:tcPr>
            <w:tcW w:w="2313" w:type="dxa"/>
          </w:tcPr>
          <w:p w14:paraId="2213091C"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Environmental monitoring programs (EMPs) for Listeria control in small- and medium-sized dairy processing facilities (SMDFs)</w:t>
            </w:r>
          </w:p>
        </w:tc>
        <w:tc>
          <w:tcPr>
            <w:tcW w:w="2223" w:type="dxa"/>
          </w:tcPr>
          <w:p w14:paraId="4F513403"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Longitudinal study</w:t>
            </w:r>
          </w:p>
        </w:tc>
        <w:tc>
          <w:tcPr>
            <w:tcW w:w="2057" w:type="dxa"/>
          </w:tcPr>
          <w:p w14:paraId="794543CF"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Eight small- and medium-sized dairy processing facilities</w:t>
            </w:r>
          </w:p>
        </w:tc>
        <w:tc>
          <w:tcPr>
            <w:tcW w:w="3007" w:type="dxa"/>
          </w:tcPr>
          <w:p w14:paraId="71474B8A" w14:textId="77777777" w:rsidR="00B01780" w:rsidRPr="00070C24" w:rsidRDefault="00B01780" w:rsidP="00E04401">
            <w:pPr>
              <w:numPr>
                <w:ilvl w:val="0"/>
                <w:numId w:val="5"/>
              </w:numPr>
              <w:spacing w:line="360" w:lineRule="auto"/>
              <w:rPr>
                <w:rFonts w:ascii="Arial" w:hAnsi="Arial" w:cs="Arial"/>
              </w:rPr>
            </w:pPr>
            <w:r w:rsidRPr="00070C24">
              <w:rPr>
                <w:rFonts w:ascii="Arial" w:hAnsi="Arial" w:cs="Arial"/>
              </w:rPr>
              <w:t>Environmental sponge samples collected pre-operation (after cleaning and sanitation and prior to production) and mid-operation (at least 4 hours into production) to assess Listeria prevalence.</w:t>
            </w:r>
          </w:p>
          <w:p w14:paraId="5729EA56" w14:textId="77777777" w:rsidR="00B01780" w:rsidRPr="00070C24" w:rsidRDefault="00B01780" w:rsidP="00E04401">
            <w:pPr>
              <w:numPr>
                <w:ilvl w:val="0"/>
                <w:numId w:val="5"/>
              </w:numPr>
              <w:spacing w:line="360" w:lineRule="auto"/>
              <w:rPr>
                <w:rFonts w:ascii="Arial" w:hAnsi="Arial" w:cs="Arial"/>
              </w:rPr>
            </w:pPr>
            <w:r w:rsidRPr="00070C24">
              <w:rPr>
                <w:rFonts w:ascii="Arial" w:hAnsi="Arial" w:cs="Arial"/>
              </w:rPr>
              <w:t>Whole genome sequencing (WGS) performed on select isolates to characterize Listeria persistence patterns</w:t>
            </w:r>
          </w:p>
          <w:p w14:paraId="7E0FD329" w14:textId="77777777" w:rsidR="00B01780" w:rsidRPr="00070C24" w:rsidRDefault="00B01780" w:rsidP="00E04401">
            <w:pPr>
              <w:spacing w:line="360" w:lineRule="auto"/>
              <w:rPr>
                <w:rFonts w:ascii="Arial" w:hAnsi="Arial" w:cs="Arial"/>
              </w:rPr>
            </w:pPr>
          </w:p>
        </w:tc>
        <w:tc>
          <w:tcPr>
            <w:tcW w:w="2100" w:type="dxa"/>
          </w:tcPr>
          <w:p w14:paraId="4024B7A4"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Whole genome sequencing (WGS) of select isolates to characterize Listeria persistence patterns</w:t>
            </w:r>
          </w:p>
        </w:tc>
        <w:tc>
          <w:tcPr>
            <w:tcW w:w="2583" w:type="dxa"/>
          </w:tcPr>
          <w:p w14:paraId="5BA5F035" w14:textId="77777777" w:rsidR="00B01780" w:rsidRPr="00070C24" w:rsidRDefault="00B01780" w:rsidP="00E04401">
            <w:pPr>
              <w:numPr>
                <w:ilvl w:val="0"/>
                <w:numId w:val="6"/>
              </w:numPr>
              <w:spacing w:line="360" w:lineRule="auto"/>
              <w:rPr>
                <w:rFonts w:ascii="Arial" w:hAnsi="Arial" w:cs="Arial"/>
              </w:rPr>
            </w:pPr>
            <w:r w:rsidRPr="00070C24">
              <w:rPr>
                <w:rFonts w:ascii="Arial" w:hAnsi="Arial" w:cs="Arial"/>
              </w:rPr>
              <w:t>Analysis of Listeria prevalence among environmental sponge samples.</w:t>
            </w:r>
          </w:p>
          <w:p w14:paraId="07FD1519" w14:textId="77777777" w:rsidR="00B01780" w:rsidRPr="00070C24" w:rsidRDefault="00B01780" w:rsidP="00E04401">
            <w:pPr>
              <w:numPr>
                <w:ilvl w:val="0"/>
                <w:numId w:val="6"/>
              </w:numPr>
              <w:spacing w:line="360" w:lineRule="auto"/>
              <w:rPr>
                <w:rFonts w:ascii="Arial" w:hAnsi="Arial" w:cs="Arial"/>
              </w:rPr>
            </w:pPr>
            <w:r w:rsidRPr="00070C24">
              <w:rPr>
                <w:rFonts w:ascii="Arial" w:hAnsi="Arial" w:cs="Arial"/>
              </w:rPr>
              <w:t>Comparison of Listeria prevalence between pre-operation and mid-operation samples.</w:t>
            </w:r>
          </w:p>
          <w:p w14:paraId="131F0C85" w14:textId="77777777" w:rsidR="00B01780" w:rsidRPr="00070C24" w:rsidRDefault="00B01780" w:rsidP="00E04401">
            <w:pPr>
              <w:numPr>
                <w:ilvl w:val="0"/>
                <w:numId w:val="6"/>
              </w:numPr>
              <w:spacing w:line="360" w:lineRule="auto"/>
              <w:rPr>
                <w:rFonts w:ascii="Arial" w:hAnsi="Arial" w:cs="Arial"/>
              </w:rPr>
            </w:pPr>
            <w:r w:rsidRPr="00070C24">
              <w:rPr>
                <w:rFonts w:ascii="Arial" w:hAnsi="Arial" w:cs="Arial"/>
              </w:rPr>
              <w:t>Characterization of Listeria persistence patterns using WGS, including assessment of hqSNP differences.</w:t>
            </w:r>
          </w:p>
          <w:p w14:paraId="292FF2C8" w14:textId="77777777" w:rsidR="00B01780" w:rsidRPr="00070C24" w:rsidRDefault="00B01780" w:rsidP="00E04401">
            <w:pPr>
              <w:spacing w:line="360" w:lineRule="auto"/>
              <w:rPr>
                <w:rFonts w:ascii="Arial" w:hAnsi="Arial" w:cs="Arial"/>
              </w:rPr>
            </w:pPr>
          </w:p>
          <w:p w14:paraId="2F81996E" w14:textId="77777777" w:rsidR="00B01780" w:rsidRPr="00070C24" w:rsidRDefault="00B01780" w:rsidP="00E04401">
            <w:pPr>
              <w:spacing w:line="360" w:lineRule="auto"/>
              <w:rPr>
                <w:rFonts w:ascii="Arial" w:hAnsi="Arial" w:cs="Arial"/>
                <w:shd w:val="clear" w:color="auto" w:fill="FFFFFF"/>
              </w:rPr>
            </w:pPr>
          </w:p>
        </w:tc>
        <w:tc>
          <w:tcPr>
            <w:tcW w:w="3386" w:type="dxa"/>
          </w:tcPr>
          <w:p w14:paraId="19E7E256" w14:textId="77777777" w:rsidR="00B01780" w:rsidRPr="00070C24" w:rsidRDefault="00B01780" w:rsidP="00E04401">
            <w:pPr>
              <w:numPr>
                <w:ilvl w:val="0"/>
                <w:numId w:val="4"/>
              </w:numPr>
              <w:spacing w:line="360" w:lineRule="auto"/>
              <w:rPr>
                <w:rFonts w:ascii="Arial" w:hAnsi="Arial" w:cs="Arial"/>
              </w:rPr>
            </w:pPr>
            <w:r w:rsidRPr="00070C24">
              <w:rPr>
                <w:rFonts w:ascii="Arial" w:hAnsi="Arial" w:cs="Arial"/>
              </w:rPr>
              <w:t>Among 2,072 environmental sponge samples collected, 272 (13%) were positive for Listeria.</w:t>
            </w:r>
          </w:p>
          <w:p w14:paraId="6FE2BAC1" w14:textId="77777777" w:rsidR="00B01780" w:rsidRPr="00070C24" w:rsidRDefault="00B01780" w:rsidP="00E04401">
            <w:pPr>
              <w:numPr>
                <w:ilvl w:val="0"/>
                <w:numId w:val="4"/>
              </w:numPr>
              <w:spacing w:line="360" w:lineRule="auto"/>
              <w:rPr>
                <w:rFonts w:ascii="Arial" w:hAnsi="Arial" w:cs="Arial"/>
              </w:rPr>
            </w:pPr>
            <w:r w:rsidRPr="00070C24">
              <w:rPr>
                <w:rFonts w:ascii="Arial" w:hAnsi="Arial" w:cs="Arial"/>
              </w:rPr>
              <w:t>Listeria prevalence was not significantly different between pre- and mid-operation samples (15% and 17%, respectively).</w:t>
            </w:r>
          </w:p>
          <w:p w14:paraId="6823832F" w14:textId="77777777" w:rsidR="00B01780" w:rsidRPr="00070C24" w:rsidRDefault="00B01780" w:rsidP="00E04401">
            <w:pPr>
              <w:numPr>
                <w:ilvl w:val="0"/>
                <w:numId w:val="4"/>
              </w:numPr>
              <w:spacing w:line="360" w:lineRule="auto"/>
              <w:rPr>
                <w:rFonts w:ascii="Arial" w:hAnsi="Arial" w:cs="Arial"/>
              </w:rPr>
            </w:pPr>
            <w:r w:rsidRPr="00070C24">
              <w:rPr>
                <w:rFonts w:ascii="Arial" w:hAnsi="Arial" w:cs="Arial"/>
              </w:rPr>
              <w:t>Repeated isolation of closely related Listeria isolates (≤20 high-quality single nucleotide polymorphism [hqSNP] differences) was observed in 5/8 facilities over &gt;6 months, indicating Listeria persistence and/or reintroduction.</w:t>
            </w:r>
          </w:p>
          <w:p w14:paraId="356C92B1" w14:textId="77777777" w:rsidR="00B01780" w:rsidRPr="00070C24" w:rsidRDefault="00B01780" w:rsidP="00E04401">
            <w:pPr>
              <w:numPr>
                <w:ilvl w:val="0"/>
                <w:numId w:val="4"/>
              </w:numPr>
              <w:spacing w:line="360" w:lineRule="auto"/>
              <w:rPr>
                <w:rFonts w:ascii="Arial" w:hAnsi="Arial" w:cs="Arial"/>
              </w:rPr>
            </w:pPr>
            <w:r w:rsidRPr="00070C24">
              <w:rPr>
                <w:rFonts w:ascii="Arial" w:hAnsi="Arial" w:cs="Arial"/>
              </w:rPr>
              <w:t>For 41 sites where samples collected pre- and mid-operation were positive for Listeria, the isolates obtained were highly related (≤10 hqSNP differences), suggesting that pre-operation sampling alone may be sufficient and more effective for detecting sites of Listeria persistence.</w:t>
            </w:r>
          </w:p>
          <w:p w14:paraId="21446A5E" w14:textId="77777777" w:rsidR="00B01780" w:rsidRPr="00070C24" w:rsidRDefault="00B01780" w:rsidP="00E04401">
            <w:pPr>
              <w:numPr>
                <w:ilvl w:val="0"/>
                <w:numId w:val="4"/>
              </w:numPr>
              <w:spacing w:line="360" w:lineRule="auto"/>
              <w:rPr>
                <w:rFonts w:ascii="Arial" w:hAnsi="Arial" w:cs="Arial"/>
              </w:rPr>
            </w:pPr>
            <w:r w:rsidRPr="00070C24">
              <w:rPr>
                <w:rFonts w:ascii="Arial" w:hAnsi="Arial" w:cs="Arial"/>
              </w:rPr>
              <w:lastRenderedPageBreak/>
              <w:t>Only 1/8 facilities showed a significant decrease in Listeria prevalence over 1 year, indicating continued challenges with Listeria control in some SMDFs.</w:t>
            </w:r>
          </w:p>
          <w:p w14:paraId="58B1585C" w14:textId="77777777" w:rsidR="00B01780" w:rsidRPr="00070C24" w:rsidRDefault="00B01780" w:rsidP="00E04401">
            <w:pPr>
              <w:spacing w:line="360" w:lineRule="auto"/>
              <w:ind w:left="720"/>
              <w:rPr>
                <w:rFonts w:ascii="Arial" w:hAnsi="Arial" w:cs="Arial"/>
              </w:rPr>
            </w:pPr>
          </w:p>
        </w:tc>
        <w:tc>
          <w:tcPr>
            <w:tcW w:w="2354" w:type="dxa"/>
          </w:tcPr>
          <w:p w14:paraId="2697B4D0"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lastRenderedPageBreak/>
              <w:t>The study suggests that simplified Listeria environmental monitoring programs, focusing on pre-operation sampling, may be valuable for improved Listeria control in small- and medium-sized dairy facilities, considering the challenges they face with limited resources.</w:t>
            </w:r>
          </w:p>
        </w:tc>
      </w:tr>
      <w:tr w:rsidR="00B01780" w:rsidRPr="00070C24" w14:paraId="71919CAD" w14:textId="77777777" w:rsidTr="00E04401">
        <w:trPr>
          <w:trHeight w:val="273"/>
        </w:trPr>
        <w:tc>
          <w:tcPr>
            <w:tcW w:w="0" w:type="auto"/>
          </w:tcPr>
          <w:p w14:paraId="1A45F833" w14:textId="77777777" w:rsidR="00B01780" w:rsidRPr="00070C24" w:rsidRDefault="00B01780" w:rsidP="00E04401">
            <w:pPr>
              <w:spacing w:line="360" w:lineRule="auto"/>
              <w:rPr>
                <w:rFonts w:ascii="Arial" w:hAnsi="Arial" w:cs="Arial"/>
              </w:rPr>
            </w:pPr>
            <w:r w:rsidRPr="00070C24">
              <w:rPr>
                <w:rFonts w:ascii="Arial" w:hAnsi="Arial" w:cs="Arial"/>
              </w:rPr>
              <w:t>Gmeiner et al. (2024)</w:t>
            </w:r>
          </w:p>
        </w:tc>
        <w:tc>
          <w:tcPr>
            <w:tcW w:w="0" w:type="auto"/>
          </w:tcPr>
          <w:p w14:paraId="094F710E"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International Journal of Food Microbiology (FSTA)</w:t>
            </w:r>
          </w:p>
        </w:tc>
        <w:tc>
          <w:tcPr>
            <w:tcW w:w="2313" w:type="dxa"/>
          </w:tcPr>
          <w:p w14:paraId="47B0E639"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 xml:space="preserve">Prediction of </w:t>
            </w:r>
            <w:r w:rsidRPr="00070C24">
              <w:rPr>
                <w:rFonts w:ascii="Arial" w:hAnsi="Arial" w:cs="Arial"/>
                <w:i/>
                <w:shd w:val="clear" w:color="auto" w:fill="FFFFFF"/>
              </w:rPr>
              <w:t>Listeria monocytogenes</w:t>
            </w:r>
            <w:r w:rsidRPr="00070C24">
              <w:rPr>
                <w:rFonts w:ascii="Arial" w:hAnsi="Arial" w:cs="Arial"/>
                <w:shd w:val="clear" w:color="auto" w:fill="FFFFFF"/>
              </w:rPr>
              <w:t xml:space="preserve"> virulence potential using whole genome sequencing and machine learning</w:t>
            </w:r>
          </w:p>
        </w:tc>
        <w:tc>
          <w:tcPr>
            <w:tcW w:w="2223" w:type="dxa"/>
          </w:tcPr>
          <w:p w14:paraId="687D0520"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Machine learning approach using whole genome sequencing data</w:t>
            </w:r>
          </w:p>
        </w:tc>
        <w:tc>
          <w:tcPr>
            <w:tcW w:w="2057" w:type="dxa"/>
          </w:tcPr>
          <w:p w14:paraId="1F3A9676" w14:textId="77777777" w:rsidR="00B01780" w:rsidRPr="00070C24" w:rsidRDefault="00B01780" w:rsidP="00E04401">
            <w:pPr>
              <w:spacing w:line="360" w:lineRule="auto"/>
              <w:rPr>
                <w:rFonts w:ascii="Arial" w:hAnsi="Arial" w:cs="Arial"/>
              </w:rPr>
            </w:pPr>
            <w:r w:rsidRPr="00070C24">
              <w:rPr>
                <w:rFonts w:ascii="Arial" w:hAnsi="Arial" w:cs="Arial"/>
              </w:rPr>
              <w:t>Two datasets were used for model training:</w:t>
            </w:r>
          </w:p>
          <w:p w14:paraId="25AAEDAF" w14:textId="77777777" w:rsidR="00B01780" w:rsidRPr="00070C24" w:rsidRDefault="00B01780" w:rsidP="00E04401">
            <w:pPr>
              <w:pStyle w:val="ListParagraph"/>
              <w:numPr>
                <w:ilvl w:val="0"/>
                <w:numId w:val="7"/>
              </w:numPr>
              <w:spacing w:line="360" w:lineRule="auto"/>
              <w:rPr>
                <w:rFonts w:ascii="Arial" w:hAnsi="Arial" w:cs="Arial"/>
              </w:rPr>
            </w:pPr>
            <w:r w:rsidRPr="00070C24">
              <w:rPr>
                <w:rFonts w:ascii="Arial" w:hAnsi="Arial" w:cs="Arial"/>
              </w:rPr>
              <w:t>National surveillance isolates (n = 169) from France and Denmark</w:t>
            </w:r>
          </w:p>
          <w:p w14:paraId="296D0A9F" w14:textId="77777777" w:rsidR="00B01780" w:rsidRPr="00070C24" w:rsidRDefault="00B01780" w:rsidP="00E04401">
            <w:pPr>
              <w:pStyle w:val="ListParagraph"/>
              <w:numPr>
                <w:ilvl w:val="0"/>
                <w:numId w:val="7"/>
              </w:numPr>
              <w:spacing w:line="360" w:lineRule="auto"/>
              <w:rPr>
                <w:rFonts w:ascii="Arial" w:hAnsi="Arial" w:cs="Arial"/>
              </w:rPr>
            </w:pPr>
            <w:r w:rsidRPr="00070C24">
              <w:rPr>
                <w:rFonts w:ascii="Arial" w:hAnsi="Arial" w:cs="Arial"/>
              </w:rPr>
              <w:t>Publicly available isolates from the GenomeTrakr network (n = 2880) from the United States</w:t>
            </w:r>
          </w:p>
          <w:p w14:paraId="573D4A81" w14:textId="77777777" w:rsidR="00B01780" w:rsidRPr="00070C24" w:rsidRDefault="00B01780" w:rsidP="00E04401">
            <w:pPr>
              <w:spacing w:line="360" w:lineRule="auto"/>
              <w:rPr>
                <w:rFonts w:ascii="Arial" w:hAnsi="Arial" w:cs="Arial"/>
                <w:shd w:val="clear" w:color="auto" w:fill="FFFFFF"/>
              </w:rPr>
            </w:pPr>
          </w:p>
        </w:tc>
        <w:tc>
          <w:tcPr>
            <w:tcW w:w="3007" w:type="dxa"/>
          </w:tcPr>
          <w:p w14:paraId="65602169" w14:textId="77777777" w:rsidR="00B01780" w:rsidRPr="00070C24" w:rsidRDefault="00B01780" w:rsidP="00E04401">
            <w:pPr>
              <w:numPr>
                <w:ilvl w:val="0"/>
                <w:numId w:val="8"/>
              </w:numPr>
              <w:spacing w:line="360" w:lineRule="auto"/>
              <w:rPr>
                <w:rFonts w:ascii="Arial" w:hAnsi="Arial" w:cs="Arial"/>
              </w:rPr>
            </w:pPr>
            <w:r w:rsidRPr="00070C24">
              <w:rPr>
                <w:rFonts w:ascii="Arial" w:hAnsi="Arial" w:cs="Arial"/>
              </w:rPr>
              <w:t>Virulence potential: Estimated using clinical frequency, defined as the ratio of the number of clinical isolates to the total number of isolates (clinical + food industry)</w:t>
            </w:r>
          </w:p>
          <w:p w14:paraId="33EE9E39" w14:textId="77777777" w:rsidR="00B01780" w:rsidRPr="00070C24" w:rsidRDefault="00B01780" w:rsidP="00E04401">
            <w:pPr>
              <w:spacing w:line="360" w:lineRule="auto"/>
              <w:rPr>
                <w:rFonts w:ascii="Arial" w:hAnsi="Arial" w:cs="Arial"/>
              </w:rPr>
            </w:pPr>
          </w:p>
        </w:tc>
        <w:tc>
          <w:tcPr>
            <w:tcW w:w="2100" w:type="dxa"/>
          </w:tcPr>
          <w:p w14:paraId="6438CBD1" w14:textId="77777777" w:rsidR="00B01780" w:rsidRPr="00070C24" w:rsidRDefault="00B01780" w:rsidP="00E04401">
            <w:pPr>
              <w:spacing w:line="360" w:lineRule="auto"/>
              <w:rPr>
                <w:rFonts w:ascii="Arial" w:hAnsi="Arial" w:cs="Arial"/>
              </w:rPr>
            </w:pPr>
            <w:r w:rsidRPr="00070C24">
              <w:rPr>
                <w:rFonts w:ascii="Arial" w:hAnsi="Arial" w:cs="Arial"/>
              </w:rPr>
              <w:t>The performance of Machine Learning models is assessed using F1 scores and confidence intervals obtained through nested cross-validation and independent validation.</w:t>
            </w:r>
          </w:p>
          <w:p w14:paraId="71F00C54" w14:textId="77777777" w:rsidR="00B01780" w:rsidRPr="00070C24" w:rsidRDefault="00B01780" w:rsidP="00E04401">
            <w:pPr>
              <w:spacing w:line="360" w:lineRule="auto"/>
              <w:rPr>
                <w:rFonts w:ascii="Arial" w:hAnsi="Arial" w:cs="Arial"/>
              </w:rPr>
            </w:pPr>
          </w:p>
        </w:tc>
        <w:tc>
          <w:tcPr>
            <w:tcW w:w="2583" w:type="dxa"/>
          </w:tcPr>
          <w:p w14:paraId="2115F8F0" w14:textId="77777777" w:rsidR="00B01780" w:rsidRPr="00070C24" w:rsidRDefault="00B01780" w:rsidP="00E04401">
            <w:pPr>
              <w:spacing w:line="360" w:lineRule="auto"/>
              <w:rPr>
                <w:rFonts w:ascii="Arial" w:hAnsi="Arial" w:cs="Arial"/>
              </w:rPr>
            </w:pPr>
            <w:r w:rsidRPr="00070C24">
              <w:rPr>
                <w:rFonts w:ascii="Arial" w:hAnsi="Arial" w:cs="Arial"/>
                <w:shd w:val="clear" w:color="auto" w:fill="FFFFFF"/>
              </w:rPr>
              <w:t>The study employs supervised Machine Learning algorithms and compares their performance using nested cross-validation. Additionally, independent validation datasets are used to evaluate the generalization ability of the models.</w:t>
            </w:r>
          </w:p>
          <w:p w14:paraId="62FBE3EE" w14:textId="77777777" w:rsidR="00B01780" w:rsidRPr="00070C24" w:rsidRDefault="00B01780" w:rsidP="00E04401">
            <w:pPr>
              <w:spacing w:line="360" w:lineRule="auto"/>
              <w:rPr>
                <w:rFonts w:ascii="Arial" w:hAnsi="Arial" w:cs="Arial"/>
              </w:rPr>
            </w:pPr>
            <w:r w:rsidRPr="00070C24">
              <w:rPr>
                <w:rFonts w:ascii="Arial" w:hAnsi="Arial" w:cs="Arial"/>
              </w:rPr>
              <w:t>Machine learning algorithms: Support Vector Machine with linear kernel, Support Vector Machine with radial kernel, Random Forrest, Neural Networks, LogitBoost, Majority Voting</w:t>
            </w:r>
          </w:p>
          <w:p w14:paraId="74640C02" w14:textId="77777777" w:rsidR="00B01780" w:rsidRPr="00070C24" w:rsidRDefault="00B01780" w:rsidP="00E04401">
            <w:pPr>
              <w:spacing w:line="360" w:lineRule="auto"/>
              <w:rPr>
                <w:rFonts w:ascii="Arial" w:hAnsi="Arial" w:cs="Arial"/>
              </w:rPr>
            </w:pPr>
            <w:r w:rsidRPr="00070C24">
              <w:rPr>
                <w:rFonts w:ascii="Arial" w:hAnsi="Arial" w:cs="Arial"/>
              </w:rPr>
              <w:t>Model training using stratified and grouped 5-fold cross-validation</w:t>
            </w:r>
          </w:p>
          <w:p w14:paraId="3D2D8DCE" w14:textId="77777777" w:rsidR="00B01780" w:rsidRPr="00070C24" w:rsidRDefault="00B01780" w:rsidP="00E04401">
            <w:pPr>
              <w:spacing w:line="360" w:lineRule="auto"/>
              <w:rPr>
                <w:rFonts w:ascii="Arial" w:hAnsi="Arial" w:cs="Arial"/>
              </w:rPr>
            </w:pPr>
            <w:r w:rsidRPr="00070C24">
              <w:rPr>
                <w:rFonts w:ascii="Arial" w:hAnsi="Arial" w:cs="Arial"/>
              </w:rPr>
              <w:t xml:space="preserve">Hyperparameter tuning and evaluation </w:t>
            </w:r>
            <w:r w:rsidRPr="00070C24">
              <w:rPr>
                <w:rFonts w:ascii="Arial" w:hAnsi="Arial" w:cs="Arial"/>
              </w:rPr>
              <w:lastRenderedPageBreak/>
              <w:t>of predictive performance using accuracy, precision, recall, F1-score, ROC-AUC, and MCC</w:t>
            </w:r>
          </w:p>
          <w:p w14:paraId="17A5F307" w14:textId="77777777" w:rsidR="00B01780" w:rsidRPr="00070C24" w:rsidRDefault="00B01780" w:rsidP="00E04401">
            <w:pPr>
              <w:spacing w:line="360" w:lineRule="auto"/>
              <w:rPr>
                <w:rFonts w:ascii="Arial" w:hAnsi="Arial" w:cs="Arial"/>
                <w:shd w:val="clear" w:color="auto" w:fill="FFFFFF"/>
              </w:rPr>
            </w:pPr>
          </w:p>
        </w:tc>
        <w:tc>
          <w:tcPr>
            <w:tcW w:w="3386" w:type="dxa"/>
          </w:tcPr>
          <w:p w14:paraId="54690931" w14:textId="77777777" w:rsidR="00B01780" w:rsidRPr="00070C24" w:rsidRDefault="00B01780" w:rsidP="00E04401">
            <w:pPr>
              <w:pStyle w:val="ListParagraph"/>
              <w:numPr>
                <w:ilvl w:val="0"/>
                <w:numId w:val="9"/>
              </w:numPr>
              <w:spacing w:line="360" w:lineRule="auto"/>
              <w:rPr>
                <w:rFonts w:ascii="Arial" w:hAnsi="Arial" w:cs="Arial"/>
              </w:rPr>
            </w:pPr>
            <w:r w:rsidRPr="00070C24">
              <w:rPr>
                <w:rFonts w:ascii="Arial" w:hAnsi="Arial" w:cs="Arial"/>
              </w:rPr>
              <w:lastRenderedPageBreak/>
              <w:t>Machine Learning models show good performance in predicting the clinical frequency of L. monocytogenes.</w:t>
            </w:r>
          </w:p>
          <w:p w14:paraId="5C9278BD" w14:textId="77777777" w:rsidR="00B01780" w:rsidRPr="00070C24" w:rsidRDefault="00B01780" w:rsidP="00E04401">
            <w:pPr>
              <w:pStyle w:val="ListParagraph"/>
              <w:numPr>
                <w:ilvl w:val="0"/>
                <w:numId w:val="9"/>
              </w:numPr>
              <w:spacing w:line="360" w:lineRule="auto"/>
              <w:rPr>
                <w:rFonts w:ascii="Arial" w:hAnsi="Arial" w:cs="Arial"/>
              </w:rPr>
            </w:pPr>
            <w:r w:rsidRPr="00070C24">
              <w:rPr>
                <w:rFonts w:ascii="Arial" w:hAnsi="Arial" w:cs="Arial"/>
              </w:rPr>
              <w:t>Pan-genome level features generally yield increased performance compared to virulence genes and SNPs.</w:t>
            </w:r>
          </w:p>
          <w:p w14:paraId="7A2EBFA0" w14:textId="77777777" w:rsidR="00B01780" w:rsidRPr="00070C24" w:rsidRDefault="00B01780" w:rsidP="00E04401">
            <w:pPr>
              <w:pStyle w:val="ListParagraph"/>
              <w:numPr>
                <w:ilvl w:val="0"/>
                <w:numId w:val="9"/>
              </w:numPr>
              <w:spacing w:line="360" w:lineRule="auto"/>
              <w:rPr>
                <w:rFonts w:ascii="Arial" w:hAnsi="Arial" w:cs="Arial"/>
              </w:rPr>
            </w:pPr>
            <w:r w:rsidRPr="00070C24">
              <w:rPr>
                <w:rFonts w:ascii="Arial" w:hAnsi="Arial" w:cs="Arial"/>
              </w:rPr>
              <w:t>Direct raw read alignment yields comparable performance to de novo assembly methods.</w:t>
            </w:r>
          </w:p>
          <w:p w14:paraId="6E7A5C93" w14:textId="77777777" w:rsidR="00B01780" w:rsidRPr="00070C24" w:rsidRDefault="00B01780" w:rsidP="00E04401">
            <w:pPr>
              <w:pStyle w:val="ListParagraph"/>
              <w:numPr>
                <w:ilvl w:val="0"/>
                <w:numId w:val="9"/>
              </w:numPr>
              <w:spacing w:line="360" w:lineRule="auto"/>
              <w:rPr>
                <w:rFonts w:ascii="Arial" w:hAnsi="Arial" w:cs="Arial"/>
              </w:rPr>
            </w:pPr>
            <w:r w:rsidRPr="00070C24">
              <w:rPr>
                <w:rFonts w:ascii="Arial" w:hAnsi="Arial" w:cs="Arial"/>
              </w:rPr>
              <w:t>Increased data availability improves the predictive performance of Machine Learning models, especially for tree-based algorithms.</w:t>
            </w:r>
          </w:p>
          <w:p w14:paraId="673E728E" w14:textId="77777777" w:rsidR="00B01780" w:rsidRPr="00070C24" w:rsidRDefault="00B01780" w:rsidP="00E04401">
            <w:pPr>
              <w:pStyle w:val="ListParagraph"/>
              <w:numPr>
                <w:ilvl w:val="0"/>
                <w:numId w:val="9"/>
              </w:numPr>
              <w:spacing w:line="360" w:lineRule="auto"/>
              <w:rPr>
                <w:rFonts w:ascii="Arial" w:hAnsi="Arial" w:cs="Arial"/>
              </w:rPr>
            </w:pPr>
            <w:r w:rsidRPr="00070C24">
              <w:rPr>
                <w:rFonts w:ascii="Arial" w:hAnsi="Arial" w:cs="Arial"/>
              </w:rPr>
              <w:t>Majority voting classifier trained on a subset of pan-genome genes is recommended for future applications.</w:t>
            </w:r>
          </w:p>
          <w:p w14:paraId="61BD94DD" w14:textId="77777777" w:rsidR="00B01780" w:rsidRPr="00070C24" w:rsidRDefault="00B01780" w:rsidP="00E04401">
            <w:pPr>
              <w:spacing w:line="360" w:lineRule="auto"/>
              <w:rPr>
                <w:rFonts w:ascii="Arial" w:hAnsi="Arial" w:cs="Arial"/>
              </w:rPr>
            </w:pPr>
          </w:p>
        </w:tc>
        <w:tc>
          <w:tcPr>
            <w:tcW w:w="2354" w:type="dxa"/>
          </w:tcPr>
          <w:p w14:paraId="4104D5FA"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 xml:space="preserve">The study provides valuable insights into using Machine Learning models for predicting the virulence potential of </w:t>
            </w:r>
            <w:r w:rsidRPr="00070C24">
              <w:rPr>
                <w:rFonts w:ascii="Arial" w:hAnsi="Arial" w:cs="Arial"/>
                <w:i/>
                <w:shd w:val="clear" w:color="auto" w:fill="FFFFFF"/>
              </w:rPr>
              <w:t xml:space="preserve">L. monocytogenes </w:t>
            </w:r>
            <w:r w:rsidRPr="00070C24">
              <w:rPr>
                <w:rFonts w:ascii="Arial" w:hAnsi="Arial" w:cs="Arial"/>
                <w:shd w:val="clear" w:color="auto" w:fill="FFFFFF"/>
              </w:rPr>
              <w:t>based on WGS data. The findings suggest the potential utility of such models in microbial hazard characterization and risk assessment, although further research and validation are needed to assess their real-world applicability and effectiveness.</w:t>
            </w:r>
          </w:p>
        </w:tc>
      </w:tr>
      <w:tr w:rsidR="00B01780" w:rsidRPr="00070C24" w14:paraId="2CC1BFFE" w14:textId="77777777" w:rsidTr="00E04401">
        <w:trPr>
          <w:trHeight w:val="273"/>
        </w:trPr>
        <w:tc>
          <w:tcPr>
            <w:tcW w:w="0" w:type="auto"/>
          </w:tcPr>
          <w:p w14:paraId="7A349646" w14:textId="77777777" w:rsidR="00B01780" w:rsidRPr="00070C24" w:rsidRDefault="00B01780" w:rsidP="00E04401">
            <w:pPr>
              <w:spacing w:line="360" w:lineRule="auto"/>
              <w:rPr>
                <w:rFonts w:ascii="Arial" w:hAnsi="Arial" w:cs="Arial"/>
              </w:rPr>
            </w:pPr>
            <w:r w:rsidRPr="00070C24">
              <w:rPr>
                <w:rFonts w:ascii="Arial" w:hAnsi="Arial" w:cs="Arial"/>
              </w:rPr>
              <w:t>(Gérard et al., 2020)</w:t>
            </w:r>
          </w:p>
        </w:tc>
        <w:tc>
          <w:tcPr>
            <w:tcW w:w="0" w:type="auto"/>
          </w:tcPr>
          <w:p w14:paraId="4E75FE54" w14:textId="77777777" w:rsidR="00B01780" w:rsidRPr="00070C24" w:rsidRDefault="00B01780" w:rsidP="00E04401">
            <w:pPr>
              <w:spacing w:line="360" w:lineRule="auto"/>
              <w:rPr>
                <w:rFonts w:ascii="Arial" w:hAnsi="Arial" w:cs="Arial"/>
              </w:rPr>
            </w:pPr>
            <w:r w:rsidRPr="00070C24">
              <w:rPr>
                <w:rFonts w:ascii="Arial" w:hAnsi="Arial" w:cs="Arial"/>
              </w:rPr>
              <w:t>Biotechnol. Agron. Soc. Environ. 24, 156-162</w:t>
            </w:r>
          </w:p>
          <w:p w14:paraId="1FAAC2F2" w14:textId="77777777" w:rsidR="00B01780" w:rsidRPr="00070C24" w:rsidRDefault="00B01780" w:rsidP="00E04401">
            <w:pPr>
              <w:spacing w:line="360" w:lineRule="auto"/>
              <w:rPr>
                <w:rFonts w:ascii="Arial" w:hAnsi="Arial" w:cs="Arial"/>
              </w:rPr>
            </w:pPr>
            <w:r w:rsidRPr="00070C24">
              <w:rPr>
                <w:rFonts w:ascii="Arial" w:hAnsi="Arial" w:cs="Arial"/>
              </w:rPr>
              <w:t>(Scopus)</w:t>
            </w:r>
          </w:p>
        </w:tc>
        <w:tc>
          <w:tcPr>
            <w:tcW w:w="2313" w:type="dxa"/>
          </w:tcPr>
          <w:p w14:paraId="75057D00" w14:textId="77777777" w:rsidR="00B01780" w:rsidRPr="00070C24" w:rsidRDefault="00B01780" w:rsidP="00E04401">
            <w:pPr>
              <w:spacing w:line="360" w:lineRule="auto"/>
              <w:rPr>
                <w:rFonts w:ascii="Arial" w:hAnsi="Arial" w:cs="Arial"/>
              </w:rPr>
            </w:pPr>
            <w:r w:rsidRPr="00070C24">
              <w:rPr>
                <w:rFonts w:ascii="Arial" w:hAnsi="Arial" w:cs="Arial"/>
              </w:rPr>
              <w:t xml:space="preserve">Assessment of </w:t>
            </w:r>
            <w:r w:rsidRPr="00070C24">
              <w:rPr>
                <w:rFonts w:ascii="Arial" w:hAnsi="Arial" w:cs="Arial"/>
                <w:i/>
              </w:rPr>
              <w:t>Listeria monocytogenes</w:t>
            </w:r>
            <w:r w:rsidRPr="00070C24">
              <w:rPr>
                <w:rFonts w:ascii="Arial" w:hAnsi="Arial" w:cs="Arial"/>
              </w:rPr>
              <w:t xml:space="preserve"> prevalence in Belgian artisanal cheeses, examining pH, water activity, and regulatory thresholds.</w:t>
            </w:r>
          </w:p>
        </w:tc>
        <w:tc>
          <w:tcPr>
            <w:tcW w:w="2223" w:type="dxa"/>
          </w:tcPr>
          <w:p w14:paraId="6E9966F4" w14:textId="77777777" w:rsidR="00B01780" w:rsidRPr="00070C24" w:rsidRDefault="00B01780" w:rsidP="00E04401">
            <w:pPr>
              <w:spacing w:line="360" w:lineRule="auto"/>
              <w:rPr>
                <w:rFonts w:ascii="Arial" w:hAnsi="Arial" w:cs="Arial"/>
              </w:rPr>
            </w:pPr>
            <w:r w:rsidRPr="00070C24">
              <w:rPr>
                <w:rFonts w:ascii="Arial" w:hAnsi="Arial" w:cs="Arial"/>
              </w:rPr>
              <w:t xml:space="preserve">Chemicophysical analysis of 134 cheeses, assessing pH, water activity, and salt content. </w:t>
            </w:r>
            <w:r w:rsidRPr="00070C24">
              <w:rPr>
                <w:rFonts w:ascii="Arial" w:hAnsi="Arial" w:cs="Arial"/>
                <w:i/>
              </w:rPr>
              <w:t xml:space="preserve">L. monocytogenes </w:t>
            </w:r>
            <w:r w:rsidRPr="00070C24">
              <w:rPr>
                <w:rFonts w:ascii="Arial" w:hAnsi="Arial" w:cs="Arial"/>
              </w:rPr>
              <w:t>detection and enumeration conducted.</w:t>
            </w:r>
          </w:p>
          <w:p w14:paraId="0E0F8585" w14:textId="77777777" w:rsidR="00B01780" w:rsidRPr="00070C24" w:rsidRDefault="00B01780" w:rsidP="00E04401">
            <w:pPr>
              <w:spacing w:line="360" w:lineRule="auto"/>
              <w:rPr>
                <w:rFonts w:ascii="Arial" w:hAnsi="Arial" w:cs="Arial"/>
                <w:shd w:val="clear" w:color="auto" w:fill="FFFFFF"/>
              </w:rPr>
            </w:pPr>
          </w:p>
        </w:tc>
        <w:tc>
          <w:tcPr>
            <w:tcW w:w="2057" w:type="dxa"/>
          </w:tcPr>
          <w:p w14:paraId="048201EE" w14:textId="77777777" w:rsidR="00B01780" w:rsidRPr="00070C24" w:rsidRDefault="00B01780" w:rsidP="00E04401">
            <w:pPr>
              <w:spacing w:line="360" w:lineRule="auto"/>
              <w:rPr>
                <w:rFonts w:ascii="Arial" w:hAnsi="Arial" w:cs="Arial"/>
              </w:rPr>
            </w:pPr>
            <w:r w:rsidRPr="00070C24">
              <w:rPr>
                <w:rFonts w:ascii="Arial" w:hAnsi="Arial" w:cs="Arial"/>
              </w:rPr>
              <w:t>Cheeses from 65 Belgian farmhouses sampled between January and December 2018, categorized by milk type and cheese texture/ripening.</w:t>
            </w:r>
          </w:p>
        </w:tc>
        <w:tc>
          <w:tcPr>
            <w:tcW w:w="3007" w:type="dxa"/>
          </w:tcPr>
          <w:p w14:paraId="0A90CD4C" w14:textId="77777777" w:rsidR="00B01780" w:rsidRPr="00070C24" w:rsidRDefault="00B01780" w:rsidP="00E04401">
            <w:pPr>
              <w:spacing w:line="360" w:lineRule="auto"/>
              <w:rPr>
                <w:rFonts w:ascii="Arial" w:hAnsi="Arial" w:cs="Arial"/>
              </w:rPr>
            </w:pPr>
            <w:r w:rsidRPr="00070C24">
              <w:rPr>
                <w:rFonts w:ascii="Arial" w:hAnsi="Arial" w:cs="Arial"/>
              </w:rPr>
              <w:t xml:space="preserve">pH, water activity, salt content, </w:t>
            </w:r>
            <w:r w:rsidRPr="00070C24">
              <w:rPr>
                <w:rFonts w:ascii="Arial" w:hAnsi="Arial" w:cs="Arial"/>
                <w:i/>
              </w:rPr>
              <w:t xml:space="preserve">L. monocytogenes </w:t>
            </w:r>
            <w:r w:rsidRPr="00070C24">
              <w:rPr>
                <w:rFonts w:ascii="Arial" w:hAnsi="Arial" w:cs="Arial"/>
              </w:rPr>
              <w:t>prevalence.</w:t>
            </w:r>
          </w:p>
          <w:p w14:paraId="70209B2C" w14:textId="77777777" w:rsidR="00B01780" w:rsidRPr="00070C24" w:rsidRDefault="00B01780" w:rsidP="00E04401">
            <w:pPr>
              <w:spacing w:line="360" w:lineRule="auto"/>
              <w:rPr>
                <w:rFonts w:ascii="Arial" w:hAnsi="Arial" w:cs="Arial"/>
              </w:rPr>
            </w:pPr>
          </w:p>
        </w:tc>
        <w:tc>
          <w:tcPr>
            <w:tcW w:w="2100" w:type="dxa"/>
          </w:tcPr>
          <w:p w14:paraId="2DEDDA86" w14:textId="77777777" w:rsidR="00B01780" w:rsidRPr="00070C24" w:rsidRDefault="00B01780" w:rsidP="00E04401">
            <w:pPr>
              <w:spacing w:line="360" w:lineRule="auto"/>
              <w:rPr>
                <w:rFonts w:ascii="Arial" w:hAnsi="Arial" w:cs="Arial"/>
              </w:rPr>
            </w:pPr>
            <w:r w:rsidRPr="00070C24">
              <w:rPr>
                <w:rFonts w:ascii="Arial" w:hAnsi="Arial" w:cs="Arial"/>
              </w:rPr>
              <w:t xml:space="preserve">Chemicophysical analyses conducted using standard methods. </w:t>
            </w:r>
            <w:r w:rsidRPr="00070C24">
              <w:rPr>
                <w:rFonts w:ascii="Arial" w:hAnsi="Arial" w:cs="Arial"/>
                <w:i/>
              </w:rPr>
              <w:t xml:space="preserve">L. monocytogenes </w:t>
            </w:r>
            <w:r w:rsidRPr="00070C24">
              <w:rPr>
                <w:rFonts w:ascii="Arial" w:hAnsi="Arial" w:cs="Arial"/>
              </w:rPr>
              <w:t>detection via pre-enrichment and enumeration.</w:t>
            </w:r>
          </w:p>
          <w:p w14:paraId="18E5241E" w14:textId="77777777" w:rsidR="00B01780" w:rsidRPr="00070C24" w:rsidRDefault="00B01780" w:rsidP="00E04401">
            <w:pPr>
              <w:spacing w:line="360" w:lineRule="auto"/>
              <w:rPr>
                <w:rFonts w:ascii="Arial" w:hAnsi="Arial" w:cs="Arial"/>
              </w:rPr>
            </w:pPr>
          </w:p>
        </w:tc>
        <w:tc>
          <w:tcPr>
            <w:tcW w:w="2583" w:type="dxa"/>
          </w:tcPr>
          <w:p w14:paraId="29A759C8" w14:textId="77777777" w:rsidR="00B01780" w:rsidRPr="00070C24" w:rsidRDefault="00B01780" w:rsidP="00E04401">
            <w:pPr>
              <w:spacing w:line="360" w:lineRule="auto"/>
              <w:rPr>
                <w:rFonts w:ascii="Arial" w:hAnsi="Arial" w:cs="Arial"/>
              </w:rPr>
            </w:pPr>
            <w:r w:rsidRPr="00070C24">
              <w:rPr>
                <w:rFonts w:ascii="Arial" w:hAnsi="Arial" w:cs="Arial"/>
              </w:rPr>
              <w:t>Descriptive statistics, comparison between cheese categories, prevalence calculation.</w:t>
            </w:r>
          </w:p>
        </w:tc>
        <w:tc>
          <w:tcPr>
            <w:tcW w:w="3386" w:type="dxa"/>
          </w:tcPr>
          <w:p w14:paraId="142C210E" w14:textId="77777777" w:rsidR="00B01780" w:rsidRPr="00070C24" w:rsidRDefault="00B01780" w:rsidP="00E04401">
            <w:pPr>
              <w:spacing w:line="360" w:lineRule="auto"/>
              <w:rPr>
                <w:rFonts w:ascii="Arial" w:hAnsi="Arial" w:cs="Arial"/>
              </w:rPr>
            </w:pPr>
            <w:r w:rsidRPr="00070C24">
              <w:rPr>
                <w:rFonts w:ascii="Arial" w:hAnsi="Arial" w:cs="Arial"/>
              </w:rPr>
              <w:t xml:space="preserve">Most Belgian artisanal cheeses allow </w:t>
            </w:r>
            <w:r w:rsidRPr="00070C24">
              <w:rPr>
                <w:rFonts w:ascii="Arial" w:hAnsi="Arial" w:cs="Arial"/>
                <w:i/>
              </w:rPr>
              <w:t xml:space="preserve">L. monocytogenes </w:t>
            </w:r>
            <w:r w:rsidRPr="00070C24">
              <w:rPr>
                <w:rFonts w:ascii="Arial" w:hAnsi="Arial" w:cs="Arial"/>
              </w:rPr>
              <w:t xml:space="preserve">growth due to pH and water activity exceeding regulatory thresholds. Prevalence of </w:t>
            </w:r>
            <w:r w:rsidRPr="00070C24">
              <w:rPr>
                <w:rFonts w:ascii="Arial" w:hAnsi="Arial" w:cs="Arial"/>
                <w:i/>
              </w:rPr>
              <w:t xml:space="preserve">L. monocytogenes </w:t>
            </w:r>
            <w:r w:rsidRPr="00070C24">
              <w:rPr>
                <w:rFonts w:ascii="Arial" w:hAnsi="Arial" w:cs="Arial"/>
              </w:rPr>
              <w:t>was 1.49%, with contamination mainly observed in raw milk-derived cheeses.</w:t>
            </w:r>
          </w:p>
        </w:tc>
        <w:tc>
          <w:tcPr>
            <w:tcW w:w="2354" w:type="dxa"/>
          </w:tcPr>
          <w:p w14:paraId="7BFCCFED" w14:textId="77777777" w:rsidR="00B01780" w:rsidRPr="00070C24" w:rsidRDefault="00B01780" w:rsidP="00E04401">
            <w:pPr>
              <w:spacing w:line="360" w:lineRule="auto"/>
              <w:rPr>
                <w:rFonts w:ascii="Arial" w:hAnsi="Arial" w:cs="Arial"/>
              </w:rPr>
            </w:pPr>
            <w:r w:rsidRPr="00070C24">
              <w:rPr>
                <w:rFonts w:ascii="Arial" w:hAnsi="Arial" w:cs="Arial"/>
              </w:rPr>
              <w:t xml:space="preserve">Further studies, including challenge-tests, are recommended to understand </w:t>
            </w:r>
            <w:r w:rsidRPr="00070C24">
              <w:rPr>
                <w:rFonts w:ascii="Arial" w:hAnsi="Arial" w:cs="Arial"/>
                <w:i/>
              </w:rPr>
              <w:t xml:space="preserve">L. monocytogenes </w:t>
            </w:r>
            <w:r w:rsidRPr="00070C24">
              <w:rPr>
                <w:rFonts w:ascii="Arial" w:hAnsi="Arial" w:cs="Arial"/>
              </w:rPr>
              <w:t xml:space="preserve">fate in cheeses and alleviate pressure on producers. Maintaining hygiene practices and applying Hazard Analysis and Critical Control Points are crucial for minimizing </w:t>
            </w:r>
            <w:r w:rsidRPr="00070C24">
              <w:rPr>
                <w:rFonts w:ascii="Arial" w:hAnsi="Arial" w:cs="Arial"/>
                <w:i/>
              </w:rPr>
              <w:t xml:space="preserve">L. monocytogenes </w:t>
            </w:r>
            <w:r w:rsidRPr="00070C24">
              <w:rPr>
                <w:rFonts w:ascii="Arial" w:hAnsi="Arial" w:cs="Arial"/>
              </w:rPr>
              <w:t>presence.</w:t>
            </w:r>
          </w:p>
        </w:tc>
      </w:tr>
      <w:tr w:rsidR="00B01780" w:rsidRPr="00070C24" w14:paraId="0D3B765A" w14:textId="77777777" w:rsidTr="00E04401">
        <w:trPr>
          <w:trHeight w:val="273"/>
        </w:trPr>
        <w:tc>
          <w:tcPr>
            <w:tcW w:w="0" w:type="auto"/>
          </w:tcPr>
          <w:p w14:paraId="1FEF47B8" w14:textId="77777777" w:rsidR="00B01780" w:rsidRPr="00070C24" w:rsidRDefault="00B01780" w:rsidP="00E04401">
            <w:pPr>
              <w:spacing w:line="360" w:lineRule="auto"/>
              <w:rPr>
                <w:rFonts w:ascii="Arial" w:hAnsi="Arial" w:cs="Arial"/>
              </w:rPr>
            </w:pPr>
            <w:r w:rsidRPr="00070C24">
              <w:rPr>
                <w:rFonts w:ascii="Arial" w:hAnsi="Arial" w:cs="Arial"/>
              </w:rPr>
              <w:t>(Elafify et al., 2022)</w:t>
            </w:r>
          </w:p>
        </w:tc>
        <w:tc>
          <w:tcPr>
            <w:tcW w:w="0" w:type="auto"/>
          </w:tcPr>
          <w:p w14:paraId="399F2C85"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International Journal of Food Microbiology (FSTA)</w:t>
            </w:r>
          </w:p>
        </w:tc>
        <w:tc>
          <w:tcPr>
            <w:tcW w:w="2313" w:type="dxa"/>
          </w:tcPr>
          <w:p w14:paraId="2A7BB984" w14:textId="77777777" w:rsidR="00B01780" w:rsidRPr="00070C24" w:rsidRDefault="00B01780" w:rsidP="00E04401">
            <w:pPr>
              <w:spacing w:line="360" w:lineRule="auto"/>
              <w:rPr>
                <w:rFonts w:ascii="Arial" w:hAnsi="Arial" w:cs="Arial"/>
              </w:rPr>
            </w:pPr>
            <w:r w:rsidRPr="00070C24">
              <w:rPr>
                <w:rFonts w:ascii="Arial" w:hAnsi="Arial" w:cs="Arial"/>
              </w:rPr>
              <w:t xml:space="preserve">The conceptual framework focuses on the prevalence of </w:t>
            </w:r>
            <w:r w:rsidRPr="00070C24">
              <w:rPr>
                <w:rFonts w:ascii="Arial" w:hAnsi="Arial" w:cs="Arial"/>
                <w:i/>
              </w:rPr>
              <w:t>Listeria monocytogenes</w:t>
            </w:r>
            <w:r w:rsidRPr="00070C24">
              <w:rPr>
                <w:rFonts w:ascii="Arial" w:hAnsi="Arial" w:cs="Arial"/>
              </w:rPr>
              <w:t xml:space="preserve"> in dairy products and reduction trials using various natural substances to inhibit its growth. </w:t>
            </w:r>
            <w:r w:rsidRPr="00070C24">
              <w:rPr>
                <w:rFonts w:ascii="Arial" w:hAnsi="Arial" w:cs="Arial"/>
              </w:rPr>
              <w:lastRenderedPageBreak/>
              <w:t>It focuses on identifying Listeria spp., by assessing their antimicrobial resistance.</w:t>
            </w:r>
          </w:p>
        </w:tc>
        <w:tc>
          <w:tcPr>
            <w:tcW w:w="2223" w:type="dxa"/>
          </w:tcPr>
          <w:p w14:paraId="6788D691"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employs microbiological methods to collect and prepare dairy product samples. Isolation and identification of Listeria spp. are performed using </w:t>
            </w:r>
            <w:r w:rsidRPr="00070C24">
              <w:rPr>
                <w:rFonts w:ascii="Arial" w:hAnsi="Arial" w:cs="Arial"/>
              </w:rPr>
              <w:lastRenderedPageBreak/>
              <w:t>biochemical tests and serological identification. Antimicrobial susceptibility testing is conducted using agar disk diffusion methods. DNA extraction and PCR are used for virulence characterization. The antilisterial effects of phytochemicals are evaluated using agar well diffusion and storage trials in soft cheese.</w:t>
            </w:r>
          </w:p>
          <w:p w14:paraId="079C5BCF" w14:textId="77777777" w:rsidR="00B01780" w:rsidRPr="00070C24" w:rsidRDefault="00B01780" w:rsidP="00E04401">
            <w:pPr>
              <w:spacing w:line="360" w:lineRule="auto"/>
              <w:rPr>
                <w:rFonts w:ascii="Arial" w:hAnsi="Arial" w:cs="Arial"/>
                <w:shd w:val="clear" w:color="auto" w:fill="FFFFFF"/>
              </w:rPr>
            </w:pPr>
          </w:p>
        </w:tc>
        <w:tc>
          <w:tcPr>
            <w:tcW w:w="2057" w:type="dxa"/>
          </w:tcPr>
          <w:p w14:paraId="147AD397"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A total of 200 dairy product samples, including market raw milk, Kareish cheese, Damietta cheese, and plain yoghurt (50 each), are </w:t>
            </w:r>
            <w:r w:rsidRPr="00070C24">
              <w:rPr>
                <w:rFonts w:ascii="Arial" w:hAnsi="Arial" w:cs="Arial"/>
              </w:rPr>
              <w:lastRenderedPageBreak/>
              <w:t>collected from dairy farms, shops, and supermarkets in Egypt. Laboratory settings at Mansoura University and Tanta University are utilized for microbiological examination and analysis.</w:t>
            </w:r>
          </w:p>
          <w:p w14:paraId="471414F5" w14:textId="77777777" w:rsidR="00B01780" w:rsidRPr="00070C24" w:rsidRDefault="00B01780" w:rsidP="00E04401">
            <w:pPr>
              <w:spacing w:line="360" w:lineRule="auto"/>
              <w:rPr>
                <w:rFonts w:ascii="Arial" w:hAnsi="Arial" w:cs="Arial"/>
              </w:rPr>
            </w:pPr>
          </w:p>
        </w:tc>
        <w:tc>
          <w:tcPr>
            <w:tcW w:w="3007" w:type="dxa"/>
          </w:tcPr>
          <w:p w14:paraId="6874D152" w14:textId="77777777" w:rsidR="00B01780" w:rsidRPr="00070C24" w:rsidRDefault="00B01780" w:rsidP="00E04401">
            <w:pPr>
              <w:spacing w:line="360" w:lineRule="auto"/>
              <w:rPr>
                <w:rFonts w:ascii="Arial" w:hAnsi="Arial" w:cs="Arial"/>
              </w:rPr>
            </w:pPr>
            <w:r w:rsidRPr="00070C24">
              <w:rPr>
                <w:rFonts w:ascii="Arial" w:hAnsi="Arial" w:cs="Arial"/>
              </w:rPr>
              <w:lastRenderedPageBreak/>
              <w:t>Prevalence of Listeria spp. in dairy products</w:t>
            </w:r>
          </w:p>
          <w:p w14:paraId="648F1A38" w14:textId="77777777" w:rsidR="00B01780" w:rsidRPr="00070C24" w:rsidRDefault="00B01780" w:rsidP="00E04401">
            <w:pPr>
              <w:spacing w:line="360" w:lineRule="auto"/>
              <w:rPr>
                <w:rFonts w:ascii="Arial" w:hAnsi="Arial" w:cs="Arial"/>
              </w:rPr>
            </w:pPr>
            <w:r w:rsidRPr="00070C24">
              <w:rPr>
                <w:rFonts w:ascii="Arial" w:hAnsi="Arial" w:cs="Arial"/>
              </w:rPr>
              <w:t>Antimicrobial resistance profile of L. monocytogenes</w:t>
            </w:r>
          </w:p>
          <w:p w14:paraId="60EDB19B" w14:textId="77777777" w:rsidR="00B01780" w:rsidRPr="00070C24" w:rsidRDefault="00B01780" w:rsidP="00E04401">
            <w:pPr>
              <w:spacing w:line="360" w:lineRule="auto"/>
              <w:rPr>
                <w:rFonts w:ascii="Arial" w:hAnsi="Arial" w:cs="Arial"/>
              </w:rPr>
            </w:pPr>
            <w:r w:rsidRPr="00070C24">
              <w:rPr>
                <w:rFonts w:ascii="Arial" w:hAnsi="Arial" w:cs="Arial"/>
              </w:rPr>
              <w:t>Presence of virulent gene (hlyA) in L. monocytogenes</w:t>
            </w:r>
          </w:p>
          <w:p w14:paraId="19C36A4B" w14:textId="77777777" w:rsidR="00B01780" w:rsidRPr="00070C24" w:rsidRDefault="00B01780" w:rsidP="00E04401">
            <w:pPr>
              <w:spacing w:line="360" w:lineRule="auto"/>
              <w:rPr>
                <w:rFonts w:ascii="Arial" w:hAnsi="Arial" w:cs="Arial"/>
              </w:rPr>
            </w:pPr>
            <w:r w:rsidRPr="00070C24">
              <w:rPr>
                <w:rFonts w:ascii="Arial" w:hAnsi="Arial" w:cs="Arial"/>
              </w:rPr>
              <w:t xml:space="preserve">Antilisterial activities of rosmarinic acid, ascorbic </w:t>
            </w:r>
            <w:r w:rsidRPr="00070C24">
              <w:rPr>
                <w:rFonts w:ascii="Arial" w:hAnsi="Arial" w:cs="Arial"/>
              </w:rPr>
              <w:lastRenderedPageBreak/>
              <w:t>acid, clove, and thyme essential oils in soft cheese.</w:t>
            </w:r>
          </w:p>
          <w:p w14:paraId="78D170B2" w14:textId="77777777" w:rsidR="00B01780" w:rsidRPr="00070C24" w:rsidRDefault="00B01780" w:rsidP="00E04401">
            <w:pPr>
              <w:spacing w:line="360" w:lineRule="auto"/>
              <w:rPr>
                <w:rFonts w:ascii="Arial" w:hAnsi="Arial" w:cs="Arial"/>
              </w:rPr>
            </w:pPr>
          </w:p>
        </w:tc>
        <w:tc>
          <w:tcPr>
            <w:tcW w:w="2100" w:type="dxa"/>
          </w:tcPr>
          <w:p w14:paraId="15DD5860"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Microbiological techniques, biochemical tests, serological identification, PCR, agar disk diffusion methods, and DNA extraction are used for </w:t>
            </w:r>
            <w:r w:rsidRPr="00070C24">
              <w:rPr>
                <w:rFonts w:ascii="Arial" w:hAnsi="Arial" w:cs="Arial"/>
              </w:rPr>
              <w:lastRenderedPageBreak/>
              <w:t>measurement and analysis.</w:t>
            </w:r>
          </w:p>
          <w:p w14:paraId="67940A27" w14:textId="77777777" w:rsidR="00B01780" w:rsidRPr="00070C24" w:rsidRDefault="00B01780" w:rsidP="00E04401">
            <w:pPr>
              <w:spacing w:line="360" w:lineRule="auto"/>
              <w:rPr>
                <w:rFonts w:ascii="Arial" w:hAnsi="Arial" w:cs="Arial"/>
              </w:rPr>
            </w:pPr>
          </w:p>
        </w:tc>
        <w:tc>
          <w:tcPr>
            <w:tcW w:w="2583" w:type="dxa"/>
          </w:tcPr>
          <w:p w14:paraId="35566B9C"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Statistical analysis is performed using one-way ANOVA to compare results at various treatments and concentrations. R statistical software is utilized for data analysis, with a </w:t>
            </w:r>
            <w:r w:rsidRPr="00070C24">
              <w:rPr>
                <w:rFonts w:ascii="Arial" w:hAnsi="Arial" w:cs="Arial"/>
              </w:rPr>
              <w:lastRenderedPageBreak/>
              <w:t>significance level set at p &lt; 0.05.</w:t>
            </w:r>
          </w:p>
        </w:tc>
        <w:tc>
          <w:tcPr>
            <w:tcW w:w="3386" w:type="dxa"/>
          </w:tcPr>
          <w:p w14:paraId="4F6B19A9" w14:textId="77777777" w:rsidR="00B01780" w:rsidRPr="00070C24" w:rsidRDefault="00B01780" w:rsidP="00E04401">
            <w:pPr>
              <w:spacing w:line="360" w:lineRule="auto"/>
              <w:rPr>
                <w:rFonts w:ascii="Arial" w:hAnsi="Arial" w:cs="Arial"/>
              </w:rPr>
            </w:pPr>
            <w:r w:rsidRPr="00070C24">
              <w:rPr>
                <w:rFonts w:ascii="Arial" w:hAnsi="Arial" w:cs="Arial"/>
              </w:rPr>
              <w:lastRenderedPageBreak/>
              <w:t>Prevalence of Listeria spp. in market raw milk, Damietta cheese, and Kareish cheese is reported.</w:t>
            </w:r>
          </w:p>
          <w:p w14:paraId="5AC44800" w14:textId="77777777" w:rsidR="00B01780" w:rsidRPr="00070C24" w:rsidRDefault="00B01780" w:rsidP="00E04401">
            <w:pPr>
              <w:spacing w:line="360" w:lineRule="auto"/>
              <w:rPr>
                <w:rFonts w:ascii="Arial" w:hAnsi="Arial" w:cs="Arial"/>
              </w:rPr>
            </w:pPr>
            <w:r w:rsidRPr="00070C24">
              <w:rPr>
                <w:rFonts w:ascii="Arial" w:hAnsi="Arial" w:cs="Arial"/>
                <w:i/>
              </w:rPr>
              <w:t xml:space="preserve">L. monocytogenes </w:t>
            </w:r>
            <w:r w:rsidRPr="00070C24">
              <w:rPr>
                <w:rFonts w:ascii="Arial" w:hAnsi="Arial" w:cs="Arial"/>
              </w:rPr>
              <w:t>isolates exhibit antimicrobial resistance to multiple antibiotics.</w:t>
            </w:r>
          </w:p>
          <w:p w14:paraId="370B1F83" w14:textId="77777777" w:rsidR="00B01780" w:rsidRPr="00070C24" w:rsidRDefault="00B01780" w:rsidP="00E04401">
            <w:pPr>
              <w:spacing w:line="360" w:lineRule="auto"/>
              <w:rPr>
                <w:rFonts w:ascii="Arial" w:hAnsi="Arial" w:cs="Arial"/>
              </w:rPr>
            </w:pPr>
            <w:r w:rsidRPr="00070C24">
              <w:rPr>
                <w:rFonts w:ascii="Arial" w:hAnsi="Arial" w:cs="Arial"/>
              </w:rPr>
              <w:t xml:space="preserve">A high prevalence (86.67%) of the virulent gene hlyA is </w:t>
            </w:r>
            <w:r w:rsidRPr="00070C24">
              <w:rPr>
                <w:rFonts w:ascii="Arial" w:hAnsi="Arial" w:cs="Arial"/>
              </w:rPr>
              <w:lastRenderedPageBreak/>
              <w:t xml:space="preserve">detected in </w:t>
            </w:r>
            <w:r w:rsidRPr="00070C24">
              <w:rPr>
                <w:rFonts w:ascii="Arial" w:hAnsi="Arial" w:cs="Arial"/>
                <w:i/>
              </w:rPr>
              <w:t xml:space="preserve">L. monocytogenes </w:t>
            </w:r>
            <w:r w:rsidRPr="00070C24">
              <w:rPr>
                <w:rFonts w:ascii="Arial" w:hAnsi="Arial" w:cs="Arial"/>
              </w:rPr>
              <w:t>isolates.</w:t>
            </w:r>
          </w:p>
          <w:p w14:paraId="40C4B391" w14:textId="77777777" w:rsidR="00B01780" w:rsidRPr="00070C24" w:rsidRDefault="00B01780" w:rsidP="00E04401">
            <w:pPr>
              <w:spacing w:line="360" w:lineRule="auto"/>
              <w:rPr>
                <w:rFonts w:ascii="Arial" w:hAnsi="Arial" w:cs="Arial"/>
              </w:rPr>
            </w:pPr>
            <w:r w:rsidRPr="00070C24">
              <w:rPr>
                <w:rFonts w:ascii="Arial" w:hAnsi="Arial" w:cs="Arial"/>
              </w:rPr>
              <w:t xml:space="preserve">Rosmarinic acid, ascorbic acid, clove, and thyme essential oils show significant antilisterial activities, reducing </w:t>
            </w:r>
            <w:r w:rsidRPr="00070C24">
              <w:rPr>
                <w:rFonts w:ascii="Arial" w:hAnsi="Arial" w:cs="Arial"/>
                <w:i/>
              </w:rPr>
              <w:t xml:space="preserve">L. monocytogenes </w:t>
            </w:r>
            <w:r w:rsidRPr="00070C24">
              <w:rPr>
                <w:rFonts w:ascii="Arial" w:hAnsi="Arial" w:cs="Arial"/>
              </w:rPr>
              <w:t>counts in soft cheese during storage trials.</w:t>
            </w:r>
          </w:p>
        </w:tc>
        <w:tc>
          <w:tcPr>
            <w:tcW w:w="2354" w:type="dxa"/>
          </w:tcPr>
          <w:p w14:paraId="55298662"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provides valuable insights into the prevalence and antimicrobial resistance of </w:t>
            </w:r>
            <w:r w:rsidRPr="00070C24">
              <w:rPr>
                <w:rFonts w:ascii="Arial" w:hAnsi="Arial" w:cs="Arial"/>
                <w:i/>
              </w:rPr>
              <w:t xml:space="preserve">L. monocytogenes </w:t>
            </w:r>
            <w:r w:rsidRPr="00070C24">
              <w:rPr>
                <w:rFonts w:ascii="Arial" w:hAnsi="Arial" w:cs="Arial"/>
              </w:rPr>
              <w:t xml:space="preserve">in dairy products. Additionally, it suggests promising natural substances </w:t>
            </w:r>
            <w:r w:rsidRPr="00070C24">
              <w:rPr>
                <w:rFonts w:ascii="Arial" w:hAnsi="Arial" w:cs="Arial"/>
              </w:rPr>
              <w:lastRenderedPageBreak/>
              <w:t xml:space="preserve">for controlling </w:t>
            </w:r>
            <w:r w:rsidRPr="00070C24">
              <w:rPr>
                <w:rFonts w:ascii="Arial" w:hAnsi="Arial" w:cs="Arial"/>
                <w:i/>
              </w:rPr>
              <w:t xml:space="preserve">L. monocytogenes </w:t>
            </w:r>
            <w:r w:rsidRPr="00070C24">
              <w:rPr>
                <w:rFonts w:ascii="Arial" w:hAnsi="Arial" w:cs="Arial"/>
              </w:rPr>
              <w:t>contamination in soft cheese, offering potential applications for food safety practices in the dairy industry.</w:t>
            </w:r>
          </w:p>
          <w:p w14:paraId="35154D19" w14:textId="77777777" w:rsidR="00B01780" w:rsidRPr="00070C24" w:rsidRDefault="00B01780" w:rsidP="00E04401">
            <w:pPr>
              <w:spacing w:line="360" w:lineRule="auto"/>
              <w:rPr>
                <w:rFonts w:ascii="Arial" w:hAnsi="Arial" w:cs="Arial"/>
                <w:shd w:val="clear" w:color="auto" w:fill="FFFFFF"/>
              </w:rPr>
            </w:pPr>
          </w:p>
        </w:tc>
      </w:tr>
      <w:tr w:rsidR="00B01780" w:rsidRPr="00070C24" w14:paraId="4BF4B10E" w14:textId="77777777" w:rsidTr="00E04401">
        <w:trPr>
          <w:trHeight w:val="273"/>
        </w:trPr>
        <w:tc>
          <w:tcPr>
            <w:tcW w:w="0" w:type="auto"/>
          </w:tcPr>
          <w:p w14:paraId="3D380C00" w14:textId="77777777" w:rsidR="00B01780" w:rsidRPr="00070C24" w:rsidRDefault="00B01780" w:rsidP="00E04401">
            <w:pPr>
              <w:spacing w:line="360" w:lineRule="auto"/>
              <w:rPr>
                <w:rFonts w:ascii="Arial" w:hAnsi="Arial" w:cs="Arial"/>
              </w:rPr>
            </w:pPr>
            <w:r w:rsidRPr="00070C24">
              <w:rPr>
                <w:rFonts w:ascii="Arial" w:hAnsi="Arial" w:cs="Arial"/>
              </w:rPr>
              <w:lastRenderedPageBreak/>
              <w:t>(Lusk et al., 2012)</w:t>
            </w:r>
          </w:p>
        </w:tc>
        <w:tc>
          <w:tcPr>
            <w:tcW w:w="0" w:type="auto"/>
          </w:tcPr>
          <w:p w14:paraId="2A312369"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PubMed</w:t>
            </w:r>
          </w:p>
        </w:tc>
        <w:tc>
          <w:tcPr>
            <w:tcW w:w="2313" w:type="dxa"/>
          </w:tcPr>
          <w:p w14:paraId="3A282A98"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aims to investigate the bacterial diversity in Latin-style cheeses using Next-Generation Sequencing (NGS) techniques. Latin-style cheeses like queso fresco are known for their high moisture content </w:t>
            </w:r>
            <w:r w:rsidRPr="00070C24">
              <w:rPr>
                <w:rFonts w:ascii="Arial" w:hAnsi="Arial" w:cs="Arial"/>
              </w:rPr>
              <w:lastRenderedPageBreak/>
              <w:t>and moderate pH, which can facilitate pathogen growth if contaminated.</w:t>
            </w:r>
          </w:p>
          <w:p w14:paraId="31F6CC95" w14:textId="77777777" w:rsidR="00B01780" w:rsidRPr="00070C24" w:rsidRDefault="00B01780" w:rsidP="00E04401">
            <w:pPr>
              <w:spacing w:line="360" w:lineRule="auto"/>
              <w:rPr>
                <w:rFonts w:ascii="Arial" w:hAnsi="Arial" w:cs="Arial"/>
                <w:shd w:val="clear" w:color="auto" w:fill="FFFFFF"/>
              </w:rPr>
            </w:pPr>
          </w:p>
        </w:tc>
        <w:tc>
          <w:tcPr>
            <w:tcW w:w="2223" w:type="dxa"/>
          </w:tcPr>
          <w:p w14:paraId="64132EEB"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involved collecting samples of three different brands of Latin-style cheeses and enriching them in serum dextrose broth. After overnight incubation, DNA extraction was performed, and </w:t>
            </w:r>
            <w:r w:rsidRPr="00070C24">
              <w:rPr>
                <w:rFonts w:ascii="Arial" w:hAnsi="Arial" w:cs="Arial"/>
              </w:rPr>
              <w:lastRenderedPageBreak/>
              <w:t>the extracted DNA was subjected to PCR amplification of the 16S rRNA bacterial gene. Emulsion PCR was conducted, and the samples were sequenced using the Roche Titanium FLX platform. The raw sequences were processed and analyzed using the CloVR-16S pipeline.</w:t>
            </w:r>
          </w:p>
        </w:tc>
        <w:tc>
          <w:tcPr>
            <w:tcW w:w="2057" w:type="dxa"/>
          </w:tcPr>
          <w:p w14:paraId="4EFBCF74" w14:textId="77777777" w:rsidR="00B01780" w:rsidRPr="00070C24" w:rsidRDefault="00B01780" w:rsidP="00E04401">
            <w:pPr>
              <w:spacing w:line="360" w:lineRule="auto"/>
              <w:rPr>
                <w:rFonts w:ascii="Arial" w:hAnsi="Arial" w:cs="Arial"/>
              </w:rPr>
            </w:pPr>
            <w:r w:rsidRPr="00070C24">
              <w:rPr>
                <w:rFonts w:ascii="Arial" w:hAnsi="Arial" w:cs="Arial"/>
              </w:rPr>
              <w:lastRenderedPageBreak/>
              <w:t>The study collected samples of three different brands of Latin-style cheeses, which were purchased from grocery stores in the Washington, DC area.</w:t>
            </w:r>
          </w:p>
          <w:p w14:paraId="2D526611" w14:textId="77777777" w:rsidR="00B01780" w:rsidRPr="00070C24" w:rsidRDefault="00B01780" w:rsidP="00E04401">
            <w:pPr>
              <w:spacing w:line="360" w:lineRule="auto"/>
              <w:rPr>
                <w:rFonts w:ascii="Arial" w:hAnsi="Arial" w:cs="Arial"/>
              </w:rPr>
            </w:pPr>
          </w:p>
        </w:tc>
        <w:tc>
          <w:tcPr>
            <w:tcW w:w="3007" w:type="dxa"/>
          </w:tcPr>
          <w:p w14:paraId="4D22543F" w14:textId="77777777" w:rsidR="00B01780" w:rsidRPr="00070C24" w:rsidRDefault="00B01780" w:rsidP="00E04401">
            <w:pPr>
              <w:spacing w:line="360" w:lineRule="auto"/>
              <w:rPr>
                <w:rFonts w:ascii="Arial" w:hAnsi="Arial" w:cs="Arial"/>
              </w:rPr>
            </w:pPr>
            <w:r w:rsidRPr="00070C24">
              <w:rPr>
                <w:rFonts w:ascii="Arial" w:hAnsi="Arial" w:cs="Arial"/>
              </w:rPr>
              <w:t>Bacterial diversity: The diversity of bacterial species presents in the Latin-style cheeses, assessed using 16S rRNA gene sequencing.</w:t>
            </w:r>
          </w:p>
          <w:p w14:paraId="3906C5F6" w14:textId="77777777" w:rsidR="00B01780" w:rsidRPr="00070C24" w:rsidRDefault="00B01780" w:rsidP="00E04401">
            <w:pPr>
              <w:spacing w:line="360" w:lineRule="auto"/>
              <w:rPr>
                <w:rFonts w:ascii="Arial" w:hAnsi="Arial" w:cs="Arial"/>
              </w:rPr>
            </w:pPr>
            <w:r w:rsidRPr="00070C24">
              <w:rPr>
                <w:rFonts w:ascii="Arial" w:hAnsi="Arial" w:cs="Arial"/>
              </w:rPr>
              <w:t>Taxonomic distributions: The distribution of bacterial taxa at different levels (phylum, class, order, family, and genus) in the cheese samples.</w:t>
            </w:r>
          </w:p>
          <w:p w14:paraId="53E5365F" w14:textId="77777777" w:rsidR="00B01780" w:rsidRPr="00070C24" w:rsidRDefault="00B01780" w:rsidP="00E04401">
            <w:pPr>
              <w:spacing w:line="360" w:lineRule="auto"/>
              <w:rPr>
                <w:rFonts w:ascii="Arial" w:hAnsi="Arial" w:cs="Arial"/>
              </w:rPr>
            </w:pPr>
            <w:r w:rsidRPr="00070C24">
              <w:rPr>
                <w:rFonts w:ascii="Arial" w:hAnsi="Arial" w:cs="Arial"/>
              </w:rPr>
              <w:lastRenderedPageBreak/>
              <w:t>Operational taxonomic units (OTUs): Clusters of sequences at a 95% identity threshold, used to assess bacterial diversity.</w:t>
            </w:r>
          </w:p>
          <w:p w14:paraId="1B63C9B5" w14:textId="77777777" w:rsidR="00B01780" w:rsidRPr="00070C24" w:rsidRDefault="00B01780" w:rsidP="00E04401">
            <w:pPr>
              <w:spacing w:line="360" w:lineRule="auto"/>
              <w:rPr>
                <w:rFonts w:ascii="Arial" w:hAnsi="Arial" w:cs="Arial"/>
              </w:rPr>
            </w:pPr>
            <w:r w:rsidRPr="00070C24">
              <w:rPr>
                <w:rFonts w:ascii="Arial" w:hAnsi="Arial" w:cs="Arial"/>
              </w:rPr>
              <w:t>Microflora composition: The composition of the microbial community in the cheese samples, characterized by the abundance of different bacterial taxa.</w:t>
            </w:r>
          </w:p>
          <w:p w14:paraId="5E3DED82" w14:textId="77777777" w:rsidR="00B01780" w:rsidRPr="00070C24" w:rsidRDefault="00B01780" w:rsidP="00E04401">
            <w:pPr>
              <w:spacing w:line="360" w:lineRule="auto"/>
              <w:rPr>
                <w:rFonts w:ascii="Arial" w:hAnsi="Arial" w:cs="Arial"/>
              </w:rPr>
            </w:pPr>
          </w:p>
        </w:tc>
        <w:tc>
          <w:tcPr>
            <w:tcW w:w="2100" w:type="dxa"/>
          </w:tcPr>
          <w:p w14:paraId="08CD7C61"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DNA extraction, PCR amplification of the 16S rRNA gene, emulsion PCR, sequencing using the Roche Titanium FLX platform, and bioinformatics analysis using </w:t>
            </w:r>
            <w:r w:rsidRPr="00070C24">
              <w:rPr>
                <w:rFonts w:ascii="Arial" w:hAnsi="Arial" w:cs="Arial"/>
              </w:rPr>
              <w:lastRenderedPageBreak/>
              <w:t>the CloVR-16S pipeline.</w:t>
            </w:r>
          </w:p>
        </w:tc>
        <w:tc>
          <w:tcPr>
            <w:tcW w:w="2583" w:type="dxa"/>
          </w:tcPr>
          <w:p w14:paraId="4E295B25"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raw sequences were processed and analyzed using the CloVR-16S pipeline, which involved quality screening, chimera detection, clustering into operational taxonomic units (OTUs) at 95% identity, taxonomy assignment using the </w:t>
            </w:r>
            <w:r w:rsidRPr="00070C24">
              <w:rPr>
                <w:rFonts w:ascii="Arial" w:hAnsi="Arial" w:cs="Arial"/>
              </w:rPr>
              <w:lastRenderedPageBreak/>
              <w:t>RDP classifier, and statistical analysis using Metastats and R scripts.</w:t>
            </w:r>
          </w:p>
        </w:tc>
        <w:tc>
          <w:tcPr>
            <w:tcW w:w="3386" w:type="dxa"/>
          </w:tcPr>
          <w:p w14:paraId="239A8657"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found significant differences in the bacterial diversity and composition among the three brands of Latin-style cheeses. Brand A exhibited the highest diversity, while Brand B was dominated by a single bacterial taxon, Exiguobacterium. Brand C showed intermediate diversity and was dominated by </w:t>
            </w:r>
            <w:r w:rsidRPr="00070C24">
              <w:rPr>
                <w:rFonts w:ascii="Arial" w:hAnsi="Arial" w:cs="Arial"/>
              </w:rPr>
              <w:lastRenderedPageBreak/>
              <w:t>Lactococcus. The study also identified differences in taxonomic distributions at different levels (phylum, class, order, family, and genus) among the cheese brands.</w:t>
            </w:r>
          </w:p>
        </w:tc>
        <w:tc>
          <w:tcPr>
            <w:tcW w:w="2354" w:type="dxa"/>
          </w:tcPr>
          <w:p w14:paraId="7A2080A8"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rPr>
              <w:lastRenderedPageBreak/>
              <w:t xml:space="preserve">The study provides views into the microbial composition of Latin-style cheeses using advanced sequencing techniques. The findings have implications for food safety and quality control in cheese </w:t>
            </w:r>
            <w:r w:rsidRPr="00070C24">
              <w:rPr>
                <w:rFonts w:ascii="Arial" w:hAnsi="Arial" w:cs="Arial"/>
              </w:rPr>
              <w:lastRenderedPageBreak/>
              <w:t>manufacturing, highlighting the importance of understanding the microbial ecology of cheese products. Further research in this area could help improve detection methods for pathogens and enhance food safety practices in the cheese industry.</w:t>
            </w:r>
          </w:p>
        </w:tc>
      </w:tr>
      <w:tr w:rsidR="00B01780" w:rsidRPr="00070C24" w14:paraId="5E3DCCE6" w14:textId="77777777" w:rsidTr="00E04401">
        <w:trPr>
          <w:trHeight w:val="273"/>
        </w:trPr>
        <w:tc>
          <w:tcPr>
            <w:tcW w:w="0" w:type="auto"/>
          </w:tcPr>
          <w:p w14:paraId="05394207" w14:textId="77777777" w:rsidR="00B01780" w:rsidRPr="00070C24" w:rsidRDefault="00B01780" w:rsidP="00E04401">
            <w:pPr>
              <w:spacing w:line="360" w:lineRule="auto"/>
              <w:rPr>
                <w:rFonts w:ascii="Arial" w:hAnsi="Arial" w:cs="Arial"/>
              </w:rPr>
            </w:pPr>
            <w:r w:rsidRPr="00070C24">
              <w:rPr>
                <w:rFonts w:ascii="Arial" w:hAnsi="Arial" w:cs="Arial"/>
              </w:rPr>
              <w:lastRenderedPageBreak/>
              <w:t>(Acciari et al., 2022)</w:t>
            </w:r>
          </w:p>
        </w:tc>
        <w:tc>
          <w:tcPr>
            <w:tcW w:w="0" w:type="auto"/>
          </w:tcPr>
          <w:p w14:paraId="00A6B527" w14:textId="77777777" w:rsidR="00B01780" w:rsidRPr="00070C24" w:rsidRDefault="00B01780" w:rsidP="00E04401">
            <w:pPr>
              <w:spacing w:line="360" w:lineRule="auto"/>
              <w:rPr>
                <w:rFonts w:ascii="Arial" w:hAnsi="Arial" w:cs="Arial"/>
                <w:shd w:val="clear" w:color="auto" w:fill="FFFFFF"/>
              </w:rPr>
            </w:pPr>
            <w:r w:rsidRPr="00070C24">
              <w:rPr>
                <w:rFonts w:ascii="Arial" w:hAnsi="Arial" w:cs="Arial"/>
                <w:shd w:val="clear" w:color="auto" w:fill="FFFFFF"/>
              </w:rPr>
              <w:t>PubMed</w:t>
            </w:r>
          </w:p>
        </w:tc>
        <w:tc>
          <w:tcPr>
            <w:tcW w:w="2313" w:type="dxa"/>
          </w:tcPr>
          <w:p w14:paraId="16804BE6" w14:textId="77777777" w:rsidR="00B01780" w:rsidRPr="00070C24" w:rsidRDefault="00B01780" w:rsidP="00E04401">
            <w:pPr>
              <w:spacing w:line="360" w:lineRule="auto"/>
              <w:rPr>
                <w:rFonts w:ascii="Arial" w:hAnsi="Arial" w:cs="Arial"/>
              </w:rPr>
            </w:pPr>
            <w:r w:rsidRPr="00070C24">
              <w:rPr>
                <w:rFonts w:ascii="Arial" w:hAnsi="Arial" w:cs="Arial"/>
              </w:rPr>
              <w:t xml:space="preserve">The study evaluates the presence of different </w:t>
            </w:r>
            <w:r w:rsidRPr="00070C24">
              <w:rPr>
                <w:rFonts w:ascii="Arial" w:hAnsi="Arial" w:cs="Arial"/>
                <w:i/>
              </w:rPr>
              <w:t xml:space="preserve">L. monocytogenes </w:t>
            </w:r>
            <w:r w:rsidRPr="00070C24">
              <w:rPr>
                <w:rFonts w:ascii="Arial" w:hAnsi="Arial" w:cs="Arial"/>
              </w:rPr>
              <w:t xml:space="preserve">strains in food and food production environments. It emphasizes the importance of typing more isolates from the same sample to detect the diversity of </w:t>
            </w:r>
            <w:r w:rsidRPr="00070C24">
              <w:rPr>
                <w:rFonts w:ascii="Arial" w:hAnsi="Arial" w:cs="Arial"/>
                <w:i/>
              </w:rPr>
              <w:t xml:space="preserve">L. monocytogenes </w:t>
            </w:r>
            <w:r w:rsidRPr="00070C24">
              <w:rPr>
                <w:rFonts w:ascii="Arial" w:hAnsi="Arial" w:cs="Arial"/>
              </w:rPr>
              <w:t xml:space="preserve">strains and </w:t>
            </w:r>
            <w:r w:rsidRPr="00070C24">
              <w:rPr>
                <w:rFonts w:ascii="Arial" w:hAnsi="Arial" w:cs="Arial"/>
              </w:rPr>
              <w:lastRenderedPageBreak/>
              <w:t>facilitate downstream investigations, such as foodborne outbreak inquiries.</w:t>
            </w:r>
          </w:p>
          <w:p w14:paraId="52EC68E8" w14:textId="77777777" w:rsidR="00B01780" w:rsidRPr="00070C24" w:rsidRDefault="00B01780" w:rsidP="00E04401">
            <w:pPr>
              <w:spacing w:line="360" w:lineRule="auto"/>
              <w:rPr>
                <w:rFonts w:ascii="Arial" w:hAnsi="Arial" w:cs="Arial"/>
                <w:shd w:val="clear" w:color="auto" w:fill="FFFFFF"/>
              </w:rPr>
            </w:pPr>
          </w:p>
        </w:tc>
        <w:tc>
          <w:tcPr>
            <w:tcW w:w="2223" w:type="dxa"/>
          </w:tcPr>
          <w:p w14:paraId="52817405"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This is a retrospective study conducted between 2011 and 2015. Multiple isolates (ranging from two to twenty-three) of </w:t>
            </w:r>
            <w:r w:rsidRPr="00070C24">
              <w:rPr>
                <w:rFonts w:ascii="Arial" w:hAnsi="Arial" w:cs="Arial"/>
                <w:i/>
              </w:rPr>
              <w:t xml:space="preserve">L. monocytogenes </w:t>
            </w:r>
            <w:r w:rsidRPr="00070C24">
              <w:rPr>
                <w:rFonts w:ascii="Arial" w:hAnsi="Arial" w:cs="Arial"/>
              </w:rPr>
              <w:t xml:space="preserve">were collected from each positive sample. The isolates were characterized using conventional serotyping, pulsed field gel </w:t>
            </w:r>
            <w:r w:rsidRPr="00070C24">
              <w:rPr>
                <w:rFonts w:ascii="Arial" w:hAnsi="Arial" w:cs="Arial"/>
              </w:rPr>
              <w:lastRenderedPageBreak/>
              <w:t>electrophoresis (PFGE), and whole genome sequencing (WGS).</w:t>
            </w:r>
          </w:p>
          <w:p w14:paraId="4B4CBCFB" w14:textId="77777777" w:rsidR="00B01780" w:rsidRPr="00070C24" w:rsidRDefault="00B01780" w:rsidP="00E04401">
            <w:pPr>
              <w:spacing w:line="360" w:lineRule="auto"/>
              <w:rPr>
                <w:rFonts w:ascii="Arial" w:hAnsi="Arial" w:cs="Arial"/>
                <w:shd w:val="clear" w:color="auto" w:fill="FFFFFF"/>
              </w:rPr>
            </w:pPr>
          </w:p>
        </w:tc>
        <w:tc>
          <w:tcPr>
            <w:tcW w:w="2057" w:type="dxa"/>
          </w:tcPr>
          <w:p w14:paraId="59FAC8DE"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The study was conducted in Italy, specifically at the Italian National Reference Laboratory for L. monocytogenes. It included isolates from various food categories (dairy products, meat products, fish and fishery products, composite </w:t>
            </w:r>
            <w:r w:rsidRPr="00070C24">
              <w:rPr>
                <w:rFonts w:ascii="Arial" w:hAnsi="Arial" w:cs="Arial"/>
              </w:rPr>
              <w:lastRenderedPageBreak/>
              <w:t>dishes) and food processing environmental samples.</w:t>
            </w:r>
          </w:p>
          <w:p w14:paraId="04F8C4C5" w14:textId="77777777" w:rsidR="00B01780" w:rsidRPr="00070C24" w:rsidRDefault="00B01780" w:rsidP="00E04401">
            <w:pPr>
              <w:spacing w:line="360" w:lineRule="auto"/>
              <w:rPr>
                <w:rFonts w:ascii="Arial" w:hAnsi="Arial" w:cs="Arial"/>
              </w:rPr>
            </w:pPr>
          </w:p>
        </w:tc>
        <w:tc>
          <w:tcPr>
            <w:tcW w:w="3007" w:type="dxa"/>
          </w:tcPr>
          <w:p w14:paraId="56A15E0E" w14:textId="77777777" w:rsidR="00B01780" w:rsidRPr="00070C24" w:rsidRDefault="00B01780" w:rsidP="00E04401">
            <w:pPr>
              <w:spacing w:line="360" w:lineRule="auto"/>
              <w:rPr>
                <w:rFonts w:ascii="Arial" w:hAnsi="Arial" w:cs="Arial"/>
              </w:rPr>
            </w:pPr>
            <w:r w:rsidRPr="00070C24">
              <w:rPr>
                <w:rFonts w:ascii="Arial" w:hAnsi="Arial" w:cs="Arial"/>
              </w:rPr>
              <w:lastRenderedPageBreak/>
              <w:t xml:space="preserve">Presence of different </w:t>
            </w:r>
            <w:r w:rsidRPr="00070C24">
              <w:rPr>
                <w:rFonts w:ascii="Arial" w:hAnsi="Arial" w:cs="Arial"/>
                <w:i/>
              </w:rPr>
              <w:t xml:space="preserve">L. monocytogenes </w:t>
            </w:r>
            <w:r w:rsidRPr="00070C24">
              <w:rPr>
                <w:rFonts w:ascii="Arial" w:hAnsi="Arial" w:cs="Arial"/>
              </w:rPr>
              <w:t>strains in food and environmental samples</w:t>
            </w:r>
          </w:p>
          <w:p w14:paraId="07A22A89" w14:textId="77777777" w:rsidR="00B01780" w:rsidRPr="00070C24" w:rsidRDefault="00B01780" w:rsidP="00E04401">
            <w:pPr>
              <w:spacing w:line="360" w:lineRule="auto"/>
              <w:rPr>
                <w:rFonts w:ascii="Arial" w:hAnsi="Arial" w:cs="Arial"/>
              </w:rPr>
            </w:pPr>
            <w:r w:rsidRPr="00070C24">
              <w:rPr>
                <w:rFonts w:ascii="Arial" w:hAnsi="Arial" w:cs="Arial"/>
              </w:rPr>
              <w:t xml:space="preserve">Serotypes of </w:t>
            </w:r>
            <w:r w:rsidRPr="00070C24">
              <w:rPr>
                <w:rFonts w:ascii="Arial" w:hAnsi="Arial" w:cs="Arial"/>
                <w:i/>
              </w:rPr>
              <w:t xml:space="preserve">L. monocytogenes </w:t>
            </w:r>
            <w:r w:rsidRPr="00070C24">
              <w:rPr>
                <w:rFonts w:ascii="Arial" w:hAnsi="Arial" w:cs="Arial"/>
              </w:rPr>
              <w:t>isolates</w:t>
            </w:r>
          </w:p>
          <w:p w14:paraId="73468F60" w14:textId="77777777" w:rsidR="00B01780" w:rsidRPr="00070C24" w:rsidRDefault="00B01780" w:rsidP="00E04401">
            <w:pPr>
              <w:spacing w:line="360" w:lineRule="auto"/>
              <w:rPr>
                <w:rFonts w:ascii="Arial" w:hAnsi="Arial" w:cs="Arial"/>
              </w:rPr>
            </w:pPr>
            <w:r w:rsidRPr="00070C24">
              <w:rPr>
                <w:rFonts w:ascii="Arial" w:hAnsi="Arial" w:cs="Arial"/>
              </w:rPr>
              <w:t>Pulsotypes determined by PFGE</w:t>
            </w:r>
          </w:p>
          <w:p w14:paraId="74F74C42" w14:textId="77777777" w:rsidR="00B01780" w:rsidRPr="00070C24" w:rsidRDefault="00B01780" w:rsidP="00E04401">
            <w:pPr>
              <w:spacing w:line="360" w:lineRule="auto"/>
              <w:rPr>
                <w:rFonts w:ascii="Arial" w:hAnsi="Arial" w:cs="Arial"/>
              </w:rPr>
            </w:pPr>
            <w:r w:rsidRPr="00070C24">
              <w:rPr>
                <w:rFonts w:ascii="Arial" w:hAnsi="Arial" w:cs="Arial"/>
              </w:rPr>
              <w:t>Core genome multi-locus sequence typing (cgMLST) patterns obtained from WGS data.</w:t>
            </w:r>
          </w:p>
        </w:tc>
        <w:tc>
          <w:tcPr>
            <w:tcW w:w="2100" w:type="dxa"/>
          </w:tcPr>
          <w:p w14:paraId="4E357FE1" w14:textId="77777777" w:rsidR="00B01780" w:rsidRPr="00070C24" w:rsidRDefault="00B01780" w:rsidP="00E04401">
            <w:pPr>
              <w:spacing w:line="360" w:lineRule="auto"/>
              <w:rPr>
                <w:rFonts w:ascii="Arial" w:hAnsi="Arial" w:cs="Arial"/>
              </w:rPr>
            </w:pPr>
            <w:r w:rsidRPr="00070C24">
              <w:rPr>
                <w:rFonts w:ascii="Arial" w:hAnsi="Arial" w:cs="Arial"/>
              </w:rPr>
              <w:t xml:space="preserve">Serotyping was performed using commercial sera for somatic (O) and flagellar (H) antigens. PFGE analysis was conducted using the PulseNet protocol with restriction enzymes AscI and ApaI. WGS was carried out on a subset of isolates with </w:t>
            </w:r>
            <w:r w:rsidRPr="00070C24">
              <w:rPr>
                <w:rFonts w:ascii="Arial" w:hAnsi="Arial" w:cs="Arial"/>
              </w:rPr>
              <w:lastRenderedPageBreak/>
              <w:t>indistinguishable PFGE patterns.</w:t>
            </w:r>
          </w:p>
          <w:p w14:paraId="7577B6F9" w14:textId="77777777" w:rsidR="00B01780" w:rsidRPr="00070C24" w:rsidRDefault="00B01780" w:rsidP="00E04401">
            <w:pPr>
              <w:spacing w:line="360" w:lineRule="auto"/>
              <w:rPr>
                <w:rFonts w:ascii="Arial" w:hAnsi="Arial" w:cs="Arial"/>
              </w:rPr>
            </w:pPr>
          </w:p>
        </w:tc>
        <w:tc>
          <w:tcPr>
            <w:tcW w:w="2583" w:type="dxa"/>
          </w:tcPr>
          <w:p w14:paraId="0CB35F4D" w14:textId="77777777" w:rsidR="00B01780" w:rsidRPr="00070C24" w:rsidRDefault="00B01780" w:rsidP="00E04401">
            <w:pPr>
              <w:spacing w:line="360" w:lineRule="auto"/>
              <w:rPr>
                <w:rFonts w:ascii="Arial" w:hAnsi="Arial" w:cs="Arial"/>
              </w:rPr>
            </w:pPr>
            <w:r w:rsidRPr="00070C24">
              <w:rPr>
                <w:rFonts w:ascii="Arial" w:hAnsi="Arial" w:cs="Arial"/>
              </w:rPr>
              <w:lastRenderedPageBreak/>
              <w:t>Statistical analyses included Bayesian approaches, Fisher exact test, and associations between food categories and the percentage of positive samples for multiple pulsotypes. Cluster analyses were performed on WGS data to visualize genetic relationships among strains.</w:t>
            </w:r>
          </w:p>
        </w:tc>
        <w:tc>
          <w:tcPr>
            <w:tcW w:w="3386" w:type="dxa"/>
          </w:tcPr>
          <w:p w14:paraId="585BD5BA" w14:textId="77777777" w:rsidR="00B01780" w:rsidRPr="00070C24" w:rsidRDefault="00B01780" w:rsidP="00E04401">
            <w:pPr>
              <w:spacing w:line="360" w:lineRule="auto"/>
              <w:rPr>
                <w:rFonts w:ascii="Arial" w:hAnsi="Arial" w:cs="Arial"/>
              </w:rPr>
            </w:pPr>
            <w:r w:rsidRPr="00070C24">
              <w:rPr>
                <w:rFonts w:ascii="Arial" w:hAnsi="Arial" w:cs="Arial"/>
              </w:rPr>
              <w:t xml:space="preserve">30.4% of tested samples contained multiple </w:t>
            </w:r>
            <w:r w:rsidRPr="00070C24">
              <w:rPr>
                <w:rFonts w:ascii="Arial" w:hAnsi="Arial" w:cs="Arial"/>
                <w:i/>
              </w:rPr>
              <w:t xml:space="preserve">L. monocytogenes </w:t>
            </w:r>
            <w:r w:rsidRPr="00070C24">
              <w:rPr>
                <w:rFonts w:ascii="Arial" w:hAnsi="Arial" w:cs="Arial"/>
              </w:rPr>
              <w:t>strains.</w:t>
            </w:r>
          </w:p>
          <w:p w14:paraId="562328B8" w14:textId="77777777" w:rsidR="00B01780" w:rsidRPr="00070C24" w:rsidRDefault="00B01780" w:rsidP="00E04401">
            <w:pPr>
              <w:spacing w:line="360" w:lineRule="auto"/>
              <w:rPr>
                <w:rFonts w:ascii="Arial" w:hAnsi="Arial" w:cs="Arial"/>
              </w:rPr>
            </w:pPr>
            <w:r w:rsidRPr="00070C24">
              <w:rPr>
                <w:rFonts w:ascii="Arial" w:hAnsi="Arial" w:cs="Arial"/>
              </w:rPr>
              <w:t>Serotype 1/2a was the most common, followed by serotypes 1/2b and 1/2c.</w:t>
            </w:r>
          </w:p>
          <w:p w14:paraId="1DDE071E" w14:textId="77777777" w:rsidR="00B01780" w:rsidRPr="00070C24" w:rsidRDefault="00B01780" w:rsidP="00E04401">
            <w:pPr>
              <w:spacing w:line="360" w:lineRule="auto"/>
              <w:rPr>
                <w:rFonts w:ascii="Arial" w:hAnsi="Arial" w:cs="Arial"/>
              </w:rPr>
            </w:pPr>
            <w:r w:rsidRPr="00070C24">
              <w:rPr>
                <w:rFonts w:ascii="Arial" w:hAnsi="Arial" w:cs="Arial"/>
              </w:rPr>
              <w:t>PFGE subtyping yielded numerous pulsotypes, with greater genetic variability observed in dairy matrices.</w:t>
            </w:r>
          </w:p>
          <w:p w14:paraId="69C3CF6E" w14:textId="77777777" w:rsidR="00B01780" w:rsidRPr="00070C24" w:rsidRDefault="00B01780" w:rsidP="00E04401">
            <w:pPr>
              <w:spacing w:line="360" w:lineRule="auto"/>
              <w:rPr>
                <w:rFonts w:ascii="Arial" w:hAnsi="Arial" w:cs="Arial"/>
              </w:rPr>
            </w:pPr>
            <w:r w:rsidRPr="00070C24">
              <w:rPr>
                <w:rFonts w:ascii="Arial" w:hAnsi="Arial" w:cs="Arial"/>
              </w:rPr>
              <w:t>WGS analysis showed high concordance with PFGE results, with minimal differences observed among strains from the same sample.</w:t>
            </w:r>
          </w:p>
        </w:tc>
        <w:tc>
          <w:tcPr>
            <w:tcW w:w="2354" w:type="dxa"/>
          </w:tcPr>
          <w:p w14:paraId="17F99E62" w14:textId="77777777" w:rsidR="00B01780" w:rsidRPr="00070C24" w:rsidRDefault="00B01780" w:rsidP="00E04401">
            <w:pPr>
              <w:rPr>
                <w:rFonts w:ascii="Arial" w:hAnsi="Arial" w:cs="Arial"/>
                <w:shd w:val="clear" w:color="auto" w:fill="FFFFFF"/>
              </w:rPr>
            </w:pPr>
            <w:r w:rsidRPr="00070C24">
              <w:rPr>
                <w:rFonts w:ascii="Arial" w:hAnsi="Arial" w:cs="Arial"/>
                <w:shd w:val="clear" w:color="auto" w:fill="FFFFFF"/>
              </w:rPr>
              <w:t xml:space="preserve">The study underscores the importance of typing multiple isolates from the same sample to capture the diversity of </w:t>
            </w:r>
            <w:r w:rsidRPr="00070C24">
              <w:rPr>
                <w:rFonts w:ascii="Arial" w:hAnsi="Arial" w:cs="Arial"/>
                <w:i/>
                <w:shd w:val="clear" w:color="auto" w:fill="FFFFFF"/>
              </w:rPr>
              <w:t xml:space="preserve">L. monocytogenes </w:t>
            </w:r>
            <w:r w:rsidRPr="00070C24">
              <w:rPr>
                <w:rFonts w:ascii="Arial" w:hAnsi="Arial" w:cs="Arial"/>
                <w:shd w:val="clear" w:color="auto" w:fill="FFFFFF"/>
              </w:rPr>
              <w:t xml:space="preserve">strains. This approach enhances the sensitivity of surveillance activities and improves the probability of source attribution during foodborne outbreak investigations. </w:t>
            </w:r>
            <w:r w:rsidRPr="00070C24">
              <w:rPr>
                <w:rFonts w:ascii="Arial" w:hAnsi="Arial" w:cs="Arial"/>
              </w:rPr>
              <w:t xml:space="preserve">Additionally, the use of WGS provides a more discriminatory alternative to traditional methods </w:t>
            </w:r>
            <w:r w:rsidRPr="00070C24">
              <w:rPr>
                <w:rFonts w:ascii="Arial" w:hAnsi="Arial" w:cs="Arial"/>
              </w:rPr>
              <w:lastRenderedPageBreak/>
              <w:t>like PFGE, offering valuable insights into strain diversity and genetic relationships</w:t>
            </w:r>
          </w:p>
        </w:tc>
      </w:tr>
    </w:tbl>
    <w:p w14:paraId="03EA6F59" w14:textId="77777777" w:rsidR="00B01780" w:rsidRPr="00070C24" w:rsidRDefault="00B01780" w:rsidP="00B01780"/>
    <w:p w14:paraId="23099615" w14:textId="77777777" w:rsidR="00755780" w:rsidRDefault="00755780"/>
    <w:sectPr w:rsidR="00755780" w:rsidSect="00B01780">
      <w:pgSz w:w="25920" w:h="1728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E0944"/>
    <w:multiLevelType w:val="multilevel"/>
    <w:tmpl w:val="5D1425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21416FD6"/>
    <w:multiLevelType w:val="hybridMultilevel"/>
    <w:tmpl w:val="85F8F7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FF20106"/>
    <w:multiLevelType w:val="multilevel"/>
    <w:tmpl w:val="F1026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0E674A"/>
    <w:multiLevelType w:val="multilevel"/>
    <w:tmpl w:val="7BA607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45D83714"/>
    <w:multiLevelType w:val="multilevel"/>
    <w:tmpl w:val="4E86E4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46E62441"/>
    <w:multiLevelType w:val="multilevel"/>
    <w:tmpl w:val="1DBABC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61FE2010"/>
    <w:multiLevelType w:val="hybridMultilevel"/>
    <w:tmpl w:val="72A839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3103235"/>
    <w:multiLevelType w:val="multilevel"/>
    <w:tmpl w:val="9C30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EA4FBA"/>
    <w:multiLevelType w:val="multilevel"/>
    <w:tmpl w:val="D6065F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093695641">
    <w:abstractNumId w:val="8"/>
  </w:num>
  <w:num w:numId="2" w16cid:durableId="991450691">
    <w:abstractNumId w:val="2"/>
  </w:num>
  <w:num w:numId="3" w16cid:durableId="543444044">
    <w:abstractNumId w:val="5"/>
  </w:num>
  <w:num w:numId="4" w16cid:durableId="1503859066">
    <w:abstractNumId w:val="0"/>
  </w:num>
  <w:num w:numId="5" w16cid:durableId="88626444">
    <w:abstractNumId w:val="3"/>
  </w:num>
  <w:num w:numId="6" w16cid:durableId="1384401376">
    <w:abstractNumId w:val="4"/>
  </w:num>
  <w:num w:numId="7" w16cid:durableId="139083753">
    <w:abstractNumId w:val="6"/>
  </w:num>
  <w:num w:numId="8" w16cid:durableId="1558854128">
    <w:abstractNumId w:val="7"/>
  </w:num>
  <w:num w:numId="9" w16cid:durableId="1853103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780"/>
    <w:rsid w:val="00011C58"/>
    <w:rsid w:val="0006021D"/>
    <w:rsid w:val="00331A6B"/>
    <w:rsid w:val="00755780"/>
    <w:rsid w:val="00857596"/>
    <w:rsid w:val="00B01780"/>
    <w:rsid w:val="00C025DD"/>
    <w:rsid w:val="00C83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22AE5"/>
  <w15:chartTrackingRefBased/>
  <w15:docId w15:val="{3BD6C725-E5E7-47BF-A9E7-269497739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780"/>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B017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17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17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17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17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17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7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7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7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7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17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17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17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17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7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7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7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780"/>
    <w:rPr>
      <w:rFonts w:eastAsiaTheme="majorEastAsia" w:cstheme="majorBidi"/>
      <w:color w:val="272727" w:themeColor="text1" w:themeTint="D8"/>
    </w:rPr>
  </w:style>
  <w:style w:type="paragraph" w:styleId="Title">
    <w:name w:val="Title"/>
    <w:basedOn w:val="Normal"/>
    <w:next w:val="Normal"/>
    <w:link w:val="TitleChar"/>
    <w:uiPriority w:val="10"/>
    <w:qFormat/>
    <w:rsid w:val="00B017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7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7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7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780"/>
    <w:pPr>
      <w:spacing w:before="160"/>
      <w:jc w:val="center"/>
    </w:pPr>
    <w:rPr>
      <w:i/>
      <w:iCs/>
      <w:color w:val="404040" w:themeColor="text1" w:themeTint="BF"/>
    </w:rPr>
  </w:style>
  <w:style w:type="character" w:customStyle="1" w:styleId="QuoteChar">
    <w:name w:val="Quote Char"/>
    <w:basedOn w:val="DefaultParagraphFont"/>
    <w:link w:val="Quote"/>
    <w:uiPriority w:val="29"/>
    <w:rsid w:val="00B01780"/>
    <w:rPr>
      <w:i/>
      <w:iCs/>
      <w:color w:val="404040" w:themeColor="text1" w:themeTint="BF"/>
    </w:rPr>
  </w:style>
  <w:style w:type="paragraph" w:styleId="ListParagraph">
    <w:name w:val="List Paragraph"/>
    <w:basedOn w:val="Normal"/>
    <w:uiPriority w:val="34"/>
    <w:qFormat/>
    <w:rsid w:val="00B01780"/>
    <w:pPr>
      <w:ind w:left="720"/>
      <w:contextualSpacing/>
    </w:pPr>
  </w:style>
  <w:style w:type="character" w:styleId="IntenseEmphasis">
    <w:name w:val="Intense Emphasis"/>
    <w:basedOn w:val="DefaultParagraphFont"/>
    <w:uiPriority w:val="21"/>
    <w:qFormat/>
    <w:rsid w:val="00B01780"/>
    <w:rPr>
      <w:i/>
      <w:iCs/>
      <w:color w:val="0F4761" w:themeColor="accent1" w:themeShade="BF"/>
    </w:rPr>
  </w:style>
  <w:style w:type="paragraph" w:styleId="IntenseQuote">
    <w:name w:val="Intense Quote"/>
    <w:basedOn w:val="Normal"/>
    <w:next w:val="Normal"/>
    <w:link w:val="IntenseQuoteChar"/>
    <w:uiPriority w:val="30"/>
    <w:qFormat/>
    <w:rsid w:val="00B017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780"/>
    <w:rPr>
      <w:i/>
      <w:iCs/>
      <w:color w:val="0F4761" w:themeColor="accent1" w:themeShade="BF"/>
    </w:rPr>
  </w:style>
  <w:style w:type="character" w:styleId="IntenseReference">
    <w:name w:val="Intense Reference"/>
    <w:basedOn w:val="DefaultParagraphFont"/>
    <w:uiPriority w:val="32"/>
    <w:qFormat/>
    <w:rsid w:val="00B01780"/>
    <w:rPr>
      <w:b/>
      <w:bCs/>
      <w:smallCaps/>
      <w:color w:val="0F4761" w:themeColor="accent1" w:themeShade="BF"/>
      <w:spacing w:val="5"/>
    </w:rPr>
  </w:style>
  <w:style w:type="character" w:styleId="Emphasis">
    <w:name w:val="Emphasis"/>
    <w:basedOn w:val="DefaultParagraphFont"/>
    <w:uiPriority w:val="20"/>
    <w:qFormat/>
    <w:rsid w:val="00B01780"/>
    <w:rPr>
      <w:i/>
      <w:iCs/>
    </w:rPr>
  </w:style>
  <w:style w:type="table" w:styleId="TableGrid">
    <w:name w:val="Table Grid"/>
    <w:basedOn w:val="TableNormal"/>
    <w:uiPriority w:val="39"/>
    <w:rsid w:val="00B0178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4951</Words>
  <Characters>28224</Characters>
  <Application>Microsoft Office Word</Application>
  <DocSecurity>0</DocSecurity>
  <Lines>235</Lines>
  <Paragraphs>66</Paragraphs>
  <ScaleCrop>false</ScaleCrop>
  <Company>Springer Nature</Company>
  <LinksUpToDate>false</LinksUpToDate>
  <CharactersWithSpaces>33109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2025-08-28T04:48:00Z</dcterms:created>
  <dcterms:modified xsi:type="dcterms:W3CDTF">2025-08-28T04:49:00Z</dcterms:modified>
</cp:coreProperties>
</file>