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761"/>
        <w:gridCol w:w="2249"/>
      </w:tblGrid>
      <w:tr>
        <w:tblPrEx>
          <w:shd w:val="clear" w:color="auto" w:fill="4472c4"/>
        </w:tblPrEx>
        <w:trPr>
          <w:trHeight w:val="300" w:hRule="atLeast"/>
        </w:trPr>
        <w:tc>
          <w:tcPr>
            <w:tcW w:type="dxa" w:w="6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Characteristic </w:t>
            </w:r>
          </w:p>
        </w:tc>
        <w:tc>
          <w:tcPr>
            <w:tcW w:type="dxa" w:w="2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  Value (N)     (Unit)</w:t>
            </w:r>
          </w:p>
        </w:tc>
      </w:tr>
      <w:tr>
        <w:tblPrEx>
          <w:shd w:val="clear" w:color="auto" w:fill="cdd4e9"/>
        </w:tblPrEx>
        <w:trPr>
          <w:trHeight w:val="13800" w:hRule="atLeast"/>
        </w:trPr>
        <w:tc>
          <w:tcPr>
            <w:tcW w:type="dxa" w:w="6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Indication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BRCA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Ductal carcinoma in situ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nvasive ductal carcinoma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   </w:t>
            </w:r>
            <w:r>
              <w:rPr>
                <w:rFonts w:ascii="Times New Roman" w:hAnsi="Times New Roman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lobular carcinoma</w:t>
            </w:r>
            <w:r>
              <w:rPr>
                <w:rFonts w:ascii="Times New Roman" w:hAnsi="Times New Roman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in situ   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   I</w:t>
            </w:r>
            <w:r>
              <w:rPr>
                <w:rFonts w:ascii="Times New Roman" w:hAnsi="Times New Roman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nvasive lobular carcinoma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Pre-operative breast size estimation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A cup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B cup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C cup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Pre-operative breast measurement</w:t>
            </w:r>
          </w:p>
          <w:p>
            <w:pPr>
              <w:pStyle w:val="Body"/>
              <w:bidi w:val="0"/>
              <w:spacing w:after="0" w:line="240" w:lineRule="auto"/>
              <w:ind w:left="193" w:right="0" w:hanging="193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  Anterior skin envelope circumference including nipple, Cm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Left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Mean  </w:t>
            </w:r>
          </w:p>
          <w:p>
            <w:pPr>
              <w:pStyle w:val="Body"/>
              <w:bidi w:val="0"/>
              <w:spacing w:after="0" w:line="240" w:lineRule="auto"/>
              <w:ind w:left="193" w:right="0" w:hanging="193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Range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Right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Mean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Range</w:t>
            </w:r>
          </w:p>
          <w:p>
            <w:pPr>
              <w:pStyle w:val="Body"/>
              <w:bidi w:val="0"/>
              <w:spacing w:after="0" w:line="240" w:lineRule="auto"/>
              <w:ind w:left="193" w:right="0" w:hanging="193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 Anterior skin envelope without nipple areolar complex, Cm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Left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Mean  </w:t>
            </w:r>
          </w:p>
          <w:p>
            <w:pPr>
              <w:pStyle w:val="Body"/>
              <w:bidi w:val="0"/>
              <w:spacing w:after="0" w:line="240" w:lineRule="auto"/>
              <w:ind w:left="193" w:right="0" w:hanging="193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Range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Right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Mean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Range</w:t>
            </w:r>
          </w:p>
          <w:p>
            <w:pPr>
              <w:pStyle w:val="Body"/>
              <w:bidi w:val="0"/>
              <w:spacing w:after="0" w:line="240" w:lineRule="auto"/>
              <w:ind w:left="193" w:right="0" w:hanging="193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 Sternal notch to nipple length, Cm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Left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Mean  </w:t>
            </w:r>
          </w:p>
          <w:p>
            <w:pPr>
              <w:pStyle w:val="Body"/>
              <w:bidi w:val="0"/>
              <w:spacing w:after="0" w:line="240" w:lineRule="auto"/>
              <w:ind w:left="193" w:right="0" w:hanging="193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Range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Right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Mean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Range</w:t>
            </w:r>
          </w:p>
          <w:p>
            <w:pPr>
              <w:pStyle w:val="Body"/>
              <w:bidi w:val="0"/>
              <w:spacing w:after="0" w:line="240" w:lineRule="auto"/>
              <w:ind w:left="29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Nipple to inframammary fold length, Cm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Left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Mean  </w:t>
            </w:r>
          </w:p>
          <w:p>
            <w:pPr>
              <w:pStyle w:val="Body"/>
              <w:bidi w:val="0"/>
              <w:spacing w:after="0" w:line="240" w:lineRule="auto"/>
              <w:ind w:left="193" w:right="0" w:hanging="193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Range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Right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Mean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Range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Neo-adjuvant treatment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Chemotherapy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Radiation therapy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Hormonal therapy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Adjuvant treatment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Radiation</w:t>
            </w:r>
          </w:p>
        </w:tc>
        <w:tc>
          <w:tcPr>
            <w:tcW w:type="dxa" w:w="2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        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      7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2.7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%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13.6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%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4                 18.1%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1                 4.54%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1                 4.54%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16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      7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2.7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%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4            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18.1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%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2            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%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Times New Roman" w:hAnsi="Times New Roman" w:hint="default"/>
                <w:outline w:val="0"/>
                <w:color w:val="1a1718"/>
                <w:sz w:val="24"/>
                <w:szCs w:val="24"/>
                <w:u w:color="1a1718"/>
                <w:rtl w:val="1"/>
                <w14:textFill>
                  <w14:solidFill>
                    <w14:srgbClr w14:val="1A1718"/>
                  </w14:solidFill>
                </w14:textFill>
              </w:rPr>
              <w:t>±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2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14:textFill>
                  <w14:solidFill>
                    <w14:srgbClr w14:val="1A1718"/>
                  </w14:solidFill>
                </w14:textFill>
              </w:rPr>
              <w:t>.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cm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20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cm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Times New Roman" w:hAnsi="Times New Roman" w:hint="default"/>
                <w:outline w:val="0"/>
                <w:color w:val="1a1718"/>
                <w:sz w:val="24"/>
                <w:szCs w:val="24"/>
                <w:u w:color="1a1718"/>
                <w:rtl w:val="1"/>
                <w14:textFill>
                  <w14:solidFill>
                    <w14:srgbClr w14:val="1A1718"/>
                  </w14:solidFill>
                </w14:textFill>
              </w:rPr>
              <w:t>±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2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14:textFill>
                  <w14:solidFill>
                    <w14:srgbClr w14:val="1A1718"/>
                  </w14:solidFill>
                </w14:textFill>
              </w:rPr>
              <w:t>.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cm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20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cm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outline w:val="0"/>
                <w:color w:val="000000"/>
                <w:sz w:val="24"/>
                <w:szCs w:val="24"/>
                <w:u w:color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   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outline w:val="0"/>
                <w:color w:val="1a1718"/>
                <w:sz w:val="24"/>
                <w:szCs w:val="24"/>
                <w:u w:color="1a1718"/>
                <w:rtl w:val="0"/>
                <w14:textFill>
                  <w14:solidFill>
                    <w14:srgbClr w14:val="1A1718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14.5</w:t>
            </w:r>
            <w:r>
              <w:rPr>
                <w:rFonts w:ascii="Times New Roman" w:hAnsi="Times New Roman" w:hint="default"/>
                <w:outline w:val="0"/>
                <w:color w:val="1a1718"/>
                <w:sz w:val="24"/>
                <w:szCs w:val="24"/>
                <w:u w:color="1a1718"/>
                <w:rtl w:val="1"/>
                <w14:textFill>
                  <w14:solidFill>
                    <w14:srgbClr w14:val="1A1718"/>
                  </w14:solidFill>
                </w14:textFill>
              </w:rPr>
              <w:t>±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1.64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 xml:space="preserve"> cm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-16 cm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14.75</w:t>
            </w:r>
            <w:r>
              <w:rPr>
                <w:rFonts w:ascii="Times New Roman" w:hAnsi="Times New Roman" w:hint="default"/>
                <w:outline w:val="0"/>
                <w:color w:val="1a1718"/>
                <w:sz w:val="24"/>
                <w:szCs w:val="24"/>
                <w:u w:color="1a1718"/>
                <w:rtl w:val="1"/>
                <w14:textFill>
                  <w14:solidFill>
                    <w14:srgbClr w14:val="1A1718"/>
                  </w14:solidFill>
                </w14:textFill>
              </w:rPr>
              <w:t>±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14:textFill>
                  <w14:solidFill>
                    <w14:srgbClr w14:val="1A1718"/>
                  </w14:solidFill>
                </w14:textFill>
              </w:rPr>
              <w:t>1.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67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cm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.5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cm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outline w:val="0"/>
                <w:color w:val="1a1718"/>
                <w:sz w:val="24"/>
                <w:szCs w:val="24"/>
                <w:u w:color="1a1718"/>
                <w:rtl w:val="0"/>
                <w14:textFill>
                  <w14:solidFill>
                    <w14:srgbClr w14:val="1A1718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14:textFill>
                  <w14:solidFill>
                    <w14:srgbClr w14:val="1A1718"/>
                  </w14:solidFill>
                </w14:textFill>
              </w:rPr>
              <w:t>21.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4</w:t>
            </w:r>
            <w:r>
              <w:rPr>
                <w:rFonts w:ascii="Times New Roman" w:hAnsi="Times New Roman" w:hint="default"/>
                <w:outline w:val="0"/>
                <w:color w:val="1a1718"/>
                <w:sz w:val="24"/>
                <w:szCs w:val="24"/>
                <w:u w:color="1a1718"/>
                <w:rtl w:val="1"/>
                <w14:textFill>
                  <w14:solidFill>
                    <w14:srgbClr w14:val="1A1718"/>
                  </w14:solidFill>
                </w14:textFill>
              </w:rPr>
              <w:t>±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3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 xml:space="preserve"> cm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7.5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cm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outline w:val="0"/>
                <w:color w:val="1a1718"/>
                <w:sz w:val="24"/>
                <w:szCs w:val="24"/>
                <w:u w:color="1a1718"/>
                <w:rtl w:val="0"/>
                <w14:textFill>
                  <w14:solidFill>
                    <w14:srgbClr w14:val="1A1718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14:textFill>
                  <w14:solidFill>
                    <w14:srgbClr w14:val="1A1718"/>
                  </w14:solidFill>
                </w14:textFill>
              </w:rPr>
              <w:t>21.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35</w:t>
            </w:r>
            <w:r>
              <w:rPr>
                <w:rFonts w:ascii="Times New Roman" w:hAnsi="Times New Roman" w:hint="default"/>
                <w:outline w:val="0"/>
                <w:color w:val="1a1718"/>
                <w:sz w:val="24"/>
                <w:szCs w:val="24"/>
                <w:u w:color="1a1718"/>
                <w:rtl w:val="1"/>
                <w14:textFill>
                  <w14:solidFill>
                    <w14:srgbClr w14:val="1A1718"/>
                  </w14:solidFill>
                </w14:textFill>
              </w:rPr>
              <w:t>±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2.5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 xml:space="preserve"> cm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 xml:space="preserve">     1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7.5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 xml:space="preserve"> -2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5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 xml:space="preserve"> cm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outline w:val="0"/>
                <w:color w:val="1a1718"/>
                <w:sz w:val="24"/>
                <w:szCs w:val="24"/>
                <w:u w:color="1a1718"/>
                <w:rtl w:val="0"/>
                <w14:textFill>
                  <w14:solidFill>
                    <w14:srgbClr w14:val="1A1718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14:textFill>
                  <w14:solidFill>
                    <w14:srgbClr w14:val="1A1718"/>
                  </w14:solidFill>
                </w14:textFill>
              </w:rPr>
              <w:t>8</w:t>
            </w:r>
            <w:r>
              <w:rPr>
                <w:rFonts w:ascii="Times New Roman" w:hAnsi="Times New Roman" w:hint="default"/>
                <w:outline w:val="0"/>
                <w:color w:val="1a1718"/>
                <w:sz w:val="24"/>
                <w:szCs w:val="24"/>
                <w:u w:color="1a1718"/>
                <w:rtl w:val="1"/>
                <w14:textFill>
                  <w14:solidFill>
                    <w14:srgbClr w14:val="1A1718"/>
                  </w14:solidFill>
                </w14:textFill>
              </w:rPr>
              <w:t>±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1.5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 xml:space="preserve"> cm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5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-1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1.5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 xml:space="preserve"> cm 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8</w:t>
            </w:r>
            <w:r>
              <w:rPr>
                <w:rFonts w:ascii="Times New Roman" w:hAnsi="Times New Roman" w:hint="default"/>
                <w:outline w:val="0"/>
                <w:color w:val="1a1718"/>
                <w:sz w:val="24"/>
                <w:szCs w:val="24"/>
                <w:u w:color="1a1718"/>
                <w:rtl w:val="1"/>
                <w14:textFill>
                  <w14:solidFill>
                    <w14:srgbClr w14:val="1A1718"/>
                  </w14:solidFill>
                </w14:textFill>
              </w:rPr>
              <w:t>±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1.4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 xml:space="preserve"> cm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6-1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1.5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cm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13.6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%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4.54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%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4.54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%</w:t>
            </w:r>
          </w:p>
          <w:p>
            <w:pPr>
              <w:pStyle w:val="Body"/>
              <w:spacing w:after="0" w:line="240" w:lineRule="auto"/>
              <w:jc w:val="both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6900" w:hRule="atLeast"/>
        </w:trPr>
        <w:tc>
          <w:tcPr>
            <w:tcW w:type="dxa" w:w="6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Excision weight,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gr.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Right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Mean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Range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Left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Mean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Range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Implant volume, cc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Right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Mean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Range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Left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Mean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Range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Operative plane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Pre-pectoral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Sub-pectoral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Implant selection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Motiva Ergonomix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Full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Demi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Mini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Accuracy rate</w:t>
            </w:r>
          </w:p>
        </w:tc>
        <w:tc>
          <w:tcPr>
            <w:tcW w:type="dxa" w:w="2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gr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95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 gr</w:t>
            </w: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2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56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gr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100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500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gr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cc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55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420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cc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 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315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cc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2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05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cc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breast 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%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breast   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11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26.8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%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68.2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%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4.87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%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91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%</w:t>
            </w:r>
          </w:p>
        </w:tc>
      </w:tr>
    </w:tbl>
    <w:p>
      <w:pPr>
        <w:pStyle w:val="Body"/>
        <w:keepNext w:val="1"/>
        <w:keepLines w:val="1"/>
        <w:bidi w:val="1"/>
        <w:spacing w:after="0" w:line="240" w:lineRule="auto"/>
        <w:ind w:left="720" w:right="0" w:firstLine="0"/>
        <w:jc w:val="right"/>
        <w:rPr>
          <w:sz w:val="24"/>
          <w:szCs w:val="24"/>
          <w:rtl w:val="1"/>
        </w:rPr>
      </w:pPr>
    </w:p>
    <w:p>
      <w:pPr>
        <w:pStyle w:val="Default"/>
        <w:bidi w:val="0"/>
        <w:spacing w:before="0" w:line="48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a1718"/>
          <w:u w:color="1a1718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A1718"/>
            </w14:solidFill>
          </w14:textFill>
        </w:rPr>
      </w:pPr>
      <w:r>
        <w:rPr>
          <w:rFonts w:ascii="Times New Roman" w:hAnsi="Times New Roman"/>
          <w:outline w:val="0"/>
          <w:color w:val="1a1718"/>
          <w:u w:color="1a1718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A1718"/>
            </w14:solidFill>
          </w14:textFill>
        </w:rPr>
        <w:t>Table 3. Prospective cohort operative characteristics.</w:t>
      </w:r>
    </w:p>
    <w:p>
      <w:pPr>
        <w:pStyle w:val="Body"/>
        <w:keepNext w:val="1"/>
        <w:keepLines w:val="1"/>
        <w:bidi w:val="1"/>
        <w:spacing w:after="0" w:line="240" w:lineRule="auto"/>
        <w:ind w:left="720" w:right="0" w:firstLine="0"/>
        <w:jc w:val="right"/>
        <w:rPr>
          <w:rFonts w:ascii="Calibri Light" w:cs="Calibri Light" w:hAnsi="Calibri Light" w:eastAsia="Calibri Light"/>
          <w:sz w:val="24"/>
          <w:szCs w:val="24"/>
          <w:rtl w:val="1"/>
        </w:rPr>
      </w:pPr>
    </w:p>
    <w:p>
      <w:pPr>
        <w:pStyle w:val="Body"/>
        <w:keepNext w:val="1"/>
        <w:keepLines w:val="1"/>
        <w:spacing w:after="0" w:line="240" w:lineRule="auto"/>
        <w:ind w:left="720"/>
      </w:pPr>
      <w:r>
        <w:rPr>
          <w:rFonts w:ascii="Calibri Light" w:cs="Calibri Light" w:hAnsi="Calibri Light" w:eastAsia="Calibri Light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