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67D9" w:rsidRDefault="003067D9">
      <w:pPr>
        <w:pStyle w:val="Default"/>
        <w:bidi/>
        <w:spacing w:before="0" w:line="480" w:lineRule="auto"/>
        <w:jc w:val="right"/>
        <w:rPr>
          <w:rFonts w:ascii="Arial Unicode MS" w:hAnsi="Arial Unicode MS"/>
          <w:color w:val="1A1718"/>
          <w:u w:color="1A1718"/>
          <w:rtl/>
          <w:lang w:val="he-IL"/>
        </w:rPr>
      </w:pPr>
    </w:p>
    <w:tbl>
      <w:tblPr>
        <w:tblW w:w="90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46"/>
        <w:gridCol w:w="2420"/>
        <w:gridCol w:w="3043"/>
      </w:tblGrid>
      <w:tr w:rsidR="003067D9">
        <w:trPr>
          <w:trHeight w:val="84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7D9" w:rsidRDefault="00000000">
            <w:pPr>
              <w:pStyle w:val="Body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Characteristic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7D9" w:rsidRDefault="00000000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Retrospective cohort         </w:t>
            </w:r>
          </w:p>
          <w:p w:rsidR="003067D9" w:rsidRDefault="00000000">
            <w:pPr>
              <w:pStyle w:val="Body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Value (N)           (%)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7D9" w:rsidRDefault="00000000">
            <w:pPr>
              <w:spacing w:after="200" w:line="276" w:lineRule="auto"/>
              <w:rPr>
                <w:rFonts w:eastAsia="Times New Roman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Prospective cohort</w:t>
            </w:r>
          </w:p>
          <w:p w:rsidR="003067D9" w:rsidRDefault="00000000">
            <w:pPr>
              <w:pStyle w:val="Body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Value (N)           (%)</w:t>
            </w:r>
          </w:p>
        </w:tc>
      </w:tr>
      <w:tr w:rsidR="003067D9">
        <w:trPr>
          <w:trHeight w:val="5186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Patients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 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Unilateral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Bilateral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Breasts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Age, </w:t>
            </w:r>
            <w:r w:rsidR="0026725F">
              <w:rPr>
                <w:rFonts w:ascii="Times New Roman" w:hAnsi="Times New Roman"/>
                <w:b/>
                <w:bCs/>
                <w:sz w:val="24"/>
                <w:szCs w:val="24"/>
              </w:rPr>
              <w:t>yr.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Mean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Range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718"/>
                <w:sz w:val="24"/>
                <w:szCs w:val="24"/>
                <w:u w:color="1A1718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BMI, </w:t>
            </w:r>
            <w:r>
              <w:rPr>
                <w:rFonts w:ascii="Times New Roman" w:hAnsi="Times New Roman"/>
                <w:b/>
                <w:bCs/>
                <w:color w:val="1A1718"/>
                <w:sz w:val="24"/>
                <w:szCs w:val="24"/>
                <w:u w:color="1A1718"/>
              </w:rPr>
              <w:t>kg/m</w:t>
            </w:r>
            <w:r>
              <w:rPr>
                <w:rFonts w:ascii="Times New Roman" w:hAnsi="Times New Roman"/>
                <w:b/>
                <w:bCs/>
                <w:color w:val="1A1718"/>
                <w:sz w:val="24"/>
                <w:szCs w:val="24"/>
                <w:u w:color="1A1718"/>
                <w:vertAlign w:val="superscript"/>
              </w:rPr>
              <w:t>2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718"/>
                <w:sz w:val="24"/>
                <w:szCs w:val="24"/>
                <w:u w:color="1A171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Mean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Range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Patient characteristics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Smoking 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Hypertension 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Hypothyroidism</w:t>
            </w:r>
          </w:p>
          <w:p w:rsidR="003067D9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Status post Oophorectomy      </w:t>
            </w:r>
          </w:p>
          <w:p w:rsidR="0026725F" w:rsidRPr="0026725F" w:rsidRDefault="00000000" w:rsidP="0026725F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Status post lumpectomy                                                                                    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20                100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2                  10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18                90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38                100</w:t>
            </w:r>
          </w:p>
          <w:p w:rsidR="003067D9" w:rsidRPr="0026725F" w:rsidRDefault="003067D9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</w:rPr>
              <w:t xml:space="preserve">      40.6±7.8</w:t>
            </w: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</w:rPr>
              <w:t xml:space="preserve">      28-54</w:t>
            </w:r>
          </w:p>
          <w:p w:rsidR="003067D9" w:rsidRPr="0026725F" w:rsidRDefault="003067D9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</w:rPr>
            </w:pP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</w:rPr>
              <w:t xml:space="preserve">      21.2±1.98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</w:rPr>
              <w:t xml:space="preserve">      16.7-2</w:t>
            </w:r>
            <w:r w:rsidR="00B6651D"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</w:rPr>
              <w:t>7</w:t>
            </w: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</w:rPr>
              <w:t>.3</w:t>
            </w: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3                </w:t>
            </w:r>
            <w:r w:rsidRPr="0026725F">
              <w:rPr>
                <w:rFonts w:ascii="Times New Roman" w:hAnsi="Times New Roman" w:cs="Times New Roman"/>
                <w:sz w:val="24"/>
                <w:szCs w:val="24"/>
                <w:rtl/>
                <w:lang w:val="he-IL"/>
              </w:rPr>
              <w:t>15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1                 </w:t>
            </w:r>
            <w:r w:rsidRPr="0026725F">
              <w:rPr>
                <w:rFonts w:ascii="Times New Roman" w:hAnsi="Times New Roman" w:cs="Times New Roman"/>
                <w:sz w:val="24"/>
                <w:szCs w:val="24"/>
                <w:rtl/>
                <w:lang w:val="he-IL"/>
              </w:rPr>
              <w:t>5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-                 </w:t>
            </w:r>
            <w:r w:rsidRPr="0026725F">
              <w:rPr>
                <w:rFonts w:ascii="Times New Roman" w:hAnsi="Times New Roman" w:cs="Times New Roman"/>
                <w:sz w:val="24"/>
                <w:szCs w:val="24"/>
                <w:rtl/>
                <w:lang w:val="he-IL"/>
              </w:rPr>
              <w:t>-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he-IL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</w:rPr>
              <w:t xml:space="preserve">      2                </w:t>
            </w:r>
            <w:r w:rsidRPr="0026725F">
              <w:rPr>
                <w:rFonts w:ascii="Times New Roman" w:hAnsi="Times New Roman" w:cs="Times New Roman"/>
                <w:sz w:val="24"/>
                <w:szCs w:val="24"/>
                <w:rtl/>
                <w:lang w:val="he-IL"/>
              </w:rPr>
              <w:t>10</w:t>
            </w:r>
          </w:p>
          <w:p w:rsidR="0026725F" w:rsidRPr="0026725F" w:rsidRDefault="00000000" w:rsidP="0026725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  <w:lang w:val="he-IL"/>
              </w:rPr>
              <w:t xml:space="preserve">      10                2  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7D9" w:rsidRPr="0026725F" w:rsidRDefault="003067D9">
            <w:pPr>
              <w:rPr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3067D9" w:rsidRPr="0026725F" w:rsidRDefault="00000000">
            <w:pPr>
              <w:rPr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6725F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22                   100</w:t>
            </w:r>
          </w:p>
          <w:p w:rsidR="003067D9" w:rsidRPr="0026725F" w:rsidRDefault="00000000">
            <w:pPr>
              <w:rPr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6725F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3                     14</w:t>
            </w:r>
          </w:p>
          <w:p w:rsidR="003067D9" w:rsidRPr="0026725F" w:rsidRDefault="00000000">
            <w:pPr>
              <w:rPr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6725F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19                   86</w:t>
            </w:r>
          </w:p>
          <w:p w:rsidR="003067D9" w:rsidRPr="0026725F" w:rsidRDefault="00000000">
            <w:pPr>
              <w:rPr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6725F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41                   100</w:t>
            </w:r>
          </w:p>
          <w:p w:rsidR="003067D9" w:rsidRPr="0026725F" w:rsidRDefault="003067D9">
            <w:pPr>
              <w:rPr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38.0</w:t>
            </w: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±</w:t>
            </w: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9.7 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21-63</w:t>
            </w:r>
          </w:p>
          <w:p w:rsidR="003067D9" w:rsidRPr="0026725F" w:rsidRDefault="003067D9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21.4</w:t>
            </w: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±</w:t>
            </w: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3.11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16.8-29.4</w:t>
            </w:r>
          </w:p>
          <w:p w:rsidR="003067D9" w:rsidRPr="0026725F" w:rsidRDefault="003067D9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4                    19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2                    9.5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1                    4.75</w:t>
            </w:r>
          </w:p>
          <w:p w:rsidR="003067D9" w:rsidRPr="0026725F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3                    14 </w:t>
            </w:r>
          </w:p>
          <w:p w:rsidR="0026725F" w:rsidRPr="0026725F" w:rsidRDefault="00000000" w:rsidP="0026725F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725F">
              <w:rPr>
                <w:rFonts w:ascii="Times New Roman" w:hAnsi="Times New Roman" w:cs="Times New Roman"/>
                <w:color w:val="1A1718"/>
                <w:sz w:val="24"/>
                <w:szCs w:val="24"/>
                <w:u w:color="1A17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2                    9.5</w:t>
            </w:r>
          </w:p>
        </w:tc>
      </w:tr>
    </w:tbl>
    <w:p w:rsidR="003067D9" w:rsidRDefault="003067D9" w:rsidP="0026725F">
      <w:pPr>
        <w:pStyle w:val="Default"/>
        <w:widowControl w:val="0"/>
        <w:bidi/>
        <w:spacing w:before="0" w:line="240" w:lineRule="auto"/>
        <w:jc w:val="right"/>
        <w:rPr>
          <w:rFonts w:ascii="Arial Unicode MS" w:hAnsi="Arial Unicode MS"/>
          <w:color w:val="1A1718"/>
          <w:u w:color="1A1718"/>
          <w:rtl/>
          <w:lang w:val="he-IL"/>
        </w:rPr>
      </w:pPr>
    </w:p>
    <w:p w:rsidR="003067D9" w:rsidRDefault="00000000" w:rsidP="0026725F">
      <w:pPr>
        <w:pStyle w:val="Body"/>
        <w:jc w:val="both"/>
      </w:pPr>
      <w:r>
        <w:rPr>
          <w:color w:val="1A1718"/>
          <w:u w:color="1A1718"/>
        </w:rPr>
        <w:t>Table 1. Patients</w:t>
      </w:r>
      <w:r>
        <w:rPr>
          <w:color w:val="1A1718"/>
          <w:u w:color="1A1718"/>
          <w:rtl/>
        </w:rPr>
        <w:t xml:space="preserve">’ </w:t>
      </w:r>
      <w:r>
        <w:rPr>
          <w:color w:val="1A1718"/>
          <w:u w:color="1A1718"/>
        </w:rPr>
        <w:t>characteristics, retrospective and prospective cohort.</w:t>
      </w:r>
    </w:p>
    <w:sectPr w:rsidR="003067D9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2D5D" w:rsidRDefault="00EF2D5D">
      <w:r>
        <w:separator/>
      </w:r>
    </w:p>
  </w:endnote>
  <w:endnote w:type="continuationSeparator" w:id="0">
    <w:p w:rsidR="00EF2D5D" w:rsidRDefault="00EF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7D9" w:rsidRDefault="003067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2D5D" w:rsidRDefault="00EF2D5D">
      <w:r>
        <w:separator/>
      </w:r>
    </w:p>
  </w:footnote>
  <w:footnote w:type="continuationSeparator" w:id="0">
    <w:p w:rsidR="00EF2D5D" w:rsidRDefault="00EF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7D9" w:rsidRDefault="003067D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D9"/>
    <w:rsid w:val="0026725F"/>
    <w:rsid w:val="003067D9"/>
    <w:rsid w:val="00A84FCD"/>
    <w:rsid w:val="00B6651D"/>
    <w:rsid w:val="00E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0E7C7"/>
  <w15:docId w15:val="{9D39437B-6AEF-E543-A83A-9C6068D8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IL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after="200" w:line="276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elyukim</cp:lastModifiedBy>
  <cp:revision>3</cp:revision>
  <dcterms:created xsi:type="dcterms:W3CDTF">2025-04-07T15:16:00Z</dcterms:created>
  <dcterms:modified xsi:type="dcterms:W3CDTF">2025-04-07T15:18:00Z</dcterms:modified>
</cp:coreProperties>
</file>