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0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6761"/>
        <w:gridCol w:w="2249"/>
      </w:tblGrid>
      <w:tr>
        <w:tblPrEx>
          <w:shd w:val="clear" w:color="auto" w:fill="4472c4"/>
        </w:tblPrEx>
        <w:trPr>
          <w:trHeight w:val="226" w:hRule="atLeast"/>
        </w:trPr>
        <w:tc>
          <w:tcPr>
            <w:tcW w:type="dxa" w:w="67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Carlito" w:hAnsi="Carlito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Characteristic </w:t>
            </w:r>
          </w:p>
        </w:tc>
        <w:tc>
          <w:tcPr>
            <w:tcW w:type="dxa" w:w="2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rlito" w:hAnsi="Carlito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 Value (N)         ( Unit)</w:t>
            </w:r>
          </w:p>
        </w:tc>
      </w:tr>
      <w:tr>
        <w:tblPrEx>
          <w:shd w:val="clear" w:color="auto" w:fill="cdd4e9"/>
        </w:tblPrEx>
        <w:trPr>
          <w:trHeight w:val="13800" w:hRule="atLeast"/>
        </w:trPr>
        <w:tc>
          <w:tcPr>
            <w:tcW w:type="dxa" w:w="67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Indication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BRCA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Ductal carcinoma in situ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nvasive ductal carcinoma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Lobular carcinoma in situ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   I</w:t>
            </w:r>
            <w:r>
              <w:rPr>
                <w:rFonts w:ascii="Times New Roman" w:hAnsi="Times New Roman"/>
                <w:u w:color="00000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nvasive lobular carcinoma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Pre-operative breast size estimation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A cup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B cup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C cup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Pre-operative breast measurement</w:t>
            </w:r>
          </w:p>
          <w:p>
            <w:pPr>
              <w:pStyle w:val="Body"/>
              <w:bidi w:val="0"/>
              <w:spacing w:after="0" w:line="240" w:lineRule="auto"/>
              <w:ind w:left="193" w:right="0" w:hanging="193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Anterior skin envelope circumference including nipple, Cm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Left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Mean  </w:t>
            </w:r>
          </w:p>
          <w:p>
            <w:pPr>
              <w:pStyle w:val="Body"/>
              <w:bidi w:val="0"/>
              <w:spacing w:after="0" w:line="240" w:lineRule="auto"/>
              <w:ind w:left="193" w:right="0" w:hanging="193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Range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Right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Mean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Range</w:t>
            </w:r>
          </w:p>
          <w:p>
            <w:pPr>
              <w:pStyle w:val="Body"/>
              <w:bidi w:val="0"/>
              <w:spacing w:after="0" w:line="240" w:lineRule="auto"/>
              <w:ind w:left="193" w:right="0" w:hanging="193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 Anterior skin envelope without nipple areolar complex, Cm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Left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Mean  </w:t>
            </w:r>
          </w:p>
          <w:p>
            <w:pPr>
              <w:pStyle w:val="Body"/>
              <w:bidi w:val="0"/>
              <w:spacing w:after="0" w:line="240" w:lineRule="auto"/>
              <w:ind w:left="193" w:right="0" w:hanging="193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Range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Right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Mean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Range</w:t>
            </w:r>
          </w:p>
          <w:p>
            <w:pPr>
              <w:pStyle w:val="Body"/>
              <w:bidi w:val="0"/>
              <w:spacing w:after="0" w:line="240" w:lineRule="auto"/>
              <w:ind w:left="193" w:right="0" w:hanging="193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 Sternal notch to nipple length, Cm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Left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Mean  </w:t>
            </w:r>
          </w:p>
          <w:p>
            <w:pPr>
              <w:pStyle w:val="Body"/>
              <w:bidi w:val="0"/>
              <w:spacing w:after="0" w:line="240" w:lineRule="auto"/>
              <w:ind w:left="193" w:right="0" w:hanging="193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Range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Right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Mean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Range</w:t>
            </w:r>
          </w:p>
          <w:p>
            <w:pPr>
              <w:pStyle w:val="Body"/>
              <w:bidi w:val="0"/>
              <w:spacing w:after="0" w:line="240" w:lineRule="auto"/>
              <w:ind w:left="29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Nipple to inframammary fold length, Cm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Left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Mean  </w:t>
            </w:r>
          </w:p>
          <w:p>
            <w:pPr>
              <w:pStyle w:val="Body"/>
              <w:bidi w:val="0"/>
              <w:spacing w:after="0" w:line="240" w:lineRule="auto"/>
              <w:ind w:left="193" w:right="0" w:hanging="193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Range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Right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Mean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Range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Neo-adjuvant treatment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Chemotherapy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Radiation therapy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Hormonal therapy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Adjuvant treatment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Radiation</w:t>
            </w:r>
          </w:p>
        </w:tc>
        <w:tc>
          <w:tcPr>
            <w:tcW w:type="dxa" w:w="2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        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14               70%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5%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1                 5%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-                  -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1                 5%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14               70%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4                 20%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2                 10%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15.9</w:t>
            </w:r>
            <w:r>
              <w:rPr>
                <w:rFonts w:ascii="Times New Roman" w:hAnsi="Times New Roman" w:hint="default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>±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>1.5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cm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11.5-17cm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15.8</w:t>
            </w:r>
            <w:r>
              <w:rPr>
                <w:rFonts w:ascii="Times New Roman" w:hAnsi="Times New Roman" w:hint="default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>±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>1.6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cm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11.5-17 cm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outline w:val="0"/>
                <w:color w:val="1a1718"/>
                <w:sz w:val="24"/>
                <w:szCs w:val="24"/>
                <w:u w:color="1a1718"/>
                <w:rtl w:val="0"/>
                <w14:textFill>
                  <w14:solidFill>
                    <w14:srgbClr w14:val="1A1718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u w:color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     13.1</w:t>
            </w:r>
            <w:r>
              <w:rPr>
                <w:rFonts w:ascii="Times New Roman" w:hAnsi="Times New Roman" w:hint="default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>±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 xml:space="preserve">2.05 cm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11.5-16 cm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12.96</w:t>
            </w:r>
            <w:r>
              <w:rPr>
                <w:rFonts w:ascii="Times New Roman" w:hAnsi="Times New Roman" w:hint="default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>±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>1.98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cm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9.5-16 cm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outline w:val="0"/>
                <w:color w:val="1a1718"/>
                <w:sz w:val="24"/>
                <w:szCs w:val="24"/>
                <w:u w:color="1a1718"/>
                <w:rtl w:val="0"/>
                <w14:textFill>
                  <w14:solidFill>
                    <w14:srgbClr w14:val="1A1718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u w:color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     21.6</w:t>
            </w:r>
            <w:r>
              <w:rPr>
                <w:rFonts w:ascii="Times New Roman" w:hAnsi="Times New Roman" w:hint="default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>±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 xml:space="preserve">1.7 cm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19-25 cm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outline w:val="0"/>
                <w:color w:val="1a1718"/>
                <w:sz w:val="24"/>
                <w:szCs w:val="24"/>
                <w:u w:color="1a1718"/>
                <w:rtl w:val="0"/>
                <w14:textFill>
                  <w14:solidFill>
                    <w14:srgbClr w14:val="1A1718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u w:color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     21.15</w:t>
            </w:r>
            <w:r>
              <w:rPr>
                <w:rFonts w:ascii="Times New Roman" w:hAnsi="Times New Roman" w:hint="default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>±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 xml:space="preserve">1.8 cm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 xml:space="preserve">     18 -25 cm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outline w:val="0"/>
                <w:color w:val="1a1718"/>
                <w:sz w:val="24"/>
                <w:szCs w:val="24"/>
                <w:u w:color="1a1718"/>
                <w:rtl w:val="0"/>
                <w14:textFill>
                  <w14:solidFill>
                    <w14:srgbClr w14:val="1A1718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000000"/>
                <w:sz w:val="24"/>
                <w:szCs w:val="24"/>
                <w:u w:color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     8.57</w:t>
            </w:r>
            <w:r>
              <w:rPr>
                <w:rFonts w:ascii="Times New Roman" w:hAnsi="Times New Roman" w:hint="default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>±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 xml:space="preserve">2.9 cm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 xml:space="preserve">     6-16 cm 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8.53</w:t>
            </w:r>
            <w:r>
              <w:rPr>
                <w:rFonts w:ascii="Times New Roman" w:hAnsi="Times New Roman" w:hint="default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>±</w:t>
            </w:r>
            <w:r>
              <w:rPr>
                <w:rFonts w:ascii="Times New Roman" w:hAnsi="Times New Roman"/>
                <w:outline w:val="0"/>
                <w:color w:val="1a1718"/>
                <w:sz w:val="24"/>
                <w:szCs w:val="24"/>
                <w:u w:color="1a1718"/>
                <w:rtl w:val="0"/>
                <w:lang w:val="en-US"/>
                <w14:textFill>
                  <w14:solidFill>
                    <w14:srgbClr w14:val="1A1718"/>
                  </w14:solidFill>
                </w14:textFill>
              </w:rPr>
              <w:t xml:space="preserve">2.7 cm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6-16 cm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3                 15%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1                  5%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1                  5%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3                 15%</w:t>
            </w:r>
          </w:p>
          <w:p>
            <w:pPr>
              <w:pStyle w:val="Body"/>
              <w:spacing w:after="0" w:line="240" w:lineRule="auto"/>
              <w:jc w:val="both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6900" w:hRule="atLeast"/>
        </w:trPr>
        <w:tc>
          <w:tcPr>
            <w:tcW w:type="dxa" w:w="67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Excision weight,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gr.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Right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Mean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Range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Left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Mean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Range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Implant volume, cc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Right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Mean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Range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Left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Mean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Range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Operative plane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Pre-pectoral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Sub-pectoral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Implant selection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Motiva Ergonomix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Full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Demi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Mini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Accuracy rate</w:t>
            </w:r>
          </w:p>
        </w:tc>
        <w:tc>
          <w:tcPr>
            <w:tcW w:type="dxa" w:w="22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212 gr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75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400 gr</w:t>
            </w:r>
          </w:p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218gr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72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488 gr</w:t>
            </w:r>
          </w:p>
          <w:p>
            <w:pPr>
              <w:pStyle w:val="Body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306 cc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215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380 cc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 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297 cc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215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380 cc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36 breast      90%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2 breast        10%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4               10.5%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31             81.5%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3               8%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            90 %</w:t>
            </w:r>
          </w:p>
        </w:tc>
      </w:tr>
    </w:tbl>
    <w:p>
      <w:pPr>
        <w:pStyle w:val="Body"/>
        <w:spacing w:line="240" w:lineRule="auto"/>
        <w:jc w:val="both"/>
        <w:rPr>
          <w:sz w:val="18"/>
          <w:szCs w:val="18"/>
        </w:rPr>
      </w:pPr>
    </w:p>
    <w:p>
      <w:pPr>
        <w:pStyle w:val="Default"/>
        <w:bidi w:val="0"/>
        <w:spacing w:before="0" w:line="48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a1718"/>
          <w:u w:color="1a1718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A1718"/>
            </w14:solidFill>
          </w14:textFill>
        </w:rPr>
      </w:pPr>
      <w:r>
        <w:rPr>
          <w:rFonts w:ascii="Times New Roman" w:hAnsi="Times New Roman"/>
          <w:outline w:val="0"/>
          <w:color w:val="1a1718"/>
          <w:u w:color="1a1718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A1718"/>
            </w14:solidFill>
          </w14:textFill>
        </w:rPr>
        <w:t xml:space="preserve">Table 2. Retrospective cohort operative characteristics </w:t>
      </w:r>
    </w:p>
    <w:p>
      <w:pPr>
        <w:pStyle w:val="Body"/>
        <w:spacing w:line="240" w:lineRule="auto"/>
        <w:jc w:val="both"/>
      </w:pPr>
      <w:r>
        <w:rPr>
          <w:rFonts w:ascii="Calibri Light" w:cs="Calibri Light" w:hAnsi="Calibri Light" w:eastAsia="Calibri Light"/>
          <w:sz w:val="18"/>
          <w:szCs w:val="18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rlito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