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Gene Expression Analysis Reveals age and ethnicity Gene Signatures Between Young and Old Adults in Human PBMC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"https://www.ncbi.nlm.nih.gov/pubmed/?term=Hu%20Y%5bAuthor%5d&amp;cauthor=true&amp;cauthor_uid=30210331"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sz w:val="24"/>
          <w:szCs w:val="32"/>
        </w:rPr>
        <w:t>Yang Hu</w:t>
      </w:r>
      <w:r>
        <w:rPr>
          <w:rFonts w:ascii="Times New Roman" w:hAnsi="Times New Roman" w:cs="Times New Roman"/>
          <w:sz w:val="24"/>
          <w:szCs w:val="32"/>
        </w:rPr>
        <w:fldChar w:fldCharType="end"/>
      </w:r>
      <w:r>
        <w:rPr>
          <w:rFonts w:ascii="Times New Roman" w:hAnsi="Times New Roman" w:cs="Times New Roman"/>
          <w:sz w:val="24"/>
          <w:szCs w:val="32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32"/>
        </w:rPr>
        <w:t>, Yudai Xu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>, Lipeng Mao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1,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4</w:t>
      </w:r>
      <w:r>
        <w:rPr>
          <w:rFonts w:ascii="Times New Roman" w:hAnsi="Times New Roman" w:cs="Times New Roman"/>
          <w:sz w:val="24"/>
          <w:szCs w:val="32"/>
        </w:rPr>
        <w:t>, Wen Lei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 xml:space="preserve">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Jan </w:t>
      </w:r>
      <w:r>
        <w:rPr>
          <w:rFonts w:ascii="Times New Roman" w:hAnsi="Times New Roman" w:cs="Times New Roman"/>
          <w:sz w:val="24"/>
          <w:szCs w:val="32"/>
        </w:rPr>
        <w:t>Jian Xiang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>, Guodong Zhu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5</w:t>
      </w:r>
      <w:r>
        <w:rPr>
          <w:rFonts w:ascii="Times New Roman" w:hAnsi="Times New Roman" w:cs="Times New Roman"/>
          <w:sz w:val="24"/>
          <w:szCs w:val="32"/>
        </w:rPr>
        <w:t>, Yutian Hu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6</w:t>
      </w:r>
      <w:r>
        <w:rPr>
          <w:rFonts w:ascii="Times New Roman" w:hAnsi="Times New Roman" w:cs="Times New Roman"/>
          <w:sz w:val="24"/>
          <w:szCs w:val="32"/>
        </w:rPr>
        <w:t>, Haitao Niu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7</w:t>
      </w:r>
      <w:r>
        <w:rPr>
          <w:rFonts w:ascii="Times New Roman" w:hAnsi="Times New Roman" w:cs="Times New Roman"/>
          <w:sz w:val="24"/>
          <w:szCs w:val="32"/>
        </w:rPr>
        <w:t>, Feng Gao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8</w:t>
      </w:r>
      <w:r>
        <w:rPr>
          <w:rFonts w:ascii="Times New Roman" w:hAnsi="Times New Roman" w:cs="Times New Roman"/>
          <w:sz w:val="24"/>
          <w:szCs w:val="32"/>
        </w:rPr>
        <w:t>, Lijuan Gao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>, Li`an Huang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2</w:t>
      </w:r>
      <w:r>
        <w:rPr>
          <w:rFonts w:ascii="Times New Roman" w:hAnsi="Times New Roman" w:cs="Times New Roman"/>
          <w:sz w:val="24"/>
          <w:szCs w:val="32"/>
        </w:rPr>
        <w:t>, Oscar Junhong Luo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1,</w:t>
      </w:r>
      <w:r>
        <w:rPr>
          <w:rFonts w:hint="eastAsia" w:ascii="Times New Roman" w:hAnsi="Times New Roman" w:cs="Times New Roman"/>
          <w:sz w:val="24"/>
          <w:szCs w:val="32"/>
          <w:vertAlign w:val="superscript"/>
        </w:rPr>
        <w:t>4</w:t>
      </w:r>
      <w:r>
        <w:rPr>
          <w:rFonts w:ascii="Times New Roman" w:hAnsi="Times New Roman" w:cs="Times New Roman"/>
          <w:sz w:val="24"/>
          <w:szCs w:val="32"/>
        </w:rPr>
        <w:t xml:space="preserve">*, </w:t>
      </w:r>
      <w:r>
        <w:rPr>
          <w:rFonts w:hint="eastAsia" w:ascii="Times New Roman" w:hAnsi="Times New Roman" w:cs="Times New Roman"/>
          <w:sz w:val="24"/>
          <w:szCs w:val="32"/>
        </w:rPr>
        <w:t>Jinhai Duan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3</w:t>
      </w:r>
      <w:r>
        <w:rPr>
          <w:rFonts w:ascii="Times New Roman" w:hAnsi="Times New Roman" w:cs="Times New Roman"/>
          <w:sz w:val="24"/>
          <w:szCs w:val="32"/>
        </w:rPr>
        <w:t>*</w:t>
      </w:r>
      <w:r>
        <w:rPr>
          <w:rFonts w:hint="eastAsia" w:ascii="Times New Roman" w:hAnsi="Times New Roman" w:cs="Times New Roman"/>
          <w:sz w:val="24"/>
          <w:szCs w:val="32"/>
        </w:rPr>
        <w:t xml:space="preserve">, </w:t>
      </w:r>
      <w:r>
        <w:rPr>
          <w:rFonts w:ascii="Times New Roman" w:hAnsi="Times New Roman" w:cs="Times New Roman"/>
          <w:sz w:val="24"/>
          <w:szCs w:val="32"/>
        </w:rPr>
        <w:t>Guobing Chen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32"/>
        </w:rPr>
        <w:t>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1, Institute of Geriatric Immunology, Department of Microbiology and Immunology, School of Medicine, Jinan University, Guangzhou, Guangdong, China.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2,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Department of Neurology, the First Affiliated Hospital, Jinan University, Guangzhou, Guangdong, China.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3, Eastern Department of Neurology of Guangdong General Hospital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4"/>
          <w:szCs w:val="32"/>
        </w:rPr>
        <w:t>Guangdong</w:t>
      </w:r>
      <w:r>
        <w:rPr>
          <w:rFonts w:ascii="Times New Roman" w:hAnsi="Times New Roman" w:cs="Times New Roman"/>
          <w:sz w:val="24"/>
          <w:szCs w:val="32"/>
        </w:rPr>
        <w:t xml:space="preserve"> Academy of Medical Sciences, Guandong, China</w:t>
      </w:r>
      <w:r>
        <w:rPr>
          <w:rFonts w:hint="eastAsia" w:ascii="Times New Roman" w:hAnsi="Times New Roman" w:cs="Times New Roman"/>
          <w:sz w:val="24"/>
          <w:szCs w:val="32"/>
        </w:rPr>
        <w:t>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cs="Times New Roman"/>
          <w:sz w:val="24"/>
          <w:szCs w:val="32"/>
        </w:rPr>
        <w:t>4</w:t>
      </w:r>
      <w:r>
        <w:rPr>
          <w:rFonts w:ascii="Times New Roman" w:hAnsi="Times New Roman" w:cs="Times New Roman"/>
          <w:sz w:val="24"/>
          <w:szCs w:val="32"/>
        </w:rPr>
        <w:t>, Department of Systems Biomedical Sciences, School of Medicine, Jinan University, Guangzhou, Guangdong, China.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cs="Times New Roman"/>
          <w:sz w:val="24"/>
          <w:szCs w:val="32"/>
        </w:rPr>
        <w:t>5</w:t>
      </w:r>
      <w:r>
        <w:rPr>
          <w:rFonts w:ascii="Times New Roman" w:hAnsi="Times New Roman" w:cs="Times New Roman"/>
          <w:sz w:val="24"/>
          <w:szCs w:val="32"/>
        </w:rPr>
        <w:t>, Department of Geriatrics, Guangzhou First People's Hospital, School of Medicine, South China University of Technology, Guangzhou, Guangdong, China.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cs="Times New Roman"/>
          <w:sz w:val="24"/>
          <w:szCs w:val="32"/>
        </w:rPr>
        <w:t>6</w:t>
      </w:r>
      <w:r>
        <w:rPr>
          <w:rFonts w:ascii="Times New Roman" w:hAnsi="Times New Roman" w:cs="Times New Roman"/>
          <w:sz w:val="24"/>
          <w:szCs w:val="32"/>
        </w:rPr>
        <w:t xml:space="preserve">, </w:t>
      </w:r>
      <w:bookmarkStart w:id="0" w:name="OLE_LINK35"/>
      <w:r>
        <w:rPr>
          <w:rFonts w:ascii="Times New Roman" w:hAnsi="Times New Roman" w:cs="Times New Roman"/>
          <w:sz w:val="24"/>
          <w:szCs w:val="32"/>
        </w:rPr>
        <w:t>Meng Yi Center Limited, Macau, China</w:t>
      </w:r>
      <w:r>
        <w:rPr>
          <w:rFonts w:hint="eastAsia" w:ascii="Times New Roman" w:hAnsi="Times New Roman" w:cs="Times New Roman"/>
          <w:sz w:val="24"/>
          <w:szCs w:val="32"/>
        </w:rPr>
        <w:t>.</w:t>
      </w:r>
    </w:p>
    <w:bookmarkEnd w:id="0"/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cs="Times New Roman"/>
          <w:sz w:val="24"/>
          <w:szCs w:val="32"/>
        </w:rPr>
        <w:t>7</w:t>
      </w:r>
      <w:r>
        <w:rPr>
          <w:rFonts w:ascii="Times New Roman" w:hAnsi="Times New Roman" w:cs="Times New Roman"/>
          <w:sz w:val="24"/>
          <w:szCs w:val="32"/>
        </w:rPr>
        <w:t>, School of Medicine &amp; Institute of Laboratory Animal Sciences, Jinan University, Guangzhou, Guangdong, China</w:t>
      </w:r>
      <w:r>
        <w:rPr>
          <w:rFonts w:hint="eastAsia" w:ascii="Times New Roman" w:hAnsi="Times New Roman" w:cs="Times New Roman"/>
          <w:sz w:val="24"/>
          <w:szCs w:val="32"/>
        </w:rPr>
        <w:t>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cs="Times New Roman"/>
          <w:sz w:val="24"/>
          <w:szCs w:val="32"/>
        </w:rPr>
        <w:t>8</w:t>
      </w:r>
      <w:r>
        <w:rPr>
          <w:rFonts w:ascii="Times New Roman" w:hAnsi="Times New Roman" w:cs="Times New Roman"/>
          <w:sz w:val="24"/>
          <w:szCs w:val="32"/>
        </w:rPr>
        <w:t>, School of Medicine, Jinan University, Guangzhou, Guangdong, China.</w:t>
      </w:r>
    </w:p>
    <w:p>
      <w:pPr>
        <w:spacing w:line="40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*Correspondence should be addressed to: Drs. Oscar Junhong Luo</w:t>
      </w:r>
      <w:r>
        <w:rPr>
          <w:rFonts w:hint="eastAsia" w:ascii="Times New Roman" w:hAnsi="Times New Roman" w:cs="Times New Roman"/>
          <w:sz w:val="24"/>
          <w:szCs w:val="32"/>
        </w:rPr>
        <w:t>, Jinhai Duan</w:t>
      </w:r>
      <w:r>
        <w:rPr>
          <w:rFonts w:ascii="Times New Roman" w:hAnsi="Times New Roman" w:cs="Times New Roman"/>
          <w:sz w:val="24"/>
          <w:szCs w:val="32"/>
        </w:rPr>
        <w:t xml:space="preserve"> or Guobing Chen, Institute of Geriatric Immunology, School of Medicine, Jinan University, 601 Huangpu Avenue West, Guangzhou 510632, Guangdong Province, China. E-mails: luojh@jnu.edu.cn and </w:t>
      </w:r>
      <w:r>
        <w:fldChar w:fldCharType="begin"/>
      </w:r>
      <w:r>
        <w:instrText xml:space="preserve"> HYPERLINK "mailto:guobingchen@jnu.edu.cn" </w:instrText>
      </w:r>
      <w:r>
        <w:fldChar w:fldCharType="separate"/>
      </w:r>
      <w:r>
        <w:rPr>
          <w:rStyle w:val="4"/>
          <w:rFonts w:ascii="Times New Roman" w:hAnsi="Times New Roman" w:cs="Times New Roman"/>
          <w:sz w:val="24"/>
          <w:szCs w:val="32"/>
        </w:rPr>
        <w:t>guobingchen@jnu.edu.cn</w:t>
      </w:r>
      <w:r>
        <w:rPr>
          <w:rStyle w:val="4"/>
          <w:rFonts w:ascii="Times New Roman" w:hAnsi="Times New Roman" w:cs="Times New Roman"/>
          <w:sz w:val="24"/>
          <w:szCs w:val="32"/>
        </w:rPr>
        <w:fldChar w:fldCharType="end"/>
      </w:r>
      <w:r>
        <w:rPr>
          <w:rFonts w:ascii="Times New Roman" w:hAnsi="Times New Roman" w:cs="Times New Roman"/>
          <w:sz w:val="24"/>
          <w:szCs w:val="32"/>
        </w:rPr>
        <w:t xml:space="preserve">.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>
            <wp:extent cx="5635625" cy="1687830"/>
            <wp:effectExtent l="0" t="0" r="3175" b="3810"/>
            <wp:docPr id="4" name="图片 4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1"/>
                    <pic:cNvPicPr>
                      <a:picLocks noChangeAspect="1"/>
                    </pic:cNvPicPr>
                  </pic:nvPicPr>
                  <pic:blipFill>
                    <a:blip r:embed="rId4"/>
                    <a:srcRect t="3428" r="849" b="4536"/>
                    <a:stretch>
                      <a:fillRect/>
                    </a:stretch>
                  </pic:blipFill>
                  <pic:spPr>
                    <a:xfrm>
                      <a:off x="0" y="0"/>
                      <a:ext cx="5635625" cy="168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  <w:bookmarkStart w:id="1" w:name="OLE_LINK1"/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bookmarkEnd w:id="1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The age and race distribution of 153 individuals from 10 KIP dataset.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The component of age among the 153 samples.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The component of race among 153 samples.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365625" cy="5400040"/>
            <wp:effectExtent l="0" t="0" r="8255" b="10160"/>
            <wp:docPr id="2" name="图片 2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2"/>
                    <pic:cNvPicPr>
                      <a:picLocks noChangeAspect="1"/>
                    </pic:cNvPicPr>
                  </pic:nvPicPr>
                  <pic:blipFill>
                    <a:blip r:embed="rId5"/>
                    <a:srcRect l="1014" t="1574" r="1304"/>
                    <a:stretch>
                      <a:fillRect/>
                    </a:stretch>
                  </pic:blipFill>
                  <pic:spPr>
                    <a:xfrm>
                      <a:off x="0" y="0"/>
                      <a:ext cx="436562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Power values and module clustering of WGCNA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the t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ranscriptome data of 153 healthy human subjects in 10KIP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Selection of the soft-thresholding powers. The left panel showed the scale-free fit index versus soft-thresholding power. The right panel displayed the mean connectivity versus soft-thresholding power. Power 6 was chose for which the fit index curve flattens out upon reaching a high value (&gt;0.9).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Meta-module identification. The module network dendrogram was constructed by clustering module eigengene distances. The horizontal line (blue and red line) represents the threshold (0.2) used for defining the meta-modules.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718175" cy="2324100"/>
            <wp:effectExtent l="0" t="0" r="12065" b="7620"/>
            <wp:docPr id="5" name="图片 5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4"/>
                    <pic:cNvPicPr>
                      <a:picLocks noChangeAspect="1"/>
                    </pic:cNvPicPr>
                  </pic:nvPicPr>
                  <pic:blipFill>
                    <a:blip r:embed="rId6"/>
                    <a:srcRect t="695" r="5564" b="60926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PCA analysis for age related gene modules in 153 individuals.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Genes in 8 age-related modules (pearson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 r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≧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0.19,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p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≦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0.05) were selected for PCA analysis in 153 individuals.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Principal component1 scores (PC1) were calculated for each individual from principal component analyses (PCA). PC1 scores from transcriptomic data were differentially expressed among different races. Wilcoxon rank-sum test was used to compare data from Asian (n = 19) and Caucasian (n = 113) or African American subjects. Dot plot represented median and IQR values; ****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&lt; 0.0001, ***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&lt; 0.001, **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&lt; 0.01, *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&lt; 0.05, n.s.: non-significant.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>
            <wp:extent cx="2138045" cy="1995805"/>
            <wp:effectExtent l="0" t="0" r="10795" b="635"/>
            <wp:docPr id="1" name="图片 1" descr="19DEG_brown_darkturquo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9DEG_brown_darkturquois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4 </w:t>
      </w:r>
      <w:bookmarkStart w:id="2" w:name="_GoBack"/>
      <w:bookmarkEnd w:id="2"/>
      <w:r>
        <w:rPr>
          <w:rFonts w:ascii="Times New Roman" w:hAnsi="Times New Roman" w:cs="Times New Roman"/>
          <w:b w:val="0"/>
          <w:bCs w:val="0"/>
          <w:sz w:val="24"/>
          <w:szCs w:val="24"/>
        </w:rPr>
        <w:t>The venn diagram of genes among DEG lists and co-expression module in 19 Chinese RNA-seq data.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total, 278 and 19 overlapping genes were listed in the intersection of DEG lists and two co-expression modules.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E2629"/>
    <w:rsid w:val="00C12E0F"/>
    <w:rsid w:val="00D67C02"/>
    <w:rsid w:val="00E26CF0"/>
    <w:rsid w:val="00E51476"/>
    <w:rsid w:val="161A58D7"/>
    <w:rsid w:val="165052BA"/>
    <w:rsid w:val="2A8D6977"/>
    <w:rsid w:val="2D756EC9"/>
    <w:rsid w:val="351D1944"/>
    <w:rsid w:val="4A753C60"/>
    <w:rsid w:val="555A207D"/>
    <w:rsid w:val="578127C6"/>
    <w:rsid w:val="658A667E"/>
    <w:rsid w:val="67F94AFC"/>
    <w:rsid w:val="6A0E2629"/>
    <w:rsid w:val="6C05049E"/>
    <w:rsid w:val="786F67A9"/>
    <w:rsid w:val="7E505A9E"/>
    <w:rsid w:val="7FCE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GI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148</Words>
  <Characters>846</Characters>
  <Lines>7</Lines>
  <Paragraphs>1</Paragraphs>
  <TotalTime>86</TotalTime>
  <ScaleCrop>false</ScaleCrop>
  <LinksUpToDate>false</LinksUpToDate>
  <CharactersWithSpaces>993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2021-02-07T13:14:00Z</dcterms:created>
  <dc:creator>Yang Hu</dc:creator>
  <cp:lastModifiedBy>Yang Hu</cp:lastModifiedBy>
  <dcterms:modified xsi:type="dcterms:W3CDTF">2021-07-21T06:16:11Z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