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32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3"/>
        <w:gridCol w:w="1723"/>
        <w:gridCol w:w="828"/>
        <w:gridCol w:w="1701"/>
        <w:gridCol w:w="1560"/>
        <w:gridCol w:w="1701"/>
        <w:gridCol w:w="1842"/>
        <w:gridCol w:w="1843"/>
        <w:gridCol w:w="2693"/>
      </w:tblGrid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Case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2B1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iagnosis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BMI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 at 1</w:t>
            </w:r>
            <w:r w:rsidRPr="0085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MMR </w:t>
            </w:r>
            <w:r w:rsidR="00D01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dose</w:t>
            </w:r>
          </w:p>
          <w:p w:rsidR="00601700" w:rsidRPr="00160D73" w:rsidRDefault="00601700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(months)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Default="00D01A8B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85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 at 2</w:t>
            </w:r>
            <w:r w:rsidR="00850508" w:rsidRPr="0085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="0085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MMR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dose</w:t>
            </w:r>
          </w:p>
          <w:p w:rsidR="00601700" w:rsidRPr="00160D73" w:rsidRDefault="00601700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(years)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at cancer diagnosis</w:t>
            </w:r>
          </w:p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(years)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at antibody testing (years)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850508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0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Interval from end of chemotherapy to antibody testing</w:t>
            </w:r>
            <w:r w:rsidRPr="0085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(years)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Optic glioma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 + others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4.08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6.67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Sarcoma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 + others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3.58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AML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11.75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AML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2.58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8.58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601700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850508"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elanoma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 + others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13.83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olk sac </w:t>
            </w: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 + others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4.92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10.58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12.83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erminoma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 + others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13.42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9.57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12.67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blastoma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 + others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9.17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6.08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blastoma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 + others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8.08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5.50</w:t>
            </w:r>
          </w:p>
        </w:tc>
      </w:tr>
      <w:tr w:rsidR="00D01A8B" w:rsidRPr="00160D73" w:rsidTr="00D01A8B">
        <w:trPr>
          <w:trHeight w:val="285"/>
        </w:trPr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3" w:type="dxa"/>
            <w:shd w:val="clear" w:color="000000" w:fill="FFFFFF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2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blastoma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CMT + others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850508" w:rsidRPr="00160D73" w:rsidRDefault="00850508" w:rsidP="00D01A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3.75</w:t>
            </w:r>
          </w:p>
        </w:tc>
      </w:tr>
    </w:tbl>
    <w:p w:rsidR="00160D73" w:rsidRDefault="00226E57" w:rsidP="0016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6E57">
        <w:rPr>
          <w:rFonts w:ascii="Times New Roman" w:hAnsi="Times New Roman" w:cs="Times New Roman"/>
          <w:b/>
          <w:bCs/>
          <w:sz w:val="24"/>
          <w:szCs w:val="24"/>
        </w:rPr>
        <w:t>Supplementary Table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A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linical characteristics of 11 patients who remained seropositive for measles, mumps, and rubella</w:t>
      </w:r>
    </w:p>
    <w:p w:rsidR="00D01A8B" w:rsidRDefault="00D01A8B" w:rsidP="0016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E57" w:rsidRPr="00160D73" w:rsidRDefault="002B1D9A" w:rsidP="00160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Abbreviation: F</w:t>
      </w:r>
      <w:r w:rsidR="00DB3A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female, M</w:t>
      </w:r>
      <w:r w:rsidR="00DB3A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male</w:t>
      </w:r>
      <w:r w:rsidR="00DB3A0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BMI</w:t>
      </w:r>
      <w:r w:rsidR="00DB3A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body mass index; CMT</w:t>
      </w:r>
      <w:r w:rsidR="00DB3A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chemotherapy</w:t>
      </w:r>
      <w:r w:rsidR="00DB3A0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MMR</w:t>
      </w:r>
      <w:r w:rsidR="00DB3A0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measles, mumps, rubella</w:t>
      </w:r>
    </w:p>
    <w:sectPr w:rsidR="00226E57" w:rsidRPr="00160D73" w:rsidSect="00E712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73"/>
    <w:rsid w:val="000224E7"/>
    <w:rsid w:val="00160D73"/>
    <w:rsid w:val="00226E57"/>
    <w:rsid w:val="002B1D9A"/>
    <w:rsid w:val="00601700"/>
    <w:rsid w:val="00850508"/>
    <w:rsid w:val="00A705DA"/>
    <w:rsid w:val="00D01A8B"/>
    <w:rsid w:val="00DB3A0E"/>
    <w:rsid w:val="00E40730"/>
    <w:rsid w:val="00E71282"/>
    <w:rsid w:val="00F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4667"/>
  <w15:chartTrackingRefBased/>
  <w15:docId w15:val="{3ADD2C3C-3A39-431B-B17A-C04D57A2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Sophida Boonsathorn</dc:creator>
  <cp:keywords/>
  <dc:description/>
  <cp:lastModifiedBy>Sophida Boonsathorn</cp:lastModifiedBy>
  <cp:revision>7</cp:revision>
  <dcterms:created xsi:type="dcterms:W3CDTF">2025-08-20T10:36:00Z</dcterms:created>
  <dcterms:modified xsi:type="dcterms:W3CDTF">2025-08-26T07:30:00Z</dcterms:modified>
</cp:coreProperties>
</file>