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510"/>
        <w:gridCol w:w="1606"/>
        <w:gridCol w:w="2045"/>
        <w:gridCol w:w="1200"/>
        <w:gridCol w:w="1202"/>
        <w:gridCol w:w="1443"/>
        <w:gridCol w:w="1104"/>
      </w:tblGrid>
      <w:tr w:rsidR="0034116F" w:rsidRPr="00CE0AB9" w:rsidTr="009A5CFC">
        <w:trPr>
          <w:cantSplit/>
          <w:tblHeader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4116F" w:rsidRPr="00C35F72" w:rsidRDefault="0034116F" w:rsidP="009A5CFC">
            <w:pPr>
              <w:rPr>
                <w:b/>
                <w:sz w:val="22"/>
                <w:szCs w:val="20"/>
              </w:rPr>
            </w:pPr>
            <w:bookmarkStart w:id="0" w:name="_Toc70609962"/>
            <w:r>
              <w:rPr>
                <w:b/>
                <w:bCs/>
              </w:rPr>
              <w:t xml:space="preserve">Additional file S8: </w:t>
            </w:r>
            <w:r w:rsidR="00320A43">
              <w:rPr>
                <w:b/>
                <w:bCs/>
              </w:rPr>
              <w:t>Summary of finding table on a</w:t>
            </w:r>
            <w:r w:rsidRPr="00C35F72">
              <w:rPr>
                <w:b/>
                <w:bCs/>
              </w:rPr>
              <w:t>dverse events and serious adverse event</w:t>
            </w:r>
            <w:bookmarkEnd w:id="0"/>
          </w:p>
        </w:tc>
      </w:tr>
      <w:tr w:rsidR="0034116F" w:rsidRPr="00CE0AB9" w:rsidTr="009A5CFC">
        <w:trPr>
          <w:cantSplit/>
          <w:tblHeader/>
        </w:trPr>
        <w:tc>
          <w:tcPr>
            <w:tcW w:w="5000" w:type="pct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34116F" w:rsidRPr="00CE0AB9" w:rsidRDefault="0034116F" w:rsidP="00D8725A">
            <w:pPr>
              <w:pStyle w:val="sof-title"/>
              <w:spacing w:before="0" w:beforeAutospacing="0" w:after="0" w:afterAutospacing="0"/>
              <w:rPr>
                <w:sz w:val="22"/>
                <w:szCs w:val="20"/>
              </w:rPr>
            </w:pPr>
            <w:proofErr w:type="spellStart"/>
            <w:r w:rsidRPr="00CE0AB9">
              <w:rPr>
                <w:b/>
                <w:bCs/>
                <w:sz w:val="22"/>
                <w:szCs w:val="20"/>
              </w:rPr>
              <w:t>Dihydroartemisinin-piperaquine</w:t>
            </w:r>
            <w:proofErr w:type="spellEnd"/>
            <w:r w:rsidRPr="00CE0AB9">
              <w:rPr>
                <w:b/>
                <w:bCs/>
                <w:sz w:val="22"/>
                <w:szCs w:val="20"/>
              </w:rPr>
              <w:t xml:space="preserve"> compared to </w:t>
            </w:r>
            <w:proofErr w:type="spellStart"/>
            <w:r w:rsidRPr="00CE0AB9">
              <w:rPr>
                <w:b/>
                <w:bCs/>
                <w:sz w:val="22"/>
                <w:szCs w:val="20"/>
              </w:rPr>
              <w:t>artemether-lumefantrine</w:t>
            </w:r>
            <w:proofErr w:type="spellEnd"/>
            <w:r w:rsidRPr="00CE0AB9">
              <w:rPr>
                <w:b/>
                <w:bCs/>
                <w:sz w:val="22"/>
                <w:szCs w:val="20"/>
              </w:rPr>
              <w:t xml:space="preserve"> for treatment of uncomplicated </w:t>
            </w:r>
            <w:r w:rsidRPr="00CE0AB9">
              <w:rPr>
                <w:b/>
                <w:bCs/>
                <w:i/>
                <w:sz w:val="22"/>
                <w:szCs w:val="20"/>
              </w:rPr>
              <w:t>plasmodium falciparum</w:t>
            </w:r>
            <w:r w:rsidRPr="00CE0AB9">
              <w:rPr>
                <w:b/>
                <w:bCs/>
                <w:sz w:val="22"/>
                <w:szCs w:val="20"/>
              </w:rPr>
              <w:t xml:space="preserve"> malaria </w:t>
            </w:r>
            <w:r w:rsidR="00D8725A">
              <w:rPr>
                <w:b/>
                <w:bCs/>
                <w:sz w:val="22"/>
                <w:szCs w:val="20"/>
              </w:rPr>
              <w:t>among children in Africa.</w:t>
            </w:r>
          </w:p>
        </w:tc>
      </w:tr>
      <w:tr w:rsidR="0034116F" w:rsidRPr="00CE0AB9" w:rsidTr="009A5CFC">
        <w:trPr>
          <w:cantSplit/>
          <w:tblHeader/>
        </w:trPr>
        <w:tc>
          <w:tcPr>
            <w:tcW w:w="5000" w:type="pct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rPr>
                <w:b/>
                <w:sz w:val="22"/>
                <w:szCs w:val="20"/>
              </w:rPr>
            </w:pPr>
            <w:r w:rsidRPr="00CE0AB9">
              <w:rPr>
                <w:b/>
                <w:bCs/>
                <w:sz w:val="22"/>
                <w:szCs w:val="20"/>
              </w:rPr>
              <w:t>Patient or population</w:t>
            </w:r>
            <w:r w:rsidRPr="00CE0AB9">
              <w:rPr>
                <w:b/>
                <w:sz w:val="22"/>
                <w:szCs w:val="20"/>
              </w:rPr>
              <w:t xml:space="preserve">: African children with uncomplicated </w:t>
            </w:r>
            <w:r w:rsidRPr="0037473D">
              <w:rPr>
                <w:b/>
                <w:i/>
                <w:sz w:val="22"/>
                <w:szCs w:val="20"/>
              </w:rPr>
              <w:t>plasmodium falciparum</w:t>
            </w:r>
            <w:r w:rsidRPr="00CE0AB9">
              <w:rPr>
                <w:b/>
                <w:sz w:val="22"/>
                <w:szCs w:val="20"/>
              </w:rPr>
              <w:t xml:space="preserve"> malaria </w:t>
            </w:r>
          </w:p>
          <w:p w:rsidR="0034116F" w:rsidRPr="00CE0AB9" w:rsidRDefault="0034116F" w:rsidP="009A5CFC">
            <w:pPr>
              <w:rPr>
                <w:b/>
                <w:sz w:val="22"/>
                <w:szCs w:val="20"/>
              </w:rPr>
            </w:pPr>
            <w:r w:rsidRPr="00CE0AB9">
              <w:rPr>
                <w:b/>
                <w:bCs/>
                <w:sz w:val="22"/>
                <w:szCs w:val="20"/>
              </w:rPr>
              <w:t>Setting</w:t>
            </w:r>
            <w:r w:rsidRPr="00CE0AB9">
              <w:rPr>
                <w:b/>
                <w:sz w:val="22"/>
                <w:szCs w:val="20"/>
              </w:rPr>
              <w:t xml:space="preserve">: Malaria endemic setting in Africa. </w:t>
            </w:r>
          </w:p>
          <w:p w:rsidR="0034116F" w:rsidRPr="00CE0AB9" w:rsidRDefault="0034116F" w:rsidP="009A5CFC">
            <w:pPr>
              <w:rPr>
                <w:b/>
                <w:sz w:val="22"/>
                <w:szCs w:val="20"/>
              </w:rPr>
            </w:pPr>
            <w:r w:rsidRPr="00CE0AB9">
              <w:rPr>
                <w:b/>
                <w:bCs/>
                <w:sz w:val="22"/>
                <w:szCs w:val="20"/>
              </w:rPr>
              <w:t>Intervention</w:t>
            </w:r>
            <w:r w:rsidRPr="00CE0AB9">
              <w:rPr>
                <w:b/>
                <w:sz w:val="22"/>
                <w:szCs w:val="20"/>
              </w:rPr>
              <w:t xml:space="preserve">: Dihydroartemisinin-piperaquine </w:t>
            </w:r>
            <w:bookmarkStart w:id="1" w:name="_GoBack"/>
            <w:bookmarkEnd w:id="1"/>
          </w:p>
          <w:p w:rsidR="0034116F" w:rsidRPr="00CE0AB9" w:rsidRDefault="0034116F" w:rsidP="009A5CFC">
            <w:pPr>
              <w:rPr>
                <w:sz w:val="22"/>
                <w:szCs w:val="20"/>
              </w:rPr>
            </w:pPr>
            <w:r w:rsidRPr="00CE0AB9">
              <w:rPr>
                <w:b/>
                <w:bCs/>
                <w:sz w:val="22"/>
                <w:szCs w:val="20"/>
              </w:rPr>
              <w:t>Comparison</w:t>
            </w:r>
            <w:r w:rsidRPr="00CE0AB9">
              <w:rPr>
                <w:b/>
                <w:sz w:val="22"/>
                <w:szCs w:val="20"/>
              </w:rPr>
              <w:t>: Artemether-lumefantrine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</w:tr>
      <w:tr w:rsidR="0034116F" w:rsidRPr="00CE0AB9" w:rsidTr="009A5CFC">
        <w:trPr>
          <w:cantSplit/>
          <w:tblHeader/>
        </w:trPr>
        <w:tc>
          <w:tcPr>
            <w:tcW w:w="1727" w:type="pct"/>
            <w:vMerge w:val="restart"/>
            <w:tcBorders>
              <w:right w:val="single" w:sz="6" w:space="0" w:color="EFEFEF"/>
            </w:tcBorders>
            <w:shd w:val="clear" w:color="auto" w:fill="3271AA"/>
            <w:vAlign w:val="center"/>
            <w:hideMark/>
          </w:tcPr>
          <w:p w:rsidR="0034116F" w:rsidRPr="00CE0AB9" w:rsidRDefault="0034116F" w:rsidP="009A5CFC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FFFFFF"/>
                <w:sz w:val="22"/>
                <w:szCs w:val="20"/>
              </w:rPr>
            </w:pPr>
            <w:r w:rsidRPr="00CE0AB9">
              <w:rPr>
                <w:color w:val="FFFFFF"/>
                <w:sz w:val="22"/>
                <w:szCs w:val="20"/>
              </w:rPr>
              <w:t>Outcomes</w:t>
            </w:r>
          </w:p>
        </w:tc>
        <w:tc>
          <w:tcPr>
            <w:tcW w:w="1392" w:type="pct"/>
            <w:gridSpan w:val="2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:rsidR="0034116F" w:rsidRPr="00CE0AB9" w:rsidRDefault="0034116F" w:rsidP="009A5CFC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b/>
                <w:bCs/>
                <w:sz w:val="22"/>
                <w:szCs w:val="20"/>
              </w:rPr>
            </w:pPr>
            <w:r w:rsidRPr="00CE0AB9">
              <w:rPr>
                <w:b/>
                <w:bCs/>
                <w:sz w:val="22"/>
                <w:szCs w:val="20"/>
              </w:rPr>
              <w:t>Anticipated absolute effects</w:t>
            </w:r>
            <w:r w:rsidRPr="00CE0AB9">
              <w:rPr>
                <w:b/>
                <w:bCs/>
                <w:sz w:val="22"/>
                <w:szCs w:val="20"/>
                <w:vertAlign w:val="superscript"/>
              </w:rPr>
              <w:t>*</w:t>
            </w:r>
            <w:r w:rsidRPr="00CE0AB9">
              <w:rPr>
                <w:b/>
                <w:bCs/>
                <w:sz w:val="22"/>
                <w:szCs w:val="20"/>
              </w:rPr>
              <w:t xml:space="preserve"> </w:t>
            </w:r>
            <w:r w:rsidRPr="00CE0AB9">
              <w:rPr>
                <w:sz w:val="22"/>
                <w:szCs w:val="20"/>
              </w:rPr>
              <w:t>(95% CI)</w:t>
            </w:r>
            <w:r w:rsidRPr="00CE0AB9">
              <w:rPr>
                <w:b/>
                <w:bCs/>
                <w:sz w:val="22"/>
                <w:szCs w:val="20"/>
              </w:rPr>
              <w:t xml:space="preserve"> </w:t>
            </w:r>
          </w:p>
        </w:tc>
        <w:tc>
          <w:tcPr>
            <w:tcW w:w="464" w:type="pct"/>
            <w:vMerge w:val="restart"/>
            <w:tcBorders>
              <w:right w:val="single" w:sz="6" w:space="0" w:color="EFEFEF"/>
            </w:tcBorders>
            <w:shd w:val="clear" w:color="auto" w:fill="3271AA"/>
            <w:vAlign w:val="center"/>
            <w:hideMark/>
          </w:tcPr>
          <w:p w:rsidR="0034116F" w:rsidRPr="00CE0AB9" w:rsidRDefault="0034116F" w:rsidP="009A5CFC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FFFFFF"/>
                <w:sz w:val="22"/>
                <w:szCs w:val="20"/>
              </w:rPr>
            </w:pPr>
            <w:r w:rsidRPr="00CE0AB9">
              <w:rPr>
                <w:color w:val="FFFFFF"/>
                <w:sz w:val="22"/>
                <w:szCs w:val="20"/>
              </w:rPr>
              <w:t>Relative effect</w:t>
            </w:r>
            <w:r w:rsidRPr="00CE0AB9">
              <w:rPr>
                <w:color w:val="FFFFFF"/>
                <w:sz w:val="22"/>
                <w:szCs w:val="20"/>
              </w:rPr>
              <w:br/>
              <w:t xml:space="preserve">(95% CI) </w:t>
            </w:r>
          </w:p>
        </w:tc>
        <w:tc>
          <w:tcPr>
            <w:tcW w:w="465" w:type="pct"/>
            <w:vMerge w:val="restart"/>
            <w:tcBorders>
              <w:right w:val="single" w:sz="6" w:space="0" w:color="EFEFEF"/>
            </w:tcBorders>
            <w:shd w:val="clear" w:color="auto" w:fill="3271AA"/>
            <w:vAlign w:val="center"/>
            <w:hideMark/>
          </w:tcPr>
          <w:p w:rsidR="0034116F" w:rsidRPr="00CE0AB9" w:rsidRDefault="0034116F" w:rsidP="009A5CFC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FFFFFF"/>
                <w:sz w:val="22"/>
                <w:szCs w:val="20"/>
              </w:rPr>
            </w:pPr>
            <w:r w:rsidRPr="00CE0AB9">
              <w:rPr>
                <w:color w:val="FFFFFF"/>
                <w:sz w:val="22"/>
                <w:szCs w:val="20"/>
              </w:rPr>
              <w:t xml:space="preserve">№ of participants </w:t>
            </w:r>
            <w:r w:rsidRPr="00CE0AB9">
              <w:rPr>
                <w:color w:val="FFFFFF"/>
                <w:sz w:val="22"/>
                <w:szCs w:val="20"/>
              </w:rPr>
              <w:br/>
              <w:t xml:space="preserve">(studies) </w:t>
            </w:r>
          </w:p>
        </w:tc>
        <w:tc>
          <w:tcPr>
            <w:tcW w:w="557" w:type="pct"/>
            <w:vMerge w:val="restart"/>
            <w:tcBorders>
              <w:right w:val="single" w:sz="6" w:space="0" w:color="EFEFEF"/>
            </w:tcBorders>
            <w:shd w:val="clear" w:color="auto" w:fill="3271AA"/>
            <w:vAlign w:val="center"/>
            <w:hideMark/>
          </w:tcPr>
          <w:p w:rsidR="0034116F" w:rsidRPr="00CE0AB9" w:rsidRDefault="0034116F" w:rsidP="009A5CFC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FFFFFF"/>
                <w:sz w:val="22"/>
                <w:szCs w:val="20"/>
              </w:rPr>
            </w:pPr>
            <w:r w:rsidRPr="00CE0AB9">
              <w:rPr>
                <w:color w:val="FFFFFF"/>
                <w:sz w:val="22"/>
                <w:szCs w:val="20"/>
              </w:rPr>
              <w:t>Certainty of the evidence</w:t>
            </w:r>
            <w:r w:rsidRPr="00CE0AB9">
              <w:rPr>
                <w:color w:val="FFFFFF"/>
                <w:sz w:val="22"/>
                <w:szCs w:val="20"/>
              </w:rPr>
              <w:br/>
              <w:t xml:space="preserve">(GRADE) </w:t>
            </w:r>
          </w:p>
        </w:tc>
        <w:tc>
          <w:tcPr>
            <w:tcW w:w="395" w:type="pct"/>
            <w:vMerge w:val="restart"/>
            <w:tcBorders>
              <w:right w:val="single" w:sz="6" w:space="0" w:color="EFEFEF"/>
            </w:tcBorders>
            <w:shd w:val="clear" w:color="auto" w:fill="3271AA"/>
            <w:vAlign w:val="center"/>
            <w:hideMark/>
          </w:tcPr>
          <w:p w:rsidR="0034116F" w:rsidRPr="00CE0AB9" w:rsidRDefault="0034116F" w:rsidP="009A5CFC">
            <w:pPr>
              <w:pStyle w:val="NormalWeb"/>
              <w:spacing w:before="0" w:beforeAutospacing="0" w:after="0" w:afterAutospacing="0"/>
              <w:jc w:val="center"/>
              <w:rPr>
                <w:rFonts w:eastAsiaTheme="minorEastAsia"/>
                <w:color w:val="FFFFFF"/>
                <w:sz w:val="22"/>
                <w:szCs w:val="20"/>
              </w:rPr>
            </w:pPr>
            <w:r w:rsidRPr="00CE0AB9">
              <w:rPr>
                <w:color w:val="FFFFFF"/>
                <w:sz w:val="22"/>
                <w:szCs w:val="20"/>
              </w:rPr>
              <w:t>Comments</w:t>
            </w:r>
          </w:p>
        </w:tc>
      </w:tr>
      <w:tr w:rsidR="0034116F" w:rsidRPr="00CE0AB9" w:rsidTr="009A5CFC">
        <w:trPr>
          <w:cantSplit/>
          <w:tblHeader/>
        </w:trPr>
        <w:tc>
          <w:tcPr>
            <w:tcW w:w="1727" w:type="pct"/>
            <w:vMerge/>
            <w:tcBorders>
              <w:right w:val="single" w:sz="6" w:space="0" w:color="EFEFEF"/>
            </w:tcBorders>
            <w:vAlign w:val="center"/>
            <w:hideMark/>
          </w:tcPr>
          <w:p w:rsidR="0034116F" w:rsidRPr="00CE0AB9" w:rsidRDefault="0034116F" w:rsidP="009A5CFC">
            <w:pPr>
              <w:rPr>
                <w:rFonts w:eastAsiaTheme="minorEastAsia"/>
                <w:color w:val="FFFFFF"/>
                <w:sz w:val="22"/>
                <w:szCs w:val="20"/>
              </w:rPr>
            </w:pPr>
          </w:p>
        </w:tc>
        <w:tc>
          <w:tcPr>
            <w:tcW w:w="619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:rsidR="0034116F" w:rsidRPr="00CE0AB9" w:rsidRDefault="0034116F" w:rsidP="009A5CFC">
            <w:pPr>
              <w:pStyle w:val="first-letter"/>
              <w:spacing w:before="0" w:beforeAutospacing="0" w:after="0" w:afterAutospacing="0"/>
              <w:jc w:val="center"/>
              <w:rPr>
                <w:b/>
                <w:bCs/>
                <w:sz w:val="22"/>
                <w:szCs w:val="20"/>
              </w:rPr>
            </w:pPr>
            <w:r w:rsidRPr="00CE0AB9">
              <w:rPr>
                <w:b/>
                <w:bCs/>
                <w:sz w:val="22"/>
                <w:szCs w:val="20"/>
              </w:rPr>
              <w:t xml:space="preserve">Risk with </w:t>
            </w:r>
            <w:proofErr w:type="spellStart"/>
            <w:r w:rsidRPr="00CE0AB9">
              <w:rPr>
                <w:b/>
                <w:bCs/>
                <w:sz w:val="22"/>
                <w:szCs w:val="20"/>
              </w:rPr>
              <w:t>artemether-lumefantrine</w:t>
            </w:r>
            <w:proofErr w:type="spellEnd"/>
            <w:r w:rsidRPr="00CE0AB9">
              <w:rPr>
                <w:b/>
                <w:bCs/>
                <w:sz w:val="22"/>
                <w:szCs w:val="20"/>
              </w:rPr>
              <w:t xml:space="preserve"> </w:t>
            </w:r>
          </w:p>
        </w:tc>
        <w:tc>
          <w:tcPr>
            <w:tcW w:w="773" w:type="pct"/>
            <w:tcBorders>
              <w:top w:val="single" w:sz="6" w:space="0" w:color="EFEFEF"/>
              <w:right w:val="single" w:sz="6" w:space="0" w:color="EFEFEF"/>
            </w:tcBorders>
            <w:shd w:val="clear" w:color="auto" w:fill="E0E0E0"/>
            <w:hideMark/>
          </w:tcPr>
          <w:p w:rsidR="0034116F" w:rsidRPr="00CE0AB9" w:rsidRDefault="0034116F" w:rsidP="009A5CFC">
            <w:pPr>
              <w:pStyle w:val="first-letter"/>
              <w:spacing w:before="0" w:beforeAutospacing="0" w:after="0" w:afterAutospacing="0"/>
              <w:jc w:val="center"/>
              <w:rPr>
                <w:b/>
                <w:bCs/>
                <w:sz w:val="22"/>
                <w:szCs w:val="20"/>
              </w:rPr>
            </w:pPr>
            <w:r w:rsidRPr="00CE0AB9">
              <w:rPr>
                <w:b/>
                <w:bCs/>
                <w:sz w:val="22"/>
                <w:szCs w:val="20"/>
              </w:rPr>
              <w:t xml:space="preserve">Risk with </w:t>
            </w:r>
            <w:proofErr w:type="spellStart"/>
            <w:r w:rsidRPr="00CE0AB9">
              <w:rPr>
                <w:b/>
                <w:bCs/>
                <w:sz w:val="22"/>
                <w:szCs w:val="20"/>
              </w:rPr>
              <w:t>dihydroartemisinin-piperaquine</w:t>
            </w:r>
            <w:proofErr w:type="spellEnd"/>
          </w:p>
        </w:tc>
        <w:tc>
          <w:tcPr>
            <w:tcW w:w="464" w:type="pct"/>
            <w:vMerge/>
            <w:tcBorders>
              <w:right w:val="single" w:sz="6" w:space="0" w:color="EFEFEF"/>
            </w:tcBorders>
            <w:vAlign w:val="center"/>
            <w:hideMark/>
          </w:tcPr>
          <w:p w:rsidR="0034116F" w:rsidRPr="00CE0AB9" w:rsidRDefault="0034116F" w:rsidP="009A5CFC">
            <w:pPr>
              <w:rPr>
                <w:rFonts w:eastAsiaTheme="minorEastAsia"/>
                <w:color w:val="FFFFFF"/>
                <w:sz w:val="22"/>
                <w:szCs w:val="20"/>
              </w:rPr>
            </w:pPr>
          </w:p>
        </w:tc>
        <w:tc>
          <w:tcPr>
            <w:tcW w:w="465" w:type="pct"/>
            <w:vMerge/>
            <w:tcBorders>
              <w:right w:val="single" w:sz="6" w:space="0" w:color="EFEFEF"/>
            </w:tcBorders>
            <w:vAlign w:val="center"/>
            <w:hideMark/>
          </w:tcPr>
          <w:p w:rsidR="0034116F" w:rsidRPr="00CE0AB9" w:rsidRDefault="0034116F" w:rsidP="009A5CFC">
            <w:pPr>
              <w:rPr>
                <w:rFonts w:eastAsiaTheme="minorEastAsia"/>
                <w:color w:val="FFFFFF"/>
                <w:sz w:val="22"/>
                <w:szCs w:val="20"/>
              </w:rPr>
            </w:pPr>
          </w:p>
        </w:tc>
        <w:tc>
          <w:tcPr>
            <w:tcW w:w="557" w:type="pct"/>
            <w:vMerge/>
            <w:tcBorders>
              <w:right w:val="single" w:sz="6" w:space="0" w:color="EFEFEF"/>
            </w:tcBorders>
            <w:vAlign w:val="center"/>
            <w:hideMark/>
          </w:tcPr>
          <w:p w:rsidR="0034116F" w:rsidRPr="00CE0AB9" w:rsidRDefault="0034116F" w:rsidP="009A5CFC">
            <w:pPr>
              <w:rPr>
                <w:rFonts w:eastAsiaTheme="minorEastAsia"/>
                <w:color w:val="FFFFFF"/>
                <w:sz w:val="22"/>
                <w:szCs w:val="20"/>
              </w:rPr>
            </w:pPr>
          </w:p>
        </w:tc>
        <w:tc>
          <w:tcPr>
            <w:tcW w:w="395" w:type="pct"/>
            <w:vMerge/>
            <w:tcBorders>
              <w:right w:val="single" w:sz="6" w:space="0" w:color="EFEFEF"/>
            </w:tcBorders>
            <w:vAlign w:val="center"/>
            <w:hideMark/>
          </w:tcPr>
          <w:p w:rsidR="0034116F" w:rsidRPr="00CE0AB9" w:rsidRDefault="0034116F" w:rsidP="009A5CFC">
            <w:pPr>
              <w:rPr>
                <w:rFonts w:eastAsiaTheme="minorEastAsia"/>
                <w:color w:val="FFFFFF"/>
                <w:sz w:val="22"/>
                <w:szCs w:val="20"/>
              </w:rPr>
            </w:pPr>
          </w:p>
        </w:tc>
      </w:tr>
      <w:tr w:rsidR="0034116F" w:rsidRPr="00CE0AB9" w:rsidTr="009A5CFC">
        <w:trPr>
          <w:cantSplit/>
        </w:trPr>
        <w:tc>
          <w:tcPr>
            <w:tcW w:w="172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label"/>
                <w:sz w:val="22"/>
                <w:szCs w:val="20"/>
              </w:rPr>
              <w:t>Gastrointestinal adverse events - Early vomiting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61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 xml:space="preserve">8 per 1,000 </w:t>
            </w:r>
          </w:p>
        </w:tc>
        <w:tc>
          <w:tcPr>
            <w:tcW w:w="77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cell-value"/>
                <w:b/>
                <w:bCs/>
                <w:sz w:val="22"/>
                <w:szCs w:val="20"/>
              </w:rPr>
              <w:t>18 per 1,000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-value"/>
                <w:sz w:val="22"/>
                <w:szCs w:val="20"/>
              </w:rPr>
              <w:t>(12 to 28)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block"/>
                <w:b/>
                <w:bCs/>
                <w:sz w:val="22"/>
                <w:szCs w:val="20"/>
              </w:rPr>
              <w:t>RR 2.26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"/>
                <w:sz w:val="22"/>
                <w:szCs w:val="20"/>
              </w:rPr>
              <w:t>(1.46 to 3.50)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>7796</w:t>
            </w:r>
            <w:r w:rsidRPr="00CE0AB9">
              <w:rPr>
                <w:sz w:val="22"/>
                <w:szCs w:val="20"/>
              </w:rPr>
              <w:br/>
              <w:t xml:space="preserve">(10 RCTs) </w:t>
            </w:r>
          </w:p>
        </w:tc>
        <w:tc>
          <w:tcPr>
            <w:tcW w:w="5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quality-sign"/>
                <w:rFonts w:ascii="Cambria Math" w:hAnsi="Cambria Math" w:cs="Cambria Math"/>
                <w:sz w:val="22"/>
                <w:szCs w:val="20"/>
              </w:rPr>
              <w:t>⨁⨁⨁⨁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quality-text"/>
                <w:sz w:val="22"/>
                <w:szCs w:val="20"/>
              </w:rPr>
              <w:t>HIGH</w:t>
            </w:r>
            <w:r w:rsidRPr="00CE0AB9">
              <w:rPr>
                <w:sz w:val="22"/>
                <w:szCs w:val="20"/>
              </w:rPr>
              <w:t xml:space="preserve"> </w:t>
            </w:r>
            <w:r w:rsidRPr="00CE0AB9">
              <w:rPr>
                <w:sz w:val="22"/>
                <w:szCs w:val="20"/>
                <w:vertAlign w:val="superscript"/>
              </w:rPr>
              <w:t>a</w:t>
            </w:r>
          </w:p>
        </w:tc>
        <w:tc>
          <w:tcPr>
            <w:tcW w:w="39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</w:p>
        </w:tc>
      </w:tr>
      <w:tr w:rsidR="0034116F" w:rsidRPr="00CE0AB9" w:rsidTr="009A5CFC">
        <w:trPr>
          <w:cantSplit/>
        </w:trPr>
        <w:tc>
          <w:tcPr>
            <w:tcW w:w="172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label"/>
                <w:sz w:val="22"/>
                <w:szCs w:val="20"/>
              </w:rPr>
              <w:t>Gastrointestinal adverse events - Diarrhea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61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 xml:space="preserve">135 per 1,000 </w:t>
            </w:r>
          </w:p>
        </w:tc>
        <w:tc>
          <w:tcPr>
            <w:tcW w:w="77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cell-value"/>
                <w:b/>
                <w:bCs/>
                <w:sz w:val="22"/>
                <w:szCs w:val="20"/>
              </w:rPr>
              <w:t>157 per 1,000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-value"/>
                <w:sz w:val="22"/>
                <w:szCs w:val="20"/>
              </w:rPr>
              <w:t>(139 to 177)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block"/>
                <w:b/>
                <w:bCs/>
                <w:sz w:val="22"/>
                <w:szCs w:val="20"/>
              </w:rPr>
              <w:t>RR 1.16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"/>
                <w:sz w:val="22"/>
                <w:szCs w:val="20"/>
              </w:rPr>
              <w:t>(1.03 to 1.31)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>6841</w:t>
            </w:r>
            <w:r w:rsidRPr="00CE0AB9">
              <w:rPr>
                <w:sz w:val="22"/>
                <w:szCs w:val="20"/>
              </w:rPr>
              <w:br/>
              <w:t xml:space="preserve">(11 RCTs) </w:t>
            </w:r>
          </w:p>
        </w:tc>
        <w:tc>
          <w:tcPr>
            <w:tcW w:w="5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quality-sign"/>
                <w:rFonts w:ascii="Cambria Math" w:hAnsi="Cambria Math" w:cs="Cambria Math"/>
                <w:sz w:val="22"/>
                <w:szCs w:val="20"/>
              </w:rPr>
              <w:t>⨁⨁⨁⨁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quality-text"/>
                <w:sz w:val="22"/>
                <w:szCs w:val="20"/>
              </w:rPr>
              <w:t>HIGH</w:t>
            </w:r>
            <w:r w:rsidRPr="00CE0AB9">
              <w:rPr>
                <w:sz w:val="22"/>
                <w:szCs w:val="20"/>
              </w:rPr>
              <w:t xml:space="preserve"> </w:t>
            </w:r>
            <w:r w:rsidRPr="00CE0AB9">
              <w:rPr>
                <w:sz w:val="22"/>
                <w:szCs w:val="20"/>
                <w:vertAlign w:val="superscript"/>
              </w:rPr>
              <w:t>a</w:t>
            </w:r>
          </w:p>
        </w:tc>
        <w:tc>
          <w:tcPr>
            <w:tcW w:w="39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</w:p>
        </w:tc>
      </w:tr>
      <w:tr w:rsidR="0034116F" w:rsidRPr="00CE0AB9" w:rsidTr="009A5CFC">
        <w:trPr>
          <w:cantSplit/>
        </w:trPr>
        <w:tc>
          <w:tcPr>
            <w:tcW w:w="172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label"/>
                <w:sz w:val="22"/>
                <w:szCs w:val="20"/>
              </w:rPr>
              <w:t>Vomiting - Vomiting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61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 xml:space="preserve">100 per 1,000 </w:t>
            </w:r>
          </w:p>
        </w:tc>
        <w:tc>
          <w:tcPr>
            <w:tcW w:w="77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cell-value"/>
                <w:b/>
                <w:bCs/>
                <w:sz w:val="22"/>
                <w:szCs w:val="20"/>
              </w:rPr>
              <w:t>102 per 1,000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-value"/>
                <w:sz w:val="22"/>
                <w:szCs w:val="20"/>
              </w:rPr>
              <w:t>(87 to 119)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block"/>
                <w:b/>
                <w:bCs/>
                <w:sz w:val="22"/>
                <w:szCs w:val="20"/>
              </w:rPr>
              <w:t>RR 1.02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"/>
                <w:sz w:val="22"/>
                <w:szCs w:val="20"/>
              </w:rPr>
              <w:t>(0.87 to 1.19)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>8789</w:t>
            </w:r>
            <w:r w:rsidRPr="00CE0AB9">
              <w:rPr>
                <w:sz w:val="22"/>
                <w:szCs w:val="20"/>
              </w:rPr>
              <w:br/>
              <w:t xml:space="preserve">(13 RCTs) </w:t>
            </w:r>
          </w:p>
        </w:tc>
        <w:tc>
          <w:tcPr>
            <w:tcW w:w="5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quality-sign"/>
                <w:rFonts w:ascii="Cambria Math" w:hAnsi="Cambria Math" w:cs="Cambria Math"/>
                <w:sz w:val="22"/>
                <w:szCs w:val="20"/>
              </w:rPr>
              <w:t>⨁⨁⨁⨁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quality-text"/>
                <w:sz w:val="22"/>
                <w:szCs w:val="20"/>
              </w:rPr>
              <w:t>HIGH</w:t>
            </w:r>
            <w:r w:rsidRPr="00CE0AB9">
              <w:rPr>
                <w:sz w:val="22"/>
                <w:szCs w:val="20"/>
              </w:rPr>
              <w:t xml:space="preserve"> </w:t>
            </w:r>
            <w:r w:rsidRPr="00CE0AB9">
              <w:rPr>
                <w:sz w:val="22"/>
                <w:szCs w:val="20"/>
                <w:vertAlign w:val="superscript"/>
              </w:rPr>
              <w:t>a</w:t>
            </w:r>
            <w:r w:rsidRPr="00CE0AB9">
              <w:rPr>
                <w:rStyle w:val="comma"/>
                <w:sz w:val="22"/>
                <w:szCs w:val="20"/>
                <w:vertAlign w:val="superscript"/>
              </w:rPr>
              <w:t>,</w:t>
            </w:r>
            <w:r w:rsidRPr="00CE0AB9">
              <w:rPr>
                <w:sz w:val="22"/>
                <w:szCs w:val="20"/>
                <w:vertAlign w:val="superscript"/>
              </w:rPr>
              <w:t>c</w:t>
            </w:r>
          </w:p>
        </w:tc>
        <w:tc>
          <w:tcPr>
            <w:tcW w:w="39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</w:p>
        </w:tc>
      </w:tr>
      <w:tr w:rsidR="0034116F" w:rsidRPr="00CE0AB9" w:rsidTr="009A5CFC">
        <w:trPr>
          <w:cantSplit/>
        </w:trPr>
        <w:tc>
          <w:tcPr>
            <w:tcW w:w="172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label"/>
                <w:sz w:val="22"/>
                <w:szCs w:val="20"/>
              </w:rPr>
              <w:t>Gastrointestinal Adverse event - Anorexia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61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 xml:space="preserve">118 per 1,000 </w:t>
            </w:r>
          </w:p>
        </w:tc>
        <w:tc>
          <w:tcPr>
            <w:tcW w:w="77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cell-value"/>
                <w:b/>
                <w:bCs/>
                <w:sz w:val="22"/>
                <w:szCs w:val="20"/>
              </w:rPr>
              <w:t>113 per 1,000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-value"/>
                <w:sz w:val="22"/>
                <w:szCs w:val="20"/>
              </w:rPr>
              <w:t>(100 to 127)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block"/>
                <w:b/>
                <w:bCs/>
                <w:sz w:val="22"/>
                <w:szCs w:val="20"/>
              </w:rPr>
              <w:t>RR 0.95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"/>
                <w:sz w:val="22"/>
                <w:szCs w:val="20"/>
              </w:rPr>
              <w:t>(0.84 to 1.07)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>6841</w:t>
            </w:r>
            <w:r w:rsidRPr="00CE0AB9">
              <w:rPr>
                <w:sz w:val="22"/>
                <w:szCs w:val="20"/>
              </w:rPr>
              <w:br/>
              <w:t xml:space="preserve">(11 RCTs) </w:t>
            </w:r>
          </w:p>
        </w:tc>
        <w:tc>
          <w:tcPr>
            <w:tcW w:w="5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quality-sign"/>
                <w:rFonts w:ascii="Cambria Math" w:hAnsi="Cambria Math" w:cs="Cambria Math"/>
                <w:sz w:val="22"/>
                <w:szCs w:val="20"/>
              </w:rPr>
              <w:t>⨁⨁⨁⨁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quality-text"/>
                <w:sz w:val="22"/>
                <w:szCs w:val="20"/>
              </w:rPr>
              <w:t>HIGH</w:t>
            </w:r>
            <w:r w:rsidRPr="00CE0AB9">
              <w:rPr>
                <w:sz w:val="22"/>
                <w:szCs w:val="20"/>
              </w:rPr>
              <w:t xml:space="preserve"> </w:t>
            </w:r>
            <w:r w:rsidRPr="00CE0AB9">
              <w:rPr>
                <w:sz w:val="22"/>
                <w:szCs w:val="20"/>
                <w:vertAlign w:val="superscript"/>
              </w:rPr>
              <w:t>a</w:t>
            </w:r>
            <w:r w:rsidRPr="00CE0AB9">
              <w:rPr>
                <w:rStyle w:val="comma"/>
                <w:sz w:val="22"/>
                <w:szCs w:val="20"/>
                <w:vertAlign w:val="superscript"/>
              </w:rPr>
              <w:t>,</w:t>
            </w:r>
            <w:r w:rsidRPr="00CE0AB9">
              <w:rPr>
                <w:sz w:val="22"/>
                <w:szCs w:val="20"/>
                <w:vertAlign w:val="superscript"/>
              </w:rPr>
              <w:t>c</w:t>
            </w:r>
          </w:p>
        </w:tc>
        <w:tc>
          <w:tcPr>
            <w:tcW w:w="39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</w:p>
        </w:tc>
      </w:tr>
      <w:tr w:rsidR="0034116F" w:rsidRPr="00CE0AB9" w:rsidTr="009A5CFC">
        <w:trPr>
          <w:cantSplit/>
        </w:trPr>
        <w:tc>
          <w:tcPr>
            <w:tcW w:w="172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label"/>
                <w:sz w:val="22"/>
                <w:szCs w:val="20"/>
              </w:rPr>
              <w:t>Gastrointestinal Adverse event - Abdominal pain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61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 xml:space="preserve">126 per 1,000 </w:t>
            </w:r>
          </w:p>
        </w:tc>
        <w:tc>
          <w:tcPr>
            <w:tcW w:w="77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cell-value"/>
                <w:b/>
                <w:bCs/>
                <w:sz w:val="22"/>
                <w:szCs w:val="20"/>
              </w:rPr>
              <w:t>101 per 1,000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-value"/>
                <w:sz w:val="22"/>
                <w:szCs w:val="20"/>
              </w:rPr>
              <w:t>(72 to 140)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block"/>
                <w:b/>
                <w:bCs/>
                <w:sz w:val="22"/>
                <w:szCs w:val="20"/>
              </w:rPr>
              <w:t>RR 0.80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"/>
                <w:sz w:val="22"/>
                <w:szCs w:val="20"/>
              </w:rPr>
              <w:t>(0.57 to 1.11)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>2732</w:t>
            </w:r>
            <w:r w:rsidRPr="00CE0AB9">
              <w:rPr>
                <w:sz w:val="22"/>
                <w:szCs w:val="20"/>
              </w:rPr>
              <w:br/>
              <w:t xml:space="preserve">(8 RCTs) </w:t>
            </w:r>
          </w:p>
        </w:tc>
        <w:tc>
          <w:tcPr>
            <w:tcW w:w="5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quality-sign"/>
                <w:rFonts w:ascii="Cambria Math" w:hAnsi="Cambria Math" w:cs="Cambria Math"/>
                <w:sz w:val="22"/>
                <w:szCs w:val="20"/>
              </w:rPr>
              <w:t>⨁⨁⨁⨁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quality-text"/>
                <w:sz w:val="22"/>
                <w:szCs w:val="20"/>
              </w:rPr>
              <w:t>HIGH</w:t>
            </w:r>
            <w:r w:rsidRPr="00CE0AB9">
              <w:rPr>
                <w:sz w:val="22"/>
                <w:szCs w:val="20"/>
              </w:rPr>
              <w:t xml:space="preserve"> </w:t>
            </w:r>
            <w:r w:rsidRPr="00CE0AB9">
              <w:rPr>
                <w:sz w:val="22"/>
                <w:szCs w:val="20"/>
                <w:vertAlign w:val="superscript"/>
              </w:rPr>
              <w:t>a</w:t>
            </w:r>
            <w:r w:rsidRPr="00CE0AB9">
              <w:rPr>
                <w:rStyle w:val="comma"/>
                <w:sz w:val="22"/>
                <w:szCs w:val="20"/>
                <w:vertAlign w:val="superscript"/>
              </w:rPr>
              <w:t>,</w:t>
            </w:r>
            <w:r w:rsidRPr="00CE0AB9">
              <w:rPr>
                <w:sz w:val="22"/>
                <w:szCs w:val="20"/>
                <w:vertAlign w:val="superscript"/>
              </w:rPr>
              <w:t>c</w:t>
            </w:r>
          </w:p>
        </w:tc>
        <w:tc>
          <w:tcPr>
            <w:tcW w:w="39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</w:p>
        </w:tc>
      </w:tr>
      <w:tr w:rsidR="0034116F" w:rsidRPr="00CE0AB9" w:rsidTr="009A5CFC">
        <w:trPr>
          <w:cantSplit/>
        </w:trPr>
        <w:tc>
          <w:tcPr>
            <w:tcW w:w="172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label"/>
                <w:sz w:val="22"/>
                <w:szCs w:val="20"/>
              </w:rPr>
              <w:lastRenderedPageBreak/>
              <w:t>Cardio-respiratory adverse events - Cough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61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 xml:space="preserve">338 per 1,000 </w:t>
            </w:r>
          </w:p>
        </w:tc>
        <w:tc>
          <w:tcPr>
            <w:tcW w:w="77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cell-value"/>
                <w:b/>
                <w:bCs/>
                <w:sz w:val="22"/>
                <w:szCs w:val="20"/>
              </w:rPr>
              <w:t>358 per 1,000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-value"/>
                <w:sz w:val="22"/>
                <w:szCs w:val="20"/>
              </w:rPr>
              <w:t>(341 to 375)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block"/>
                <w:b/>
                <w:bCs/>
                <w:sz w:val="22"/>
                <w:szCs w:val="20"/>
              </w:rPr>
              <w:t>RR 1.06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"/>
                <w:sz w:val="22"/>
                <w:szCs w:val="20"/>
              </w:rPr>
              <w:t>(1.01 to 1.11)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>8013</w:t>
            </w:r>
            <w:r w:rsidRPr="00CE0AB9">
              <w:rPr>
                <w:sz w:val="22"/>
                <w:szCs w:val="20"/>
              </w:rPr>
              <w:br/>
              <w:t xml:space="preserve">(13 RCTs) </w:t>
            </w:r>
          </w:p>
        </w:tc>
        <w:tc>
          <w:tcPr>
            <w:tcW w:w="5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quality-sign"/>
                <w:rFonts w:ascii="Cambria Math" w:hAnsi="Cambria Math" w:cs="Cambria Math"/>
                <w:sz w:val="22"/>
                <w:szCs w:val="20"/>
              </w:rPr>
              <w:t>⨁⨁⨁⨁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quality-text"/>
                <w:sz w:val="22"/>
                <w:szCs w:val="20"/>
              </w:rPr>
              <w:t>HIGH</w:t>
            </w:r>
            <w:r w:rsidRPr="00CE0AB9">
              <w:rPr>
                <w:sz w:val="22"/>
                <w:szCs w:val="20"/>
              </w:rPr>
              <w:t xml:space="preserve"> </w:t>
            </w:r>
            <w:r w:rsidRPr="00CE0AB9">
              <w:rPr>
                <w:sz w:val="22"/>
                <w:szCs w:val="20"/>
                <w:vertAlign w:val="superscript"/>
              </w:rPr>
              <w:t>a</w:t>
            </w:r>
          </w:p>
        </w:tc>
        <w:tc>
          <w:tcPr>
            <w:tcW w:w="39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</w:p>
        </w:tc>
      </w:tr>
      <w:tr w:rsidR="0034116F" w:rsidRPr="00CE0AB9" w:rsidTr="009A5CFC">
        <w:trPr>
          <w:cantSplit/>
        </w:trPr>
        <w:tc>
          <w:tcPr>
            <w:tcW w:w="172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label"/>
                <w:sz w:val="22"/>
                <w:szCs w:val="20"/>
              </w:rPr>
              <w:t>Neuropsychiatry adverse event - weakness/malaise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61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 xml:space="preserve">123 per 1,000 </w:t>
            </w:r>
          </w:p>
        </w:tc>
        <w:tc>
          <w:tcPr>
            <w:tcW w:w="77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cell-value"/>
                <w:b/>
                <w:bCs/>
                <w:sz w:val="22"/>
                <w:szCs w:val="20"/>
              </w:rPr>
              <w:t>109 per 1,000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-value"/>
                <w:sz w:val="22"/>
                <w:szCs w:val="20"/>
              </w:rPr>
              <w:t>(91 to 127)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block"/>
                <w:b/>
                <w:bCs/>
                <w:sz w:val="22"/>
                <w:szCs w:val="20"/>
              </w:rPr>
              <w:t>RR 0.88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"/>
                <w:sz w:val="22"/>
                <w:szCs w:val="20"/>
              </w:rPr>
              <w:t>(0.74 to 1.03)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>3407</w:t>
            </w:r>
            <w:r w:rsidRPr="00CE0AB9">
              <w:rPr>
                <w:sz w:val="22"/>
                <w:szCs w:val="20"/>
              </w:rPr>
              <w:br/>
              <w:t xml:space="preserve">(8 RCTs) </w:t>
            </w:r>
          </w:p>
        </w:tc>
        <w:tc>
          <w:tcPr>
            <w:tcW w:w="5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quality-sign"/>
                <w:rFonts w:ascii="Cambria Math" w:hAnsi="Cambria Math" w:cs="Cambria Math"/>
                <w:sz w:val="22"/>
                <w:szCs w:val="20"/>
              </w:rPr>
              <w:t>⨁⨁⨁⨁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quality-text"/>
                <w:sz w:val="22"/>
                <w:szCs w:val="20"/>
              </w:rPr>
              <w:t>HIGH</w:t>
            </w:r>
            <w:r w:rsidRPr="00CE0AB9">
              <w:rPr>
                <w:sz w:val="22"/>
                <w:szCs w:val="20"/>
              </w:rPr>
              <w:t xml:space="preserve"> </w:t>
            </w:r>
            <w:r w:rsidRPr="00CE0AB9">
              <w:rPr>
                <w:sz w:val="22"/>
                <w:szCs w:val="20"/>
                <w:vertAlign w:val="superscript"/>
              </w:rPr>
              <w:t>a</w:t>
            </w:r>
            <w:r w:rsidRPr="00CE0AB9">
              <w:rPr>
                <w:rStyle w:val="comma"/>
                <w:sz w:val="22"/>
                <w:szCs w:val="20"/>
                <w:vertAlign w:val="superscript"/>
              </w:rPr>
              <w:t>,</w:t>
            </w:r>
            <w:r w:rsidRPr="00CE0AB9">
              <w:rPr>
                <w:sz w:val="22"/>
                <w:szCs w:val="20"/>
                <w:vertAlign w:val="superscript"/>
              </w:rPr>
              <w:t>c</w:t>
            </w:r>
          </w:p>
        </w:tc>
        <w:tc>
          <w:tcPr>
            <w:tcW w:w="39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</w:p>
        </w:tc>
      </w:tr>
      <w:tr w:rsidR="0034116F" w:rsidRPr="00CE0AB9" w:rsidTr="009A5CFC">
        <w:trPr>
          <w:cantSplit/>
        </w:trPr>
        <w:tc>
          <w:tcPr>
            <w:tcW w:w="172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label"/>
                <w:sz w:val="22"/>
                <w:szCs w:val="20"/>
              </w:rPr>
              <w:t>Musculoskeletal/dermatological adverse events - Pruritus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61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 xml:space="preserve">57 per 1,000 </w:t>
            </w:r>
          </w:p>
        </w:tc>
        <w:tc>
          <w:tcPr>
            <w:tcW w:w="77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cell-value"/>
                <w:b/>
                <w:bCs/>
                <w:sz w:val="22"/>
                <w:szCs w:val="20"/>
              </w:rPr>
              <w:t>57 per 1,000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-value"/>
                <w:sz w:val="22"/>
                <w:szCs w:val="20"/>
              </w:rPr>
              <w:t>(32 to 101)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block"/>
                <w:b/>
                <w:bCs/>
                <w:sz w:val="22"/>
                <w:szCs w:val="20"/>
              </w:rPr>
              <w:t>RR 1.00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"/>
                <w:sz w:val="22"/>
                <w:szCs w:val="20"/>
              </w:rPr>
              <w:t>(0.56 to 1.78)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>1952</w:t>
            </w:r>
            <w:r w:rsidRPr="00CE0AB9">
              <w:rPr>
                <w:sz w:val="22"/>
                <w:szCs w:val="20"/>
              </w:rPr>
              <w:br/>
              <w:t xml:space="preserve">(5 RCTs) </w:t>
            </w:r>
          </w:p>
        </w:tc>
        <w:tc>
          <w:tcPr>
            <w:tcW w:w="5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quality-sign"/>
                <w:rFonts w:ascii="Cambria Math" w:hAnsi="Cambria Math" w:cs="Cambria Math"/>
                <w:sz w:val="22"/>
                <w:szCs w:val="20"/>
              </w:rPr>
              <w:t>⨁⨁⨁</w:t>
            </w:r>
            <w:r w:rsidRPr="00CE0AB9">
              <w:rPr>
                <w:rStyle w:val="quality-sign"/>
                <w:rFonts w:ascii="MS Mincho" w:eastAsia="MS Mincho" w:hAnsi="MS Mincho" w:cs="MS Mincho" w:hint="eastAsia"/>
                <w:sz w:val="22"/>
                <w:szCs w:val="20"/>
              </w:rPr>
              <w:t>◯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quality-text"/>
                <w:sz w:val="22"/>
                <w:szCs w:val="20"/>
              </w:rPr>
              <w:t>MODERATE</w:t>
            </w:r>
            <w:r w:rsidRPr="00CE0AB9">
              <w:rPr>
                <w:sz w:val="22"/>
                <w:szCs w:val="20"/>
              </w:rPr>
              <w:t xml:space="preserve"> </w:t>
            </w:r>
            <w:r w:rsidRPr="00CE0AB9">
              <w:rPr>
                <w:sz w:val="22"/>
                <w:szCs w:val="20"/>
                <w:vertAlign w:val="superscript"/>
              </w:rPr>
              <w:t>a</w:t>
            </w:r>
            <w:r w:rsidRPr="00CE0AB9">
              <w:rPr>
                <w:rStyle w:val="comma"/>
                <w:sz w:val="22"/>
                <w:szCs w:val="20"/>
                <w:vertAlign w:val="superscript"/>
              </w:rPr>
              <w:t>,</w:t>
            </w:r>
            <w:r w:rsidRPr="00CE0AB9">
              <w:rPr>
                <w:sz w:val="22"/>
                <w:szCs w:val="20"/>
                <w:vertAlign w:val="superscript"/>
              </w:rPr>
              <w:t>b</w:t>
            </w:r>
          </w:p>
        </w:tc>
        <w:tc>
          <w:tcPr>
            <w:tcW w:w="39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</w:p>
        </w:tc>
      </w:tr>
      <w:tr w:rsidR="0034116F" w:rsidRPr="00CE0AB9" w:rsidTr="009A5CFC">
        <w:trPr>
          <w:cantSplit/>
        </w:trPr>
        <w:tc>
          <w:tcPr>
            <w:tcW w:w="172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label"/>
                <w:sz w:val="22"/>
                <w:szCs w:val="20"/>
              </w:rPr>
              <w:t>Other Adverse events - Pyrexia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61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 xml:space="preserve">232 per 1,000 </w:t>
            </w:r>
          </w:p>
        </w:tc>
        <w:tc>
          <w:tcPr>
            <w:tcW w:w="77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cell-value"/>
                <w:b/>
                <w:bCs/>
                <w:sz w:val="22"/>
                <w:szCs w:val="20"/>
              </w:rPr>
              <w:t>218 per 1,000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-value"/>
                <w:sz w:val="22"/>
                <w:szCs w:val="20"/>
              </w:rPr>
              <w:t>(198 to 242)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block"/>
                <w:b/>
                <w:bCs/>
                <w:sz w:val="22"/>
                <w:szCs w:val="20"/>
              </w:rPr>
              <w:t>RR 0.94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"/>
                <w:sz w:val="22"/>
                <w:szCs w:val="20"/>
              </w:rPr>
              <w:t>(0.85 to 1.04)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>4620</w:t>
            </w:r>
            <w:r w:rsidRPr="00CE0AB9">
              <w:rPr>
                <w:sz w:val="22"/>
                <w:szCs w:val="20"/>
              </w:rPr>
              <w:br/>
              <w:t xml:space="preserve">(5 RCTs) </w:t>
            </w:r>
          </w:p>
        </w:tc>
        <w:tc>
          <w:tcPr>
            <w:tcW w:w="5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quality-sign"/>
                <w:rFonts w:ascii="Cambria Math" w:hAnsi="Cambria Math" w:cs="Cambria Math"/>
                <w:sz w:val="22"/>
                <w:szCs w:val="20"/>
              </w:rPr>
              <w:t>⨁⨁⨁⨁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quality-text"/>
                <w:sz w:val="22"/>
                <w:szCs w:val="20"/>
              </w:rPr>
              <w:t>HIGH</w:t>
            </w:r>
            <w:r w:rsidRPr="00CE0AB9">
              <w:rPr>
                <w:sz w:val="22"/>
                <w:szCs w:val="20"/>
              </w:rPr>
              <w:t xml:space="preserve"> </w:t>
            </w:r>
            <w:r w:rsidRPr="00CE0AB9">
              <w:rPr>
                <w:sz w:val="22"/>
                <w:szCs w:val="20"/>
                <w:vertAlign w:val="superscript"/>
              </w:rPr>
              <w:t>a</w:t>
            </w:r>
            <w:r w:rsidRPr="00CE0AB9">
              <w:rPr>
                <w:rStyle w:val="comma"/>
                <w:sz w:val="22"/>
                <w:szCs w:val="20"/>
                <w:vertAlign w:val="superscript"/>
              </w:rPr>
              <w:t>,</w:t>
            </w:r>
            <w:r w:rsidRPr="00CE0AB9">
              <w:rPr>
                <w:sz w:val="22"/>
                <w:szCs w:val="20"/>
                <w:vertAlign w:val="superscript"/>
              </w:rPr>
              <w:t>c</w:t>
            </w:r>
          </w:p>
        </w:tc>
        <w:tc>
          <w:tcPr>
            <w:tcW w:w="39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</w:p>
        </w:tc>
      </w:tr>
      <w:tr w:rsidR="0034116F" w:rsidRPr="00CE0AB9" w:rsidTr="009A5CFC">
        <w:trPr>
          <w:cantSplit/>
        </w:trPr>
        <w:tc>
          <w:tcPr>
            <w:tcW w:w="172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label"/>
                <w:sz w:val="22"/>
                <w:szCs w:val="20"/>
              </w:rPr>
              <w:t>Serious adverse event (including death) - Serious adverse event (including death)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619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 xml:space="preserve">8 per 1,000 </w:t>
            </w:r>
          </w:p>
        </w:tc>
        <w:tc>
          <w:tcPr>
            <w:tcW w:w="773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BEBEB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cell-value"/>
                <w:b/>
                <w:bCs/>
                <w:sz w:val="22"/>
                <w:szCs w:val="20"/>
              </w:rPr>
              <w:t>10 per 1,000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-value"/>
                <w:sz w:val="22"/>
                <w:szCs w:val="20"/>
              </w:rPr>
              <w:t>(7 to 16)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4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block"/>
                <w:b/>
                <w:bCs/>
                <w:sz w:val="22"/>
                <w:szCs w:val="20"/>
              </w:rPr>
              <w:t>RR 1.27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cell"/>
                <w:sz w:val="22"/>
                <w:szCs w:val="20"/>
              </w:rPr>
              <w:t>(0.83 to 1.96)</w:t>
            </w:r>
            <w:r w:rsidRPr="00CE0AB9">
              <w:rPr>
                <w:sz w:val="22"/>
                <w:szCs w:val="20"/>
              </w:rPr>
              <w:t xml:space="preserve"> </w:t>
            </w:r>
          </w:p>
        </w:tc>
        <w:tc>
          <w:tcPr>
            <w:tcW w:w="46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>9558</w:t>
            </w:r>
            <w:r w:rsidRPr="00CE0AB9">
              <w:rPr>
                <w:sz w:val="22"/>
                <w:szCs w:val="20"/>
              </w:rPr>
              <w:br/>
              <w:t xml:space="preserve">(14 RCTs) </w:t>
            </w:r>
          </w:p>
        </w:tc>
        <w:tc>
          <w:tcPr>
            <w:tcW w:w="557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  <w:r w:rsidRPr="00CE0AB9">
              <w:rPr>
                <w:rStyle w:val="quality-sign"/>
                <w:rFonts w:ascii="Cambria Math" w:hAnsi="Cambria Math" w:cs="Cambria Math"/>
                <w:sz w:val="22"/>
                <w:szCs w:val="20"/>
              </w:rPr>
              <w:t>⨁⨁⨁</w:t>
            </w:r>
            <w:r w:rsidRPr="00CE0AB9">
              <w:rPr>
                <w:rStyle w:val="quality-sign"/>
                <w:rFonts w:ascii="MS Mincho" w:eastAsia="MS Mincho" w:hAnsi="MS Mincho" w:cs="MS Mincho" w:hint="eastAsia"/>
                <w:sz w:val="22"/>
                <w:szCs w:val="20"/>
              </w:rPr>
              <w:t>◯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rStyle w:val="quality-text"/>
                <w:sz w:val="22"/>
                <w:szCs w:val="20"/>
              </w:rPr>
              <w:t>MODERATE</w:t>
            </w:r>
            <w:r w:rsidRPr="00CE0AB9">
              <w:rPr>
                <w:sz w:val="22"/>
                <w:szCs w:val="20"/>
              </w:rPr>
              <w:t xml:space="preserve"> </w:t>
            </w:r>
            <w:r w:rsidRPr="00CE0AB9">
              <w:rPr>
                <w:sz w:val="22"/>
                <w:szCs w:val="20"/>
                <w:vertAlign w:val="superscript"/>
              </w:rPr>
              <w:t>a</w:t>
            </w:r>
            <w:r w:rsidRPr="00CE0AB9">
              <w:rPr>
                <w:rStyle w:val="comma"/>
                <w:sz w:val="22"/>
                <w:szCs w:val="20"/>
                <w:vertAlign w:val="superscript"/>
              </w:rPr>
              <w:t>,</w:t>
            </w:r>
            <w:r w:rsidRPr="00CE0AB9">
              <w:rPr>
                <w:sz w:val="22"/>
                <w:szCs w:val="20"/>
                <w:vertAlign w:val="superscript"/>
              </w:rPr>
              <w:t>b</w:t>
            </w:r>
          </w:p>
        </w:tc>
        <w:tc>
          <w:tcPr>
            <w:tcW w:w="395" w:type="pc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jc w:val="center"/>
              <w:rPr>
                <w:sz w:val="22"/>
                <w:szCs w:val="20"/>
              </w:rPr>
            </w:pPr>
          </w:p>
        </w:tc>
      </w:tr>
      <w:tr w:rsidR="0034116F" w:rsidRPr="00CE0AB9" w:rsidTr="009A5CFC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lastRenderedPageBreak/>
              <w:t>*</w:t>
            </w:r>
            <w:r w:rsidRPr="00CE0AB9">
              <w:rPr>
                <w:b/>
                <w:bCs/>
                <w:sz w:val="22"/>
                <w:szCs w:val="20"/>
              </w:rPr>
              <w:t>The risk in the intervention group</w:t>
            </w:r>
            <w:r w:rsidRPr="00CE0AB9">
              <w:rPr>
                <w:sz w:val="22"/>
                <w:szCs w:val="20"/>
              </w:rPr>
              <w:t xml:space="preserve"> (and its 95% confidence interval) is based on the assumed risk in the comparison group and the </w:t>
            </w:r>
            <w:r w:rsidRPr="00CE0AB9">
              <w:rPr>
                <w:b/>
                <w:bCs/>
                <w:sz w:val="22"/>
                <w:szCs w:val="20"/>
              </w:rPr>
              <w:t>relative effect</w:t>
            </w:r>
            <w:r w:rsidRPr="00CE0AB9">
              <w:rPr>
                <w:sz w:val="22"/>
                <w:szCs w:val="20"/>
              </w:rPr>
              <w:t xml:space="preserve"> of the intervention (and its 95% CI).                                     </w:t>
            </w:r>
          </w:p>
          <w:p w:rsidR="0034116F" w:rsidRPr="00CE0AB9" w:rsidRDefault="0034116F" w:rsidP="0034116F">
            <w:pPr>
              <w:rPr>
                <w:sz w:val="22"/>
                <w:szCs w:val="20"/>
              </w:rPr>
            </w:pPr>
            <w:r w:rsidRPr="00CE0AB9">
              <w:rPr>
                <w:sz w:val="22"/>
                <w:szCs w:val="20"/>
              </w:rPr>
              <w:t xml:space="preserve"> </w:t>
            </w:r>
            <w:r w:rsidRPr="00CE0AB9">
              <w:rPr>
                <w:b/>
                <w:bCs/>
                <w:sz w:val="22"/>
                <w:szCs w:val="20"/>
              </w:rPr>
              <w:t>CI:</w:t>
            </w:r>
            <w:r w:rsidRPr="00CE0AB9">
              <w:rPr>
                <w:sz w:val="22"/>
                <w:szCs w:val="20"/>
              </w:rPr>
              <w:t xml:space="preserve"> Confidence interval; </w:t>
            </w:r>
            <w:r w:rsidRPr="00CE0AB9">
              <w:rPr>
                <w:b/>
                <w:bCs/>
                <w:sz w:val="22"/>
                <w:szCs w:val="20"/>
              </w:rPr>
              <w:t>RR:</w:t>
            </w:r>
            <w:r w:rsidRPr="00CE0AB9">
              <w:rPr>
                <w:sz w:val="22"/>
                <w:szCs w:val="20"/>
              </w:rPr>
              <w:t xml:space="preserve"> Risk ratio </w:t>
            </w:r>
          </w:p>
        </w:tc>
      </w:tr>
      <w:tr w:rsidR="0034116F" w:rsidRPr="00CE0AB9" w:rsidTr="009A5CFC">
        <w:trPr>
          <w:cantSplit/>
        </w:trPr>
        <w:tc>
          <w:tcPr>
            <w:tcW w:w="5000" w:type="pct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:rsidR="0034116F" w:rsidRPr="00CE0AB9" w:rsidRDefault="0034116F" w:rsidP="009A5CFC">
            <w:pPr>
              <w:rPr>
                <w:sz w:val="22"/>
                <w:szCs w:val="20"/>
              </w:rPr>
            </w:pPr>
            <w:r w:rsidRPr="00CE0AB9">
              <w:rPr>
                <w:b/>
                <w:bCs/>
                <w:sz w:val="22"/>
                <w:szCs w:val="20"/>
              </w:rPr>
              <w:t>GRADE Working Group grades of evidence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b/>
                <w:bCs/>
                <w:sz w:val="22"/>
                <w:szCs w:val="20"/>
              </w:rPr>
              <w:t>High certainty:</w:t>
            </w:r>
            <w:r w:rsidRPr="00CE0AB9">
              <w:rPr>
                <w:sz w:val="22"/>
                <w:szCs w:val="20"/>
              </w:rPr>
              <w:t xml:space="preserve"> We are very confident that the true effect lies close to that of the estimate of the effect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b/>
                <w:bCs/>
                <w:sz w:val="22"/>
                <w:szCs w:val="20"/>
              </w:rPr>
              <w:t>Moderate certainty:</w:t>
            </w:r>
            <w:r w:rsidRPr="00CE0AB9">
              <w:rPr>
                <w:sz w:val="22"/>
                <w:szCs w:val="20"/>
              </w:rPr>
              <w:t xml:space="preserve"> We are moderately confident in the effect estimate: The true effect is likely to be close to the estimate of the effect, but there is a possibility that it is substantially different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b/>
                <w:bCs/>
                <w:sz w:val="22"/>
                <w:szCs w:val="20"/>
              </w:rPr>
              <w:t>Low certainty:</w:t>
            </w:r>
            <w:r w:rsidRPr="00CE0AB9">
              <w:rPr>
                <w:sz w:val="22"/>
                <w:szCs w:val="20"/>
              </w:rPr>
              <w:t xml:space="preserve"> Our confidence in the effect estimate is limited: The true effect may be substantially different from the estimate of the effect</w:t>
            </w:r>
            <w:r w:rsidRPr="00CE0AB9">
              <w:rPr>
                <w:sz w:val="22"/>
                <w:szCs w:val="20"/>
              </w:rPr>
              <w:br/>
            </w:r>
            <w:r w:rsidRPr="00CE0AB9">
              <w:rPr>
                <w:b/>
                <w:bCs/>
                <w:sz w:val="22"/>
                <w:szCs w:val="20"/>
              </w:rPr>
              <w:t>Very low certainty:</w:t>
            </w:r>
            <w:r w:rsidRPr="00CE0AB9">
              <w:rPr>
                <w:sz w:val="22"/>
                <w:szCs w:val="20"/>
              </w:rPr>
              <w:t xml:space="preserve"> We have very little confidence in the effect estimate: The true effect is likely to be substantially different from the estimate of effect </w:t>
            </w:r>
          </w:p>
        </w:tc>
      </w:tr>
    </w:tbl>
    <w:p w:rsidR="0034116F" w:rsidRPr="00CE0AB9" w:rsidRDefault="0034116F" w:rsidP="0034116F">
      <w:pPr>
        <w:pStyle w:val="Heading4"/>
        <w:rPr>
          <w:rFonts w:eastAsia="Times New Roman" w:cs="Times New Roman"/>
          <w:sz w:val="26"/>
        </w:rPr>
      </w:pPr>
      <w:r w:rsidRPr="00CE0AB9">
        <w:rPr>
          <w:rFonts w:eastAsia="Times New Roman" w:cs="Times New Roman"/>
          <w:sz w:val="26"/>
        </w:rPr>
        <w:t>Explanations</w:t>
      </w:r>
    </w:p>
    <w:p w:rsidR="0034116F" w:rsidRPr="00CE0AB9" w:rsidRDefault="0034116F" w:rsidP="0034116F">
      <w:pPr>
        <w:rPr>
          <w:color w:val="000000"/>
          <w:sz w:val="22"/>
          <w:szCs w:val="20"/>
        </w:rPr>
      </w:pPr>
      <w:r w:rsidRPr="00CE0AB9">
        <w:rPr>
          <w:color w:val="000000"/>
          <w:sz w:val="22"/>
          <w:szCs w:val="20"/>
        </w:rPr>
        <w:t xml:space="preserve">a. Excluding studies with a high risk of bias didn't change the result. </w:t>
      </w:r>
    </w:p>
    <w:p w:rsidR="0034116F" w:rsidRPr="00CE0AB9" w:rsidRDefault="0034116F" w:rsidP="0034116F">
      <w:pPr>
        <w:rPr>
          <w:color w:val="000000"/>
          <w:sz w:val="22"/>
          <w:szCs w:val="20"/>
        </w:rPr>
      </w:pPr>
      <w:r w:rsidRPr="00CE0AB9">
        <w:rPr>
          <w:color w:val="000000"/>
          <w:sz w:val="22"/>
          <w:szCs w:val="20"/>
        </w:rPr>
        <w:t xml:space="preserve">b. There is no significant difference between the two treatment groups. </w:t>
      </w:r>
    </w:p>
    <w:p w:rsidR="0034116F" w:rsidRPr="00CE0AB9" w:rsidRDefault="0034116F" w:rsidP="0034116F">
      <w:pPr>
        <w:rPr>
          <w:color w:val="000000"/>
          <w:sz w:val="22"/>
          <w:szCs w:val="20"/>
        </w:rPr>
      </w:pPr>
      <w:r w:rsidRPr="00CE0AB9">
        <w:rPr>
          <w:color w:val="000000"/>
          <w:sz w:val="22"/>
          <w:szCs w:val="20"/>
        </w:rPr>
        <w:t xml:space="preserve">c. The outcome fulfilled the IOS criteria and the effect size is between 0.75 and 1.25. </w:t>
      </w:r>
    </w:p>
    <w:p w:rsidR="0034116F" w:rsidRDefault="0034116F" w:rsidP="0034116F"/>
    <w:p w:rsidR="00F16AFB" w:rsidRDefault="00F16AFB"/>
    <w:sectPr w:rsidR="00F16AFB" w:rsidSect="00E06C5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16F"/>
    <w:rsid w:val="002A6CAB"/>
    <w:rsid w:val="002C1F03"/>
    <w:rsid w:val="00320A43"/>
    <w:rsid w:val="0034116F"/>
    <w:rsid w:val="0037473D"/>
    <w:rsid w:val="00627376"/>
    <w:rsid w:val="00C37518"/>
    <w:rsid w:val="00D8725A"/>
    <w:rsid w:val="00EA58F8"/>
    <w:rsid w:val="00F1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1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AT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4116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4116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de-AT" w:eastAsia="de-AT"/>
    </w:rPr>
  </w:style>
  <w:style w:type="paragraph" w:styleId="NormalWeb">
    <w:name w:val="Normal (Web)"/>
    <w:basedOn w:val="Normal"/>
    <w:uiPriority w:val="99"/>
    <w:unhideWhenUsed/>
    <w:rsid w:val="0034116F"/>
    <w:pPr>
      <w:spacing w:before="100" w:beforeAutospacing="1" w:after="100" w:afterAutospacing="1"/>
    </w:pPr>
    <w:rPr>
      <w:lang w:val="en-US" w:eastAsia="en-US"/>
    </w:rPr>
  </w:style>
  <w:style w:type="paragraph" w:customStyle="1" w:styleId="sof-title">
    <w:name w:val="sof-title"/>
    <w:basedOn w:val="Normal"/>
    <w:rsid w:val="0034116F"/>
    <w:pPr>
      <w:spacing w:before="100" w:beforeAutospacing="1" w:after="100" w:afterAutospacing="1"/>
    </w:pPr>
    <w:rPr>
      <w:rFonts w:eastAsiaTheme="minorEastAsia"/>
      <w:lang w:val="en-US" w:eastAsia="en-US"/>
    </w:rPr>
  </w:style>
  <w:style w:type="paragraph" w:customStyle="1" w:styleId="first-letter">
    <w:name w:val="first-letter"/>
    <w:basedOn w:val="Normal"/>
    <w:rsid w:val="0034116F"/>
    <w:pPr>
      <w:spacing w:before="100" w:beforeAutospacing="1" w:after="100" w:afterAutospacing="1"/>
    </w:pPr>
    <w:rPr>
      <w:rFonts w:eastAsiaTheme="minorEastAsia"/>
      <w:lang w:val="en-US" w:eastAsia="en-US"/>
    </w:rPr>
  </w:style>
  <w:style w:type="character" w:customStyle="1" w:styleId="label">
    <w:name w:val="label"/>
    <w:basedOn w:val="DefaultParagraphFont"/>
    <w:rsid w:val="0034116F"/>
  </w:style>
  <w:style w:type="character" w:customStyle="1" w:styleId="cell-value">
    <w:name w:val="cell-value"/>
    <w:basedOn w:val="DefaultParagraphFont"/>
    <w:qFormat/>
    <w:rsid w:val="0034116F"/>
  </w:style>
  <w:style w:type="character" w:customStyle="1" w:styleId="cell">
    <w:name w:val="cell"/>
    <w:basedOn w:val="DefaultParagraphFont"/>
    <w:rsid w:val="0034116F"/>
  </w:style>
  <w:style w:type="character" w:customStyle="1" w:styleId="block">
    <w:name w:val="block"/>
    <w:basedOn w:val="DefaultParagraphFont"/>
    <w:qFormat/>
    <w:rsid w:val="0034116F"/>
  </w:style>
  <w:style w:type="character" w:customStyle="1" w:styleId="quality-sign">
    <w:name w:val="quality-sign"/>
    <w:basedOn w:val="DefaultParagraphFont"/>
    <w:qFormat/>
    <w:rsid w:val="0034116F"/>
  </w:style>
  <w:style w:type="character" w:customStyle="1" w:styleId="quality-text">
    <w:name w:val="quality-text"/>
    <w:basedOn w:val="DefaultParagraphFont"/>
    <w:qFormat/>
    <w:rsid w:val="0034116F"/>
  </w:style>
  <w:style w:type="character" w:customStyle="1" w:styleId="comma">
    <w:name w:val="comma"/>
    <w:basedOn w:val="DefaultParagraphFont"/>
    <w:qFormat/>
    <w:rsid w:val="003411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1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AT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4116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4116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de-AT" w:eastAsia="de-AT"/>
    </w:rPr>
  </w:style>
  <w:style w:type="paragraph" w:styleId="NormalWeb">
    <w:name w:val="Normal (Web)"/>
    <w:basedOn w:val="Normal"/>
    <w:uiPriority w:val="99"/>
    <w:unhideWhenUsed/>
    <w:rsid w:val="0034116F"/>
    <w:pPr>
      <w:spacing w:before="100" w:beforeAutospacing="1" w:after="100" w:afterAutospacing="1"/>
    </w:pPr>
    <w:rPr>
      <w:lang w:val="en-US" w:eastAsia="en-US"/>
    </w:rPr>
  </w:style>
  <w:style w:type="paragraph" w:customStyle="1" w:styleId="sof-title">
    <w:name w:val="sof-title"/>
    <w:basedOn w:val="Normal"/>
    <w:rsid w:val="0034116F"/>
    <w:pPr>
      <w:spacing w:before="100" w:beforeAutospacing="1" w:after="100" w:afterAutospacing="1"/>
    </w:pPr>
    <w:rPr>
      <w:rFonts w:eastAsiaTheme="minorEastAsia"/>
      <w:lang w:val="en-US" w:eastAsia="en-US"/>
    </w:rPr>
  </w:style>
  <w:style w:type="paragraph" w:customStyle="1" w:styleId="first-letter">
    <w:name w:val="first-letter"/>
    <w:basedOn w:val="Normal"/>
    <w:rsid w:val="0034116F"/>
    <w:pPr>
      <w:spacing w:before="100" w:beforeAutospacing="1" w:after="100" w:afterAutospacing="1"/>
    </w:pPr>
    <w:rPr>
      <w:rFonts w:eastAsiaTheme="minorEastAsia"/>
      <w:lang w:val="en-US" w:eastAsia="en-US"/>
    </w:rPr>
  </w:style>
  <w:style w:type="character" w:customStyle="1" w:styleId="label">
    <w:name w:val="label"/>
    <w:basedOn w:val="DefaultParagraphFont"/>
    <w:rsid w:val="0034116F"/>
  </w:style>
  <w:style w:type="character" w:customStyle="1" w:styleId="cell-value">
    <w:name w:val="cell-value"/>
    <w:basedOn w:val="DefaultParagraphFont"/>
    <w:qFormat/>
    <w:rsid w:val="0034116F"/>
  </w:style>
  <w:style w:type="character" w:customStyle="1" w:styleId="cell">
    <w:name w:val="cell"/>
    <w:basedOn w:val="DefaultParagraphFont"/>
    <w:rsid w:val="0034116F"/>
  </w:style>
  <w:style w:type="character" w:customStyle="1" w:styleId="block">
    <w:name w:val="block"/>
    <w:basedOn w:val="DefaultParagraphFont"/>
    <w:qFormat/>
    <w:rsid w:val="0034116F"/>
  </w:style>
  <w:style w:type="character" w:customStyle="1" w:styleId="quality-sign">
    <w:name w:val="quality-sign"/>
    <w:basedOn w:val="DefaultParagraphFont"/>
    <w:qFormat/>
    <w:rsid w:val="0034116F"/>
  </w:style>
  <w:style w:type="character" w:customStyle="1" w:styleId="quality-text">
    <w:name w:val="quality-text"/>
    <w:basedOn w:val="DefaultParagraphFont"/>
    <w:qFormat/>
    <w:rsid w:val="0034116F"/>
  </w:style>
  <w:style w:type="character" w:customStyle="1" w:styleId="comma">
    <w:name w:val="comma"/>
    <w:basedOn w:val="DefaultParagraphFont"/>
    <w:qFormat/>
    <w:rsid w:val="003411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2021-07-12T09:45:00Z</dcterms:created>
  <dcterms:modified xsi:type="dcterms:W3CDTF">2021-07-12T10:53:00Z</dcterms:modified>
</cp:coreProperties>
</file>