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BA9F" w14:textId="01AE708D" w:rsidR="00F31193" w:rsidRPr="0036682B" w:rsidRDefault="00626A24" w:rsidP="00240C50">
      <w:pPr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Supplemental Methods</w:t>
      </w:r>
    </w:p>
    <w:p w14:paraId="32993560" w14:textId="4EB1C911" w:rsidR="00FB0B49" w:rsidRDefault="007B0B37" w:rsidP="00240C50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Construction of the </w:t>
      </w:r>
      <w:r w:rsidR="00FB0B49" w:rsidRPr="00FB0B49">
        <w:rPr>
          <w:b/>
          <w:bCs/>
          <w:sz w:val="32"/>
          <w:szCs w:val="32"/>
          <w:lang w:val="en-GB"/>
        </w:rPr>
        <w:t>Bandpower Model</w:t>
      </w:r>
    </w:p>
    <w:p w14:paraId="5165CB95" w14:textId="57835739" w:rsidR="008963E3" w:rsidRPr="008963E3" w:rsidRDefault="008963E3" w:rsidP="008963E3">
      <w:r w:rsidRPr="006E6E16">
        <w:rPr>
          <w:lang w:val="en-US"/>
        </w:rPr>
        <w:t>A na</w:t>
      </w:r>
      <w:r w:rsidR="00CD69E8">
        <w:rPr>
          <w:lang w:val="en-GB"/>
        </w:rPr>
        <w:t>i</w:t>
      </w:r>
      <w:r w:rsidRPr="006E6E16">
        <w:rPr>
          <w:lang w:val="en-US"/>
        </w:rPr>
        <w:t xml:space="preserve">ve approach would be to model each EEG frequency band separately. However, this ignores </w:t>
      </w:r>
      <w:r w:rsidR="00B8446D">
        <w:rPr>
          <w:lang w:val="en-GB"/>
        </w:rPr>
        <w:t xml:space="preserve">the fact that </w:t>
      </w:r>
      <w:r w:rsidRPr="006E6E16">
        <w:rPr>
          <w:lang w:val="en-US"/>
        </w:rPr>
        <w:t xml:space="preserve">the relative bandpowers across all bands in a given EEG segment always sum to one. This constraint means the bands are not independent but are negatively correlated. </w:t>
      </w:r>
      <w:r w:rsidRPr="008963E3">
        <w:t xml:space="preserve">Mathematically, the vector of </w:t>
      </w:r>
      <w:r w:rsidR="00DE365F" w:rsidRPr="008963E3">
        <w:t>relative bandpowers</w:t>
      </w:r>
    </w:p>
    <w:p w14:paraId="2FFFDE52" w14:textId="2532E415" w:rsidR="008963E3" w:rsidRDefault="008963E3" w:rsidP="008963E3">
      <w:pPr>
        <w:rPr>
          <w:lang w:val="en-GB"/>
        </w:rPr>
      </w:pPr>
      <m:oMathPara>
        <m:oMath>
          <m:r>
            <w:rPr>
              <w:rFonts w:ascii="Cambria Math" w:hAnsi="Cambria Math"/>
              <w:lang w:val="en-GB"/>
            </w:rPr>
            <m:t>Y≔(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y</m:t>
              </m:r>
            </m:e>
            <m:sub>
              <m:r>
                <w:rPr>
                  <w:rFonts w:ascii="Cambria Math" w:hAnsi="Cambria Math"/>
                  <w:lang w:val="en-GB"/>
                </w:rPr>
                <m:t>δ</m:t>
              </m:r>
            </m:sub>
          </m:sSub>
          <m:r>
            <w:rPr>
              <w:rFonts w:ascii="Cambria Math" w:hAnsi="Cambria Math"/>
              <w:lang w:val="en-GB"/>
            </w:rPr>
            <m:t>,…,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y</m:t>
              </m:r>
            </m:e>
            <m:sub>
              <m:r>
                <w:rPr>
                  <w:rFonts w:ascii="Cambria Math" w:hAnsi="Cambria Math"/>
                  <w:lang w:val="en-GB"/>
                </w:rPr>
                <m:t>γ</m:t>
              </m:r>
            </m:sub>
          </m:sSub>
          <m:r>
            <w:rPr>
              <w:rFonts w:ascii="Cambria Math" w:hAnsi="Cambria Math"/>
              <w:lang w:val="en-GB"/>
            </w:rPr>
            <m:t>)</m:t>
          </m:r>
        </m:oMath>
      </m:oMathPara>
    </w:p>
    <w:p w14:paraId="333C5133" w14:textId="21C1DBE8" w:rsidR="008963E3" w:rsidRPr="006E6E16" w:rsidRDefault="008963E3" w:rsidP="008963E3">
      <w:pPr>
        <w:rPr>
          <w:lang w:val="en-US"/>
        </w:rPr>
      </w:pPr>
      <w:r w:rsidRPr="006E6E16">
        <w:rPr>
          <w:lang w:val="en-US"/>
        </w:rPr>
        <w:t>does not span the whole five-dimensional real space</w:t>
      </w:r>
      <w:r w:rsidR="00DE365F">
        <w:rPr>
          <w:lang w:val="en-GB"/>
        </w:rPr>
        <w:t xml:space="preserve"> </w:t>
      </w:r>
      <w:r w:rsidRPr="006E6E16">
        <w:rPr>
          <w:lang w:val="en-US"/>
        </w:rPr>
        <w:t xml:space="preserve">, but instead lies in a </w:t>
      </w:r>
      <w:r w:rsidRPr="006E6E16">
        <w:rPr>
          <w:i/>
          <w:iCs/>
          <w:lang w:val="en-US"/>
        </w:rPr>
        <w:t>simplex</w:t>
      </w:r>
      <w:r w:rsidRPr="006E6E16">
        <w:rPr>
          <w:lang w:val="en-US"/>
        </w:rPr>
        <w:t xml:space="preserve"> (a constrained space where components sum to one) [Greenacre, 2021].</w:t>
      </w:r>
    </w:p>
    <w:p w14:paraId="30E8FD76" w14:textId="5A486416" w:rsidR="005071B5" w:rsidRPr="0011074C" w:rsidRDefault="008963E3" w:rsidP="005071B5">
      <w:pPr>
        <w:rPr>
          <w:lang w:val="en-GB"/>
        </w:rPr>
      </w:pPr>
      <w:r w:rsidRPr="006E6E16">
        <w:rPr>
          <w:lang w:val="en-US"/>
        </w:rPr>
        <w:t xml:space="preserve">To analyze RBPs correctly, we need to “open up” this simplex into an unconstrained space. This </w:t>
      </w:r>
      <w:r w:rsidR="00EA5982" w:rsidRPr="0011074C">
        <w:rPr>
          <w:lang w:val="en-GB"/>
        </w:rPr>
        <w:t>can be</w:t>
      </w:r>
      <w:r w:rsidRPr="006E6E16">
        <w:rPr>
          <w:lang w:val="en-US"/>
        </w:rPr>
        <w:t xml:space="preserve"> achieved by transforming the data into log-ratios</w:t>
      </w:r>
      <w:r w:rsidR="00B8446D">
        <w:rPr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>L(Y)</m:t>
        </m:r>
      </m:oMath>
      <w:r w:rsidRPr="006E6E16">
        <w:rPr>
          <w:lang w:val="en-US"/>
        </w:rPr>
        <w:t>.</w:t>
      </w:r>
      <w:r w:rsidR="0011074C" w:rsidRPr="0011074C">
        <w:rPr>
          <w:lang w:val="en-GB"/>
        </w:rPr>
        <w:t xml:space="preserve"> </w:t>
      </w:r>
      <w:r w:rsidR="005071B5" w:rsidRPr="006E6E16">
        <w:rPr>
          <w:rFonts w:eastAsiaTheme="minorEastAsia"/>
          <w:iCs/>
          <w:lang w:val="en-US"/>
        </w:rPr>
        <w:t>At each brain region</w:t>
      </w:r>
      <w:r w:rsidR="005071B5" w:rsidRPr="0011074C">
        <w:rPr>
          <w:rFonts w:eastAsiaTheme="minorEastAsia"/>
          <w:iCs/>
          <w:lang w:val="en-GB"/>
        </w:rPr>
        <w:t xml:space="preserve"> l</w:t>
      </w:r>
      <w:r w:rsidR="005071B5" w:rsidRPr="006E6E16">
        <w:rPr>
          <w:rFonts w:eastAsiaTheme="minorEastAsia"/>
          <w:iCs/>
          <w:lang w:val="en-US"/>
        </w:rPr>
        <w:t>, these four log-ratios were modeled as coming from a multivariate normal distribution with mean vector</w:t>
      </w:r>
    </w:p>
    <w:p w14:paraId="6619A273" w14:textId="7D2E3BE4" w:rsidR="002352F4" w:rsidRPr="005071B5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≔(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l,1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,…,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l,4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1E8FD0C8" w14:textId="6931F050" w:rsidR="005071B5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>and covariance matrix</w:t>
      </w:r>
      <w:r w:rsidR="004D4D2E" w:rsidRPr="0011074C">
        <w:rPr>
          <w:rFonts w:eastAsiaTheme="minorEastAsia"/>
          <w:iCs/>
          <w:lang w:val="en-GB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Σ</m:t>
        </m:r>
      </m:oMath>
      <w:r w:rsidRPr="005071B5">
        <w:rPr>
          <w:rFonts w:eastAsiaTheme="minorEastAsia"/>
          <w:iCs/>
        </w:rPr>
        <w:t>:</w:t>
      </w:r>
    </w:p>
    <w:p w14:paraId="16CAB823" w14:textId="724B2170" w:rsidR="00D5244A" w:rsidRPr="005071B5" w:rsidRDefault="00085EF4" w:rsidP="005071B5">
      <w:pPr>
        <w:rPr>
          <w:rFonts w:eastAsiaTheme="minorEastAsia"/>
          <w:iCs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L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GB"/>
                    </w:rPr>
                    <m:t>l</m:t>
                  </m:r>
                </m:sub>
              </m:sSub>
            </m:e>
          </m:d>
          <m:r>
            <m:rPr>
              <m:scr m:val="script"/>
            </m:rPr>
            <w:rPr>
              <w:rFonts w:ascii="Cambria Math" w:eastAsiaTheme="minorEastAsia" w:hAnsi="Cambria Math"/>
              <w:lang w:val="en-GB"/>
            </w:rPr>
            <m:t xml:space="preserve"> ~ N(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Σ</m:t>
          </m:r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2C71E08F" w14:textId="748C97BD" w:rsidR="005071B5" w:rsidRDefault="005071B5" w:rsidP="005071B5">
      <w:pPr>
        <w:rPr>
          <w:rFonts w:eastAsiaTheme="minorEastAsia"/>
          <w:iCs/>
          <w:lang w:val="en-GB"/>
        </w:rPr>
      </w:pPr>
      <w:r w:rsidRPr="006E6E16">
        <w:rPr>
          <w:rFonts w:eastAsiaTheme="minorEastAsia"/>
          <w:iCs/>
          <w:lang w:val="en-US"/>
        </w:rPr>
        <w:t xml:space="preserve">The covariance structure was split into two components: a diagonal matrix of standard deviations </w:t>
      </w:r>
      <m:oMath>
        <m:r>
          <w:rPr>
            <w:rFonts w:ascii="Cambria Math" w:eastAsiaTheme="minorEastAsia" w:hAnsi="Cambria Math"/>
          </w:rPr>
          <m:t>S</m:t>
        </m:r>
      </m:oMath>
      <w:r w:rsidR="00665409">
        <w:rPr>
          <w:rFonts w:eastAsiaTheme="minorEastAsia"/>
          <w:iCs/>
          <w:lang w:val="en-GB"/>
        </w:rPr>
        <w:t xml:space="preserve"> </w:t>
      </w:r>
      <w:r w:rsidRPr="006E6E16">
        <w:rPr>
          <w:rFonts w:eastAsiaTheme="minorEastAsia"/>
          <w:iCs/>
          <w:lang w:val="en-US"/>
        </w:rPr>
        <w:t xml:space="preserve">with entries drawn from an exponential prior,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(</m:t>
            </m:r>
            <m:r>
              <w:rPr>
                <w:rFonts w:ascii="Cambria Math" w:eastAsiaTheme="minorEastAsia" w:hAnsi="Cambria Math"/>
                <w:lang w:val="en-GB"/>
              </w:rPr>
              <m:t>S)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  <m:r>
              <w:rPr>
                <w:rFonts w:ascii="Cambria Math" w:eastAsiaTheme="minorEastAsia" w:hAnsi="Cambria Math"/>
                <w:lang w:val="en-GB"/>
              </w:rPr>
              <m:t>,i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 ~ </m:t>
        </m:r>
        <m:r>
          <w:rPr>
            <w:rFonts w:ascii="Cambria Math" w:eastAsiaTheme="minorEastAsia" w:hAnsi="Cambria Math"/>
            <w:lang w:val="en-GB"/>
          </w:rPr>
          <m:t>Exp(1)</m:t>
        </m:r>
      </m:oMath>
      <w:r w:rsidRPr="006E6E16">
        <w:rPr>
          <w:rFonts w:eastAsiaTheme="minorEastAsia"/>
          <w:iCs/>
          <w:lang w:val="en-US"/>
        </w:rPr>
        <w:t>, and a correlation matrix</w:t>
      </w:r>
      <w:r w:rsidR="00D11AED">
        <w:rPr>
          <w:rFonts w:eastAsiaTheme="minorEastAsia"/>
          <w:iCs/>
          <w:lang w:val="en-GB"/>
        </w:rPr>
        <w:t xml:space="preserve"> </w:t>
      </w:r>
      <m:oMath>
        <m:r>
          <w:rPr>
            <w:rFonts w:ascii="Cambria Math" w:eastAsiaTheme="minorEastAsia" w:hAnsi="Cambria Math"/>
            <w:lang w:val="en-GB"/>
          </w:rPr>
          <m:t>C</m:t>
        </m:r>
      </m:oMath>
      <w:r w:rsidRPr="006E6E16">
        <w:rPr>
          <w:rFonts w:eastAsiaTheme="minorEastAsia"/>
          <w:iCs/>
          <w:lang w:val="en-US"/>
        </w:rPr>
        <w:t xml:space="preserve">. </w:t>
      </w:r>
      <w:r w:rsidRPr="005071B5">
        <w:rPr>
          <w:rFonts w:eastAsiaTheme="minorEastAsia"/>
          <w:iCs/>
        </w:rPr>
        <w:t xml:space="preserve">The prior for </w:t>
      </w:r>
      <m:oMath>
        <m:r>
          <w:rPr>
            <w:rFonts w:ascii="Cambria Math" w:eastAsiaTheme="minorEastAsia" w:hAnsi="Cambria Math"/>
          </w:rPr>
          <m:t>C</m:t>
        </m:r>
      </m:oMath>
      <w:r w:rsidRPr="005071B5">
        <w:rPr>
          <w:rFonts w:eastAsiaTheme="minorEastAsia"/>
          <w:iCs/>
        </w:rPr>
        <w:t xml:space="preserve"> followed the Lewandowski–Kurowicka–Joe (LJK) distribution:</w:t>
      </w:r>
    </w:p>
    <w:p w14:paraId="38B8D676" w14:textId="3CB036D9" w:rsidR="00D11AED" w:rsidRPr="005071B5" w:rsidRDefault="00D11AED" w:rsidP="005071B5">
      <w:pPr>
        <w:rPr>
          <w:rFonts w:eastAsiaTheme="minorEastAsia"/>
          <w:i/>
          <w:iCs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Σ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lang w:val="en-GB"/>
            </w:rPr>
            <m:t>SCS</m:t>
          </m:r>
        </m:oMath>
      </m:oMathPara>
    </w:p>
    <w:p w14:paraId="59404BD6" w14:textId="77777777" w:rsidR="00A0698E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 xml:space="preserve">The mean of each log-ratio,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lang w:val="en-GB"/>
              </w:rPr>
              <m:t>μ</m:t>
            </m:r>
          </m:e>
          <m:sub>
            <m:r>
              <w:rPr>
                <w:rFonts w:ascii="Cambria Math" w:eastAsiaTheme="minorEastAsia" w:hAnsi="Cambria Math"/>
                <w:lang w:val="en-GB"/>
              </w:rPr>
              <m:t>l,r</m:t>
            </m:r>
          </m:sub>
        </m:sSub>
      </m:oMath>
      <w:r w:rsidRPr="005071B5">
        <w:rPr>
          <w:rFonts w:ascii="Arial" w:eastAsiaTheme="minorEastAsia" w:hAnsi="Arial" w:cs="Arial"/>
          <w:iCs/>
        </w:rPr>
        <w:t>​</w:t>
      </w:r>
      <w:r w:rsidRPr="005071B5">
        <w:rPr>
          <w:rFonts w:eastAsiaTheme="minorEastAsia"/>
          <w:iCs/>
        </w:rPr>
        <w:t>, was further explained using a linear regression model</w:t>
      </w:r>
      <w:r w:rsidR="0036682B">
        <w:rPr>
          <w:rFonts w:eastAsiaTheme="minorEastAsia"/>
          <w:iCs/>
          <w:lang w:val="en-GB"/>
        </w:rPr>
        <w:t xml:space="preserve">. </w:t>
      </w:r>
    </w:p>
    <w:p w14:paraId="4ACCFD1B" w14:textId="05F368EA" w:rsidR="00740CC8" w:rsidRPr="00740CC8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</m:sSub>
        </m:oMath>
      </m:oMathPara>
    </w:p>
    <w:p w14:paraId="4399B256" w14:textId="2CC6A41D" w:rsidR="00740CC8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=(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Intercept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Age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Sex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CACNA1A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FGF14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2017F9ED" w14:textId="2A2DB767" w:rsidR="005071B5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>To capture correlations across brain regions, regression coefficients were modeled hierarchically. Specifically, each region-specific coefficient</w:t>
      </w:r>
      <w:r w:rsidR="001B6199">
        <w:rPr>
          <w:rFonts w:eastAsiaTheme="minorEastAsia"/>
          <w:iCs/>
          <w:lang w:val="en-GB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lang w:val="en-GB"/>
              </w:rPr>
              <m:t>β</m:t>
            </m:r>
          </m:e>
          <m:sub>
            <m:r>
              <w:rPr>
                <w:rFonts w:ascii="Cambria Math" w:eastAsiaTheme="minorEastAsia" w:hAnsi="Cambria Math"/>
                <w:lang w:val="en-GB"/>
              </w:rPr>
              <m:t>l,r</m:t>
            </m:r>
          </m:sub>
        </m:sSub>
      </m:oMath>
      <w:r w:rsidRPr="005071B5">
        <w:rPr>
          <w:rFonts w:eastAsiaTheme="minorEastAsia"/>
          <w:iCs/>
        </w:rPr>
        <w:t xml:space="preserve"> was assumed to vary around a shared global effect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</m:oMath>
      <w:r w:rsidRPr="005071B5">
        <w:rPr>
          <w:rFonts w:ascii="Arial" w:eastAsiaTheme="minorEastAsia" w:hAnsi="Arial" w:cs="Arial"/>
          <w:iCs/>
        </w:rPr>
        <w:t>​</w:t>
      </w:r>
      <w:r w:rsidRPr="005071B5">
        <w:rPr>
          <w:rFonts w:eastAsiaTheme="minorEastAsia"/>
          <w:iCs/>
        </w:rPr>
        <w:t>:</w:t>
      </w:r>
    </w:p>
    <w:p w14:paraId="124545D7" w14:textId="24BC0A44" w:rsidR="00337228" w:rsidRPr="00753EF8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r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</m:sSub>
        </m:oMath>
      </m:oMathPara>
    </w:p>
    <w:p w14:paraId="1AC2A188" w14:textId="2040CCB6" w:rsidR="00753EF8" w:rsidRPr="005071B5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l,r</m:t>
              </m:r>
            </m:sub>
          </m:sSub>
          <m:r>
            <m:rPr>
              <m:scr m:val="script"/>
            </m:rPr>
            <w:rPr>
              <w:rFonts w:ascii="Cambria Math" w:eastAsiaTheme="minorEastAsia" w:hAnsi="Cambria Math"/>
              <w:lang w:val="en-GB"/>
            </w:rPr>
            <m:t>~N</m:t>
          </m:r>
          <m:r>
            <w:rPr>
              <w:rFonts w:ascii="Cambria Math" w:eastAsiaTheme="minorEastAsia" w:hAnsi="Cambria Math"/>
              <w:lang w:val="en-GB"/>
            </w:rPr>
            <m:t>(0,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1</m:t>
          </m:r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36F42135" w14:textId="366723BE" w:rsidR="005071B5" w:rsidRPr="005071B5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 xml:space="preserve">Here,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</m:oMath>
      <w:r w:rsidRPr="005071B5">
        <w:rPr>
          <w:rFonts w:ascii="Arial" w:eastAsiaTheme="minorEastAsia" w:hAnsi="Arial" w:cs="Arial"/>
          <w:iCs/>
        </w:rPr>
        <w:t>​</w:t>
      </w:r>
      <w:r w:rsidRPr="005071B5">
        <w:rPr>
          <w:rFonts w:eastAsiaTheme="minorEastAsia"/>
          <w:iCs/>
        </w:rPr>
        <w:t xml:space="preserve"> reflects the overall effect of a predictor across all regions, while the term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lang w:val="en-GB"/>
              </w:rPr>
              <m:t>σ</m:t>
            </m:r>
          </m:e>
          <m:sub>
            <m:r>
              <w:rPr>
                <w:rFonts w:ascii="Cambria Math" w:eastAsiaTheme="minorEastAsia" w:hAnsi="Cambria Math"/>
                <w:lang w:val="en-GB"/>
              </w:rPr>
              <m:t>r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lang w:val="en-GB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GB"/>
              </w:rPr>
              <m:t>l,r</m:t>
            </m:r>
          </m:sub>
        </m:sSub>
      </m:oMath>
      <w:r w:rsidR="00753EF8">
        <w:rPr>
          <w:rFonts w:eastAsiaTheme="minorEastAsia"/>
          <w:iCs/>
          <w:lang w:val="en-GB"/>
        </w:rPr>
        <w:t xml:space="preserve"> </w:t>
      </w:r>
      <w:r w:rsidRPr="005071B5">
        <w:rPr>
          <w:rFonts w:eastAsiaTheme="minorEastAsia"/>
          <w:iCs/>
        </w:rPr>
        <w:t>allows for region-specific deviations.</w:t>
      </w:r>
    </w:p>
    <w:p w14:paraId="4EAABB6E" w14:textId="057C7781" w:rsidR="005071B5" w:rsidRPr="005071B5" w:rsidRDefault="00072574" w:rsidP="005071B5">
      <w:pPr>
        <w:rPr>
          <w:rFonts w:eastAsiaTheme="minorEastAsia"/>
          <w:b/>
          <w:bCs/>
          <w:iCs/>
          <w:sz w:val="32"/>
          <w:szCs w:val="32"/>
          <w:lang w:val="en-GB"/>
        </w:rPr>
      </w:pPr>
      <w:r w:rsidRPr="00072574">
        <w:rPr>
          <w:rFonts w:eastAsiaTheme="minorEastAsia"/>
          <w:b/>
          <w:bCs/>
          <w:iCs/>
          <w:sz w:val="32"/>
          <w:szCs w:val="32"/>
          <w:lang w:val="en-GB"/>
        </w:rPr>
        <w:lastRenderedPageBreak/>
        <w:t>Construction of the connectivity model</w:t>
      </w:r>
    </w:p>
    <w:p w14:paraId="06E54840" w14:textId="7857E526" w:rsidR="005071B5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>We applied a similar strategy when modeling connectivity measures. For each frequency band</w:t>
      </w:r>
      <w:r w:rsidR="0025339B">
        <w:rPr>
          <w:rFonts w:eastAsiaTheme="minorEastAsia"/>
          <w:iCs/>
          <w:lang w:val="en-GB"/>
        </w:rPr>
        <w:t xml:space="preserve"> </w:t>
      </w:r>
      <m:oMath>
        <m:r>
          <w:rPr>
            <w:rFonts w:ascii="Cambria Math" w:eastAsiaTheme="minorEastAsia" w:hAnsi="Cambria Math"/>
            <w:lang w:val="en-GB"/>
          </w:rPr>
          <m:t>b</m:t>
        </m:r>
      </m:oMath>
      <w:r w:rsidRPr="005071B5">
        <w:rPr>
          <w:rFonts w:eastAsiaTheme="minorEastAsia"/>
          <w:iCs/>
        </w:rPr>
        <w:t>, we considered the vector</w:t>
      </w:r>
    </w:p>
    <w:p w14:paraId="5D39F0D7" w14:textId="4DEDFB8B" w:rsidR="00C735DA" w:rsidRPr="005071B5" w:rsidRDefault="00C735DA" w:rsidP="005071B5">
      <w:pPr>
        <w:rPr>
          <w:rFonts w:eastAsiaTheme="minorEastAsia"/>
          <w:iCs/>
          <w:lang w:val="en-GB"/>
        </w:rPr>
      </w:pPr>
      <m:oMathPara>
        <m:oMath>
          <m:r>
            <w:rPr>
              <w:rFonts w:ascii="Cambria Math" w:eastAsiaTheme="minorEastAsia" w:hAnsi="Cambria Math"/>
              <w:lang w:val="en-GB"/>
            </w:rPr>
            <m:t>Y≔(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wPLI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Dia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LF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MBC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2A3CF1CE" w14:textId="58B33DD2" w:rsidR="005071B5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>which includes the weighted Phase Lag Index (wPLI) and three Minimum Spanning Tree (MST)</w:t>
      </w:r>
      <w:r w:rsidR="00072574">
        <w:rPr>
          <w:rFonts w:eastAsiaTheme="minorEastAsia"/>
          <w:iCs/>
          <w:lang w:val="en-GB"/>
        </w:rPr>
        <w:t>-</w:t>
      </w:r>
      <w:r w:rsidRPr="005071B5">
        <w:rPr>
          <w:rFonts w:eastAsiaTheme="minorEastAsia"/>
          <w:iCs/>
        </w:rPr>
        <w:t>based measures: diameter (Dia), leaf fraction (LF), and mean betweenness centrality (MBC). This vector was modeled as multivariate normal:</w:t>
      </w:r>
    </w:p>
    <w:p w14:paraId="429255CC" w14:textId="7E83BAE4" w:rsidR="0025339B" w:rsidRPr="005071B5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</m:t>
              </m:r>
            </m:sub>
          </m:sSub>
          <m:r>
            <m:rPr>
              <m:scr m:val="script"/>
            </m:rPr>
            <w:rPr>
              <w:rFonts w:ascii="Cambria Math" w:eastAsiaTheme="minorEastAsia" w:hAnsi="Cambria Math"/>
              <w:lang w:val="en-GB"/>
            </w:rPr>
            <m:t xml:space="preserve"> ~ N(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Σ</m:t>
          </m:r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6936A808" w14:textId="0C0FB136" w:rsidR="005071B5" w:rsidRPr="005071B5" w:rsidRDefault="005071B5" w:rsidP="005071B5">
      <w:pPr>
        <w:rPr>
          <w:rFonts w:eastAsiaTheme="minorEastAsia"/>
          <w:iCs/>
        </w:rPr>
      </w:pPr>
      <w:r w:rsidRPr="005071B5">
        <w:rPr>
          <w:rFonts w:eastAsiaTheme="minorEastAsia"/>
          <w:iCs/>
        </w:rPr>
        <w:t>As in the standard approach, wPLI values were logit-transformed. Correlations among the MST metrics were expected to be strong, since these measures are mathematically interdependent. For example, a graph with maximum diameter (where nodes are arranged in a line) inevitably has low leaf fraction and reduced mean betweenness centrality.</w:t>
      </w:r>
    </w:p>
    <w:p w14:paraId="70D9388F" w14:textId="70E33F7A" w:rsidR="005071B5" w:rsidRPr="005071B5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>To quantify these correlations, we generated 10,000 synthetic fully connected graphs with the same number of nodes as electrodes. Edge weights were drawn randomly from a uniform distribution</w:t>
      </w:r>
      <w:r w:rsidR="007963EE">
        <w:rPr>
          <w:rFonts w:eastAsiaTheme="minorEastAsia"/>
          <w:iCs/>
          <w:lang w:val="en-GB"/>
        </w:rPr>
        <w:t xml:space="preserve"> </w:t>
      </w:r>
      <m:oMath>
        <m:r>
          <w:rPr>
            <w:rFonts w:ascii="Cambria Math" w:eastAsiaTheme="minorEastAsia" w:hAnsi="Cambria Math"/>
            <w:lang w:val="en-GB"/>
          </w:rPr>
          <m:t>w~</m:t>
        </m:r>
        <m:r>
          <m:rPr>
            <m:scr m:val="script"/>
          </m:rPr>
          <w:rPr>
            <w:rFonts w:ascii="Cambria Math" w:eastAsiaTheme="minorEastAsia" w:hAnsi="Cambria Math"/>
            <w:lang w:val="en-GB"/>
          </w:rPr>
          <m:t>U</m:t>
        </m:r>
        <m:r>
          <w:rPr>
            <w:rFonts w:ascii="Cambria Math" w:eastAsiaTheme="minorEastAsia" w:hAnsi="Cambria Math"/>
            <w:lang w:val="en-GB"/>
          </w:rPr>
          <m:t>(0,1)</m:t>
        </m:r>
      </m:oMath>
      <w:r w:rsidRPr="005071B5">
        <w:rPr>
          <w:rFonts w:eastAsiaTheme="minorEastAsia"/>
          <w:iCs/>
        </w:rPr>
        <w:t xml:space="preserve">, which mimicked wPLI values. We then computed the MST for each graph and derived the corresponding metrics. This procedure allowed us to empirically estimate the covariance structure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Σ</m:t>
        </m:r>
      </m:oMath>
      <w:r w:rsidR="00EB7AE2">
        <w:rPr>
          <w:rFonts w:eastAsiaTheme="minorEastAsia"/>
          <w:iCs/>
          <w:lang w:val="en-GB"/>
        </w:rPr>
        <w:t xml:space="preserve">, which was decomposed as described above and used the same </w:t>
      </w:r>
      <w:r w:rsidR="00F30A0F">
        <w:rPr>
          <w:rFonts w:eastAsiaTheme="minorEastAsia"/>
          <w:iCs/>
          <w:lang w:val="en-GB"/>
        </w:rPr>
        <w:t>priors for standard deviations.</w:t>
      </w:r>
    </w:p>
    <w:p w14:paraId="585BB73D" w14:textId="77777777" w:rsidR="005071B5" w:rsidRPr="005071B5" w:rsidRDefault="005071B5" w:rsidP="005071B5">
      <w:pPr>
        <w:rPr>
          <w:rFonts w:eastAsiaTheme="minorEastAsia"/>
          <w:iCs/>
        </w:rPr>
      </w:pPr>
      <w:r w:rsidRPr="005071B5">
        <w:rPr>
          <w:rFonts w:eastAsiaTheme="minorEastAsia"/>
          <w:iCs/>
        </w:rPr>
        <w:t>The mean vector for each frequency band was defined as</w:t>
      </w:r>
    </w:p>
    <w:p w14:paraId="09DF9709" w14:textId="2FBC301D" w:rsidR="00297C10" w:rsidRPr="00297C10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μ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≔(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b,1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,…,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b,4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3ABFCDE5" w14:textId="77777777" w:rsidR="005B5BC3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>with each element modeled using linear regression</w:t>
      </w:r>
      <w:r w:rsidR="001570DA">
        <w:rPr>
          <w:rFonts w:eastAsiaTheme="minorEastAsia"/>
          <w:iCs/>
          <w:lang w:val="en-GB"/>
        </w:rPr>
        <w:t xml:space="preserve">. </w:t>
      </w:r>
    </w:p>
    <w:p w14:paraId="24FFE23E" w14:textId="7463DAF7" w:rsidR="005B5BC3" w:rsidRPr="00740CC8" w:rsidRDefault="00000000" w:rsidP="005B5BC3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</m:sSub>
        </m:oMath>
      </m:oMathPara>
    </w:p>
    <w:p w14:paraId="28642583" w14:textId="73C76BE6" w:rsidR="005B5BC3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=(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Intercept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Age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Sex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CACNA1A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,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  <m:sup>
              <m:r>
                <w:rPr>
                  <w:rFonts w:ascii="Cambria Math" w:eastAsiaTheme="minorEastAsia" w:hAnsi="Cambria Math"/>
                  <w:lang w:val="en-GB"/>
                </w:rPr>
                <m:t>FGF14</m:t>
              </m:r>
            </m:sup>
          </m:sSubSup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588A9C40" w14:textId="6B4A9C89" w:rsidR="005071B5" w:rsidRPr="005071B5" w:rsidRDefault="005071B5" w:rsidP="005071B5">
      <w:pPr>
        <w:rPr>
          <w:rFonts w:eastAsiaTheme="minorEastAsia"/>
          <w:iCs/>
        </w:rPr>
      </w:pPr>
      <w:r w:rsidRPr="005071B5">
        <w:rPr>
          <w:rFonts w:eastAsiaTheme="minorEastAsia"/>
          <w:iCs/>
        </w:rPr>
        <w:t>To stabilize estimation and account for similarities between metrics, regression coefficients were again given a hierarchical structure:</w:t>
      </w:r>
    </w:p>
    <w:p w14:paraId="52C5F405" w14:textId="6482668D" w:rsidR="00240B0D" w:rsidRPr="00240B0D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β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b,m</m:t>
              </m:r>
            </m:sub>
          </m:sSub>
        </m:oMath>
      </m:oMathPara>
    </w:p>
    <w:p w14:paraId="7533FBBE" w14:textId="4B501EC3" w:rsidR="00240B0D" w:rsidRPr="00240B0D" w:rsidRDefault="00000000" w:rsidP="005071B5">
      <w:pPr>
        <w:rPr>
          <w:rFonts w:eastAsiaTheme="minorEastAsia"/>
          <w:iCs/>
          <w:lang w:val="en-GB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b.m</m:t>
              </m:r>
            </m:sub>
          </m:sSub>
          <m:r>
            <m:rPr>
              <m:scr m:val="script"/>
            </m:rPr>
            <w:rPr>
              <w:rFonts w:ascii="Cambria Math" w:eastAsiaTheme="minorEastAsia" w:hAnsi="Cambria Math"/>
              <w:lang w:val="en-GB"/>
            </w:rPr>
            <m:t>~N</m:t>
          </m:r>
          <m:r>
            <w:rPr>
              <w:rFonts w:ascii="Cambria Math" w:eastAsiaTheme="minorEastAsia" w:hAnsi="Cambria Math"/>
              <w:lang w:val="en-GB"/>
            </w:rPr>
            <m:t>(0,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1</m:t>
          </m:r>
          <m:r>
            <w:rPr>
              <w:rFonts w:ascii="Cambria Math" w:eastAsiaTheme="minorEastAsia" w:hAnsi="Cambria Math"/>
              <w:lang w:val="en-GB"/>
            </w:rPr>
            <m:t>)</m:t>
          </m:r>
        </m:oMath>
      </m:oMathPara>
    </w:p>
    <w:p w14:paraId="3D14A278" w14:textId="06995A59" w:rsidR="00F31193" w:rsidRDefault="005071B5" w:rsidP="005071B5">
      <w:pPr>
        <w:rPr>
          <w:rFonts w:eastAsiaTheme="minorEastAsia"/>
          <w:iCs/>
          <w:lang w:val="en-GB"/>
        </w:rPr>
      </w:pPr>
      <w:r w:rsidRPr="005071B5">
        <w:rPr>
          <w:rFonts w:eastAsiaTheme="minorEastAsia"/>
          <w:iCs/>
        </w:rPr>
        <w:t xml:space="preserve">In this case, however, the shared mean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Pr="005071B5">
        <w:rPr>
          <w:rFonts w:eastAsiaTheme="minorEastAsia"/>
          <w:iCs/>
        </w:rPr>
        <w:t xml:space="preserve"> does not have a direct interpretation (unlike in the </w:t>
      </w:r>
      <w:r w:rsidR="00E74418">
        <w:rPr>
          <w:rFonts w:eastAsiaTheme="minorEastAsia"/>
          <w:iCs/>
          <w:lang w:val="en-GB"/>
        </w:rPr>
        <w:t>relative bandpower</w:t>
      </w:r>
      <w:r w:rsidRPr="005071B5">
        <w:rPr>
          <w:rFonts w:eastAsiaTheme="minorEastAsia"/>
          <w:iCs/>
        </w:rPr>
        <w:t xml:space="preserve"> model). It was included purely to provide regularization, preventing coefficients from drifting too far apart across </w:t>
      </w:r>
      <w:r w:rsidR="00042B7C">
        <w:rPr>
          <w:rFonts w:eastAsiaTheme="minorEastAsia"/>
          <w:iCs/>
          <w:lang w:val="en-GB"/>
        </w:rPr>
        <w:t>bands</w:t>
      </w:r>
      <w:r w:rsidRPr="005071B5">
        <w:rPr>
          <w:rFonts w:eastAsiaTheme="minorEastAsia"/>
          <w:iCs/>
        </w:rPr>
        <w:t>.</w:t>
      </w:r>
    </w:p>
    <w:p w14:paraId="2A7E6180" w14:textId="3D5E3CB2" w:rsidR="00F31193" w:rsidRPr="005071B5" w:rsidRDefault="00F31193" w:rsidP="005071B5">
      <w:pPr>
        <w:rPr>
          <w:rFonts w:eastAsiaTheme="minorEastAsia"/>
          <w:iCs/>
          <w:lang w:val="en-GB"/>
        </w:rPr>
      </w:pPr>
      <w:r>
        <w:rPr>
          <w:rFonts w:eastAsiaTheme="minorEastAsia"/>
          <w:iCs/>
          <w:lang w:val="en-GB"/>
        </w:rPr>
        <w:br w:type="page"/>
      </w:r>
    </w:p>
    <w:p w14:paraId="119A91C4" w14:textId="73B41E5C" w:rsidR="00D20E68" w:rsidRPr="002553C5" w:rsidRDefault="002553C5">
      <w:pPr>
        <w:rPr>
          <w:b/>
          <w:bCs/>
          <w:sz w:val="40"/>
          <w:szCs w:val="40"/>
          <w:lang w:val="en-GB"/>
        </w:rPr>
      </w:pPr>
      <w:r w:rsidRPr="002553C5">
        <w:rPr>
          <w:b/>
          <w:bCs/>
          <w:sz w:val="40"/>
          <w:szCs w:val="40"/>
          <w:lang w:val="en-GB"/>
        </w:rPr>
        <w:lastRenderedPageBreak/>
        <w:t xml:space="preserve">Supplemental </w:t>
      </w:r>
      <w:r w:rsidR="006A66D4" w:rsidRPr="002553C5">
        <w:rPr>
          <w:b/>
          <w:bCs/>
          <w:sz w:val="40"/>
          <w:szCs w:val="40"/>
          <w:lang w:val="en-GB"/>
        </w:rPr>
        <w:t>Figures</w:t>
      </w:r>
    </w:p>
    <w:p w14:paraId="3F135116" w14:textId="77777777" w:rsidR="006A66D4" w:rsidRDefault="006A66D4">
      <w:pPr>
        <w:rPr>
          <w:lang w:val="en-GB"/>
        </w:rPr>
      </w:pPr>
      <w:r>
        <w:rPr>
          <w:noProof/>
        </w:rPr>
        <w:drawing>
          <wp:inline distT="0" distB="0" distL="0" distR="0" wp14:anchorId="310491A2" wp14:editId="680A554F">
            <wp:extent cx="5731510" cy="1837690"/>
            <wp:effectExtent l="0" t="0" r="2540" b="0"/>
            <wp:docPr id="1254848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7718" w14:textId="3B298F67" w:rsidR="00B9358D" w:rsidRPr="003845BB" w:rsidRDefault="006A66D4" w:rsidP="00B9358D">
      <w:pPr>
        <w:rPr>
          <w:rFonts w:ascii="Arial" w:hAnsi="Arial" w:cs="Arial"/>
          <w:color w:val="000000" w:themeColor="text1"/>
          <w:lang w:val="en-US"/>
        </w:rPr>
      </w:pPr>
      <w:r w:rsidRPr="00B9358D">
        <w:rPr>
          <w:b/>
          <w:bCs/>
          <w:lang w:val="en-GB"/>
        </w:rPr>
        <w:t xml:space="preserve">Supplemental Figure </w:t>
      </w:r>
      <w:r w:rsidR="00006DAB">
        <w:rPr>
          <w:b/>
          <w:bCs/>
          <w:lang w:val="en-GB"/>
        </w:rPr>
        <w:t>1</w:t>
      </w:r>
      <w:r w:rsidRPr="00B9358D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="00B9358D" w:rsidRPr="003845BB">
        <w:rPr>
          <w:rFonts w:ascii="Arial" w:hAnsi="Arial" w:cs="Arial"/>
          <w:b/>
          <w:bCs/>
          <w:color w:val="000000" w:themeColor="text1"/>
          <w:lang w:val="en-US"/>
        </w:rPr>
        <w:t xml:space="preserve">Results of </w:t>
      </w:r>
      <w:r w:rsidR="00B9358D">
        <w:rPr>
          <w:rFonts w:ascii="Arial" w:hAnsi="Arial" w:cs="Arial"/>
          <w:b/>
          <w:bCs/>
          <w:color w:val="000000" w:themeColor="text1"/>
          <w:lang w:val="en-US"/>
        </w:rPr>
        <w:t>slow-to-fast ratio analysis</w:t>
      </w:r>
      <w:r w:rsidR="00B9358D" w:rsidRPr="003845BB">
        <w:rPr>
          <w:rFonts w:ascii="Arial" w:hAnsi="Arial" w:cs="Arial"/>
          <w:color w:val="000000" w:themeColor="text1"/>
          <w:lang w:val="en-US"/>
        </w:rPr>
        <w:t xml:space="preserve">: </w:t>
      </w:r>
      <w:r w:rsidR="009A7273">
        <w:rPr>
          <w:rFonts w:ascii="Arial" w:hAnsi="Arial" w:cs="Arial"/>
          <w:color w:val="000000" w:themeColor="text1"/>
          <w:lang w:val="en-US"/>
        </w:rPr>
        <w:t>Log-transformed slow-to-fast ratio values</w:t>
      </w:r>
      <w:r w:rsidR="0098620F">
        <w:rPr>
          <w:rFonts w:ascii="Arial" w:hAnsi="Arial" w:cs="Arial"/>
          <w:color w:val="000000" w:themeColor="text1"/>
          <w:lang w:val="en-US"/>
        </w:rPr>
        <w:t xml:space="preserve">. </w:t>
      </w:r>
      <w:r w:rsidR="00B9358D" w:rsidRPr="003845BB">
        <w:rPr>
          <w:rFonts w:ascii="Arial" w:hAnsi="Arial" w:cs="Arial"/>
          <w:color w:val="000000" w:themeColor="text1"/>
          <w:lang w:val="en-US"/>
        </w:rPr>
        <w:t>Abbreviations: HC: Healthy controls, *: p &lt; 0.05</w:t>
      </w:r>
      <w:r w:rsidR="00B9358D">
        <w:rPr>
          <w:rFonts w:ascii="Arial" w:hAnsi="Arial" w:cs="Arial"/>
          <w:color w:val="000000" w:themeColor="text1"/>
          <w:lang w:val="en-US"/>
        </w:rPr>
        <w:t>, **: p &lt; 0.01, ***: p&lt;0.001</w:t>
      </w:r>
    </w:p>
    <w:p w14:paraId="078CD127" w14:textId="32138CAA" w:rsidR="006A66D4" w:rsidRDefault="006A66D4">
      <w:pPr>
        <w:rPr>
          <w:lang w:val="en-GB"/>
        </w:rPr>
      </w:pPr>
      <w:r>
        <w:rPr>
          <w:noProof/>
        </w:rPr>
        <w:drawing>
          <wp:inline distT="0" distB="0" distL="0" distR="0" wp14:anchorId="441FC481" wp14:editId="4BB48976">
            <wp:extent cx="5731510" cy="4949190"/>
            <wp:effectExtent l="0" t="0" r="2540" b="3810"/>
            <wp:docPr id="712282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6D23" w14:textId="78B9B795" w:rsidR="00006DAB" w:rsidRPr="003845BB" w:rsidRDefault="00006DAB" w:rsidP="00006DAB">
      <w:pPr>
        <w:rPr>
          <w:rFonts w:ascii="Arial" w:hAnsi="Arial" w:cs="Arial"/>
          <w:color w:val="000000" w:themeColor="text1"/>
          <w:lang w:val="en-US"/>
        </w:rPr>
      </w:pPr>
      <w:r w:rsidRPr="00B9358D">
        <w:rPr>
          <w:b/>
          <w:bCs/>
          <w:lang w:val="en-GB"/>
        </w:rPr>
        <w:t xml:space="preserve">Supplemental Figure </w:t>
      </w:r>
      <w:r>
        <w:rPr>
          <w:b/>
          <w:bCs/>
          <w:lang w:val="en-GB"/>
        </w:rPr>
        <w:t>2</w:t>
      </w:r>
      <w:r w:rsidRPr="00B9358D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Pr="003845BB">
        <w:rPr>
          <w:rFonts w:ascii="Arial" w:hAnsi="Arial" w:cs="Arial"/>
          <w:b/>
          <w:bCs/>
          <w:color w:val="000000" w:themeColor="text1"/>
          <w:lang w:val="en-US"/>
        </w:rPr>
        <w:t xml:space="preserve">Results of </w:t>
      </w:r>
      <w:r>
        <w:rPr>
          <w:rFonts w:ascii="Arial" w:hAnsi="Arial" w:cs="Arial"/>
          <w:b/>
          <w:bCs/>
          <w:color w:val="000000" w:themeColor="text1"/>
          <w:lang w:val="en-US"/>
        </w:rPr>
        <w:t>MST-metrics ana</w:t>
      </w:r>
      <w:r w:rsidR="00F20B46">
        <w:rPr>
          <w:rFonts w:ascii="Arial" w:hAnsi="Arial" w:cs="Arial"/>
          <w:b/>
          <w:bCs/>
          <w:color w:val="000000" w:themeColor="text1"/>
          <w:lang w:val="en-US"/>
        </w:rPr>
        <w:t>lysis</w:t>
      </w:r>
      <w:r w:rsidRPr="003845BB">
        <w:rPr>
          <w:rFonts w:ascii="Arial" w:hAnsi="Arial" w:cs="Arial"/>
          <w:color w:val="000000" w:themeColor="text1"/>
          <w:lang w:val="en-US"/>
        </w:rPr>
        <w:t xml:space="preserve">: </w:t>
      </w:r>
      <w:r w:rsidR="005C51AC">
        <w:rPr>
          <w:rFonts w:ascii="Arial" w:hAnsi="Arial" w:cs="Arial"/>
          <w:color w:val="000000" w:themeColor="text1"/>
          <w:lang w:val="en-US"/>
        </w:rPr>
        <w:t>Minimum-spanning tree (MST) metrics</w:t>
      </w:r>
      <w:r w:rsidR="00C07697">
        <w:rPr>
          <w:rFonts w:ascii="Arial" w:hAnsi="Arial" w:cs="Arial"/>
          <w:color w:val="000000" w:themeColor="text1"/>
          <w:lang w:val="en-US"/>
        </w:rPr>
        <w:t xml:space="preserve">: Diameter (a), Maximum </w:t>
      </w:r>
      <w:r w:rsidR="002443D1">
        <w:rPr>
          <w:rFonts w:ascii="Arial" w:hAnsi="Arial" w:cs="Arial"/>
          <w:color w:val="000000" w:themeColor="text1"/>
          <w:lang w:val="en-US"/>
        </w:rPr>
        <w:t>betweenness</w:t>
      </w:r>
      <w:r w:rsidR="00C07697">
        <w:rPr>
          <w:rFonts w:ascii="Arial" w:hAnsi="Arial" w:cs="Arial"/>
          <w:color w:val="000000" w:themeColor="text1"/>
          <w:lang w:val="en-US"/>
        </w:rPr>
        <w:t xml:space="preserve"> centrality (b) and Leaf Fraction (</w:t>
      </w:r>
      <w:r w:rsidR="002443D1">
        <w:rPr>
          <w:rFonts w:ascii="Arial" w:hAnsi="Arial" w:cs="Arial"/>
          <w:color w:val="000000" w:themeColor="text1"/>
          <w:lang w:val="en-US"/>
        </w:rPr>
        <w:t xml:space="preserve">c). </w:t>
      </w:r>
      <w:r w:rsidRPr="003845BB">
        <w:rPr>
          <w:rFonts w:ascii="Arial" w:hAnsi="Arial" w:cs="Arial"/>
          <w:color w:val="000000" w:themeColor="text1"/>
          <w:lang w:val="en-US"/>
        </w:rPr>
        <w:t>Abbreviations: HC: Healthy controls, *: p &lt; 0.05</w:t>
      </w:r>
      <w:r>
        <w:rPr>
          <w:rFonts w:ascii="Arial" w:hAnsi="Arial" w:cs="Arial"/>
          <w:color w:val="000000" w:themeColor="text1"/>
          <w:lang w:val="en-US"/>
        </w:rPr>
        <w:t>, **: p &lt; 0.01, ***: p&lt;0.001</w:t>
      </w:r>
    </w:p>
    <w:sectPr w:rsidR="00006DAB" w:rsidRPr="003845BB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FDA6" w14:textId="77777777" w:rsidR="00F67C53" w:rsidRDefault="00F67C53" w:rsidP="006E6E16">
      <w:pPr>
        <w:spacing w:after="0" w:line="240" w:lineRule="auto"/>
      </w:pPr>
      <w:r>
        <w:separator/>
      </w:r>
    </w:p>
  </w:endnote>
  <w:endnote w:type="continuationSeparator" w:id="0">
    <w:p w14:paraId="6A53E72E" w14:textId="77777777" w:rsidR="00F67C53" w:rsidRDefault="00F67C53" w:rsidP="006E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7636386"/>
      <w:docPartObj>
        <w:docPartGallery w:val="Page Numbers (Bottom of Page)"/>
        <w:docPartUnique/>
      </w:docPartObj>
    </w:sdtPr>
    <w:sdtContent>
      <w:p w14:paraId="56916C09" w14:textId="73B836B6" w:rsidR="006E6E16" w:rsidRDefault="006E6E16" w:rsidP="00137A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80C9A8A" w14:textId="77777777" w:rsidR="006E6E16" w:rsidRDefault="006E6E16" w:rsidP="006E6E1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510636634"/>
      <w:docPartObj>
        <w:docPartGallery w:val="Page Numbers (Bottom of Page)"/>
        <w:docPartUnique/>
      </w:docPartObj>
    </w:sdtPr>
    <w:sdtContent>
      <w:p w14:paraId="1AE5CC07" w14:textId="6F58BE66" w:rsidR="006E6E16" w:rsidRDefault="006E6E16" w:rsidP="00137A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306E84B4" w14:textId="77777777" w:rsidR="006E6E16" w:rsidRDefault="006E6E16" w:rsidP="006E6E1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5388" w14:textId="77777777" w:rsidR="00F67C53" w:rsidRDefault="00F67C53" w:rsidP="006E6E16">
      <w:pPr>
        <w:spacing w:after="0" w:line="240" w:lineRule="auto"/>
      </w:pPr>
      <w:r>
        <w:separator/>
      </w:r>
    </w:p>
  </w:footnote>
  <w:footnote w:type="continuationSeparator" w:id="0">
    <w:p w14:paraId="06D7C8E8" w14:textId="77777777" w:rsidR="00F67C53" w:rsidRDefault="00F67C53" w:rsidP="006E6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D4"/>
    <w:rsid w:val="00006DAB"/>
    <w:rsid w:val="00007571"/>
    <w:rsid w:val="000200F8"/>
    <w:rsid w:val="00034314"/>
    <w:rsid w:val="00042B7C"/>
    <w:rsid w:val="00057648"/>
    <w:rsid w:val="00064A62"/>
    <w:rsid w:val="00072574"/>
    <w:rsid w:val="00076425"/>
    <w:rsid w:val="00085EF4"/>
    <w:rsid w:val="000C2D64"/>
    <w:rsid w:val="000C58D8"/>
    <w:rsid w:val="000C59F5"/>
    <w:rsid w:val="0011074C"/>
    <w:rsid w:val="00132A79"/>
    <w:rsid w:val="00142F47"/>
    <w:rsid w:val="001570DA"/>
    <w:rsid w:val="00170CD8"/>
    <w:rsid w:val="00181108"/>
    <w:rsid w:val="001B6199"/>
    <w:rsid w:val="001F1C36"/>
    <w:rsid w:val="002151B4"/>
    <w:rsid w:val="002352F4"/>
    <w:rsid w:val="00240B0D"/>
    <w:rsid w:val="00240C50"/>
    <w:rsid w:val="002443D1"/>
    <w:rsid w:val="0025339B"/>
    <w:rsid w:val="002553C5"/>
    <w:rsid w:val="00273109"/>
    <w:rsid w:val="00297C10"/>
    <w:rsid w:val="002B541C"/>
    <w:rsid w:val="002B7BD9"/>
    <w:rsid w:val="002D2FFC"/>
    <w:rsid w:val="0032759B"/>
    <w:rsid w:val="00337228"/>
    <w:rsid w:val="003460DC"/>
    <w:rsid w:val="00366734"/>
    <w:rsid w:val="0036682B"/>
    <w:rsid w:val="00374817"/>
    <w:rsid w:val="00396D68"/>
    <w:rsid w:val="00423986"/>
    <w:rsid w:val="00463CF1"/>
    <w:rsid w:val="00487290"/>
    <w:rsid w:val="00492C9D"/>
    <w:rsid w:val="004A0BFA"/>
    <w:rsid w:val="004D4D2E"/>
    <w:rsid w:val="005071B5"/>
    <w:rsid w:val="00520D2B"/>
    <w:rsid w:val="0053651E"/>
    <w:rsid w:val="00540560"/>
    <w:rsid w:val="00566F3C"/>
    <w:rsid w:val="005B2505"/>
    <w:rsid w:val="005B271A"/>
    <w:rsid w:val="005B5BC3"/>
    <w:rsid w:val="005C51AC"/>
    <w:rsid w:val="005E0F03"/>
    <w:rsid w:val="0062103C"/>
    <w:rsid w:val="006235F2"/>
    <w:rsid w:val="0062585F"/>
    <w:rsid w:val="00626A24"/>
    <w:rsid w:val="00665409"/>
    <w:rsid w:val="006A1AF8"/>
    <w:rsid w:val="006A6259"/>
    <w:rsid w:val="006A66D4"/>
    <w:rsid w:val="006C5E2B"/>
    <w:rsid w:val="006D11E1"/>
    <w:rsid w:val="006E5776"/>
    <w:rsid w:val="006E6E16"/>
    <w:rsid w:val="006F3781"/>
    <w:rsid w:val="006F3E04"/>
    <w:rsid w:val="00700DA0"/>
    <w:rsid w:val="00740CC8"/>
    <w:rsid w:val="00753EF8"/>
    <w:rsid w:val="007963EE"/>
    <w:rsid w:val="007B0B37"/>
    <w:rsid w:val="007D0485"/>
    <w:rsid w:val="007E09CB"/>
    <w:rsid w:val="00802F46"/>
    <w:rsid w:val="00804D04"/>
    <w:rsid w:val="00826CAF"/>
    <w:rsid w:val="00827F8F"/>
    <w:rsid w:val="008963E3"/>
    <w:rsid w:val="00904AF7"/>
    <w:rsid w:val="00921FBE"/>
    <w:rsid w:val="00956783"/>
    <w:rsid w:val="0098620F"/>
    <w:rsid w:val="009A2891"/>
    <w:rsid w:val="009A7273"/>
    <w:rsid w:val="009B556B"/>
    <w:rsid w:val="009D4191"/>
    <w:rsid w:val="009E4388"/>
    <w:rsid w:val="009F77EF"/>
    <w:rsid w:val="00A0698E"/>
    <w:rsid w:val="00AA013D"/>
    <w:rsid w:val="00AA1436"/>
    <w:rsid w:val="00AB0153"/>
    <w:rsid w:val="00AD74C8"/>
    <w:rsid w:val="00B02544"/>
    <w:rsid w:val="00B03A96"/>
    <w:rsid w:val="00B13833"/>
    <w:rsid w:val="00B202A5"/>
    <w:rsid w:val="00B8446D"/>
    <w:rsid w:val="00B9358D"/>
    <w:rsid w:val="00BA14DF"/>
    <w:rsid w:val="00C007E5"/>
    <w:rsid w:val="00C07697"/>
    <w:rsid w:val="00C148C2"/>
    <w:rsid w:val="00C2371B"/>
    <w:rsid w:val="00C46126"/>
    <w:rsid w:val="00C60D9F"/>
    <w:rsid w:val="00C735DA"/>
    <w:rsid w:val="00C97875"/>
    <w:rsid w:val="00CD69E8"/>
    <w:rsid w:val="00D11AED"/>
    <w:rsid w:val="00D143F8"/>
    <w:rsid w:val="00D20E68"/>
    <w:rsid w:val="00D5244A"/>
    <w:rsid w:val="00D669C1"/>
    <w:rsid w:val="00D90261"/>
    <w:rsid w:val="00DA337E"/>
    <w:rsid w:val="00DB76C1"/>
    <w:rsid w:val="00DE365F"/>
    <w:rsid w:val="00DF16EE"/>
    <w:rsid w:val="00E54DE3"/>
    <w:rsid w:val="00E60D9A"/>
    <w:rsid w:val="00E74418"/>
    <w:rsid w:val="00E930C1"/>
    <w:rsid w:val="00E93488"/>
    <w:rsid w:val="00EA5982"/>
    <w:rsid w:val="00EB7AE2"/>
    <w:rsid w:val="00EC0AC9"/>
    <w:rsid w:val="00ED44DC"/>
    <w:rsid w:val="00F20B46"/>
    <w:rsid w:val="00F30A0F"/>
    <w:rsid w:val="00F31193"/>
    <w:rsid w:val="00F378C6"/>
    <w:rsid w:val="00F67C53"/>
    <w:rsid w:val="00F77AD8"/>
    <w:rsid w:val="00F86B86"/>
    <w:rsid w:val="00F8787F"/>
    <w:rsid w:val="00FA1625"/>
    <w:rsid w:val="00FA289D"/>
    <w:rsid w:val="00FB0B49"/>
    <w:rsid w:val="00FB717D"/>
    <w:rsid w:val="00FC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83FE"/>
  <w15:chartTrackingRefBased/>
  <w15:docId w15:val="{02C59082-5AA7-41EC-B9C1-1D71A1C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DAB"/>
  </w:style>
  <w:style w:type="paragraph" w:styleId="berschrift1">
    <w:name w:val="heading 1"/>
    <w:basedOn w:val="Standard"/>
    <w:next w:val="Standard"/>
    <w:link w:val="berschrift1Zchn"/>
    <w:uiPriority w:val="9"/>
    <w:qFormat/>
    <w:rsid w:val="006A6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6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6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6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6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6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6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6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6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6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6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6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66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66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66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66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66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66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6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6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66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66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66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6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66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66D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B13833"/>
    <w:rPr>
      <w:color w:val="666666"/>
    </w:rPr>
  </w:style>
  <w:style w:type="paragraph" w:styleId="Fuzeile">
    <w:name w:val="footer"/>
    <w:basedOn w:val="Standard"/>
    <w:link w:val="FuzeileZchn"/>
    <w:uiPriority w:val="99"/>
    <w:unhideWhenUsed/>
    <w:rsid w:val="006E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E16"/>
  </w:style>
  <w:style w:type="character" w:styleId="Seitenzahl">
    <w:name w:val="page number"/>
    <w:basedOn w:val="Absatz-Standardschriftart"/>
    <w:uiPriority w:val="99"/>
    <w:semiHidden/>
    <w:unhideWhenUsed/>
    <w:rsid w:val="006E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81E6-1A23-41B6-AE3B-5206066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Angerbauer</dc:creator>
  <cp:keywords/>
  <dc:description/>
  <cp:lastModifiedBy>Elisabetta Indelicato</cp:lastModifiedBy>
  <cp:revision>135</cp:revision>
  <dcterms:created xsi:type="dcterms:W3CDTF">2025-07-13T16:04:00Z</dcterms:created>
  <dcterms:modified xsi:type="dcterms:W3CDTF">2025-08-25T19:35:00Z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zotero-version="7.0.20"&gt;&lt;session id="Wo1U9C8p"/&gt;&lt;style id="http://www.zotero.org/styles/chicago-author-date" locale="en-GB" hasBibliography="1" bibliographyStyleHasBeenSet="0"/&gt;&lt;prefs&gt;&lt;pref name="fieldType" value="Field"/&gt;&lt;pref name</vt:lpwstr>
  </property>
  <property fmtid="{D5CDD505-2E9C-101B-9397-08002B2CF9AE}" pid="3" name="ZOTERO_PREF_2">
    <vt:lpwstr>="automaticJournalAbbreviations" value="true"/&gt;&lt;/prefs&gt;&lt;/data&gt;</vt:lpwstr>
  </property>
</Properties>
</file>