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B07F3" w:rsidRDefault="00000000">
      <w:pPr>
        <w:ind w:firstLine="0"/>
        <w:jc w:val="center"/>
        <w:rPr>
          <w:b/>
          <w:bCs/>
          <w:color w:val="000000" w:themeColor="text1"/>
          <w:sz w:val="36"/>
          <w:szCs w:val="36"/>
        </w:rPr>
      </w:pPr>
      <w:r>
        <w:rPr>
          <w:rFonts w:eastAsia="等线" w:hint="eastAsia"/>
          <w:b/>
          <w:bCs/>
          <w:color w:val="000000" w:themeColor="text1"/>
          <w:sz w:val="36"/>
          <w:szCs w:val="36"/>
        </w:rPr>
        <w:t>Supplementary material</w:t>
      </w:r>
    </w:p>
    <w:p w:rsidR="000B07F3" w:rsidRDefault="00000000">
      <w:pPr>
        <w:ind w:firstLine="0"/>
        <w:rPr>
          <w:b/>
          <w:bCs/>
          <w:color w:val="000000" w:themeColor="text1"/>
        </w:rPr>
      </w:pPr>
      <w:r>
        <w:rPr>
          <w:rFonts w:hint="eastAsia"/>
          <w:b/>
          <w:bCs/>
          <w:color w:val="000000" w:themeColor="text1"/>
        </w:rPr>
        <w:t>2</w:t>
      </w:r>
      <w:r>
        <w:rPr>
          <w:b/>
          <w:bCs/>
          <w:color w:val="000000" w:themeColor="text1"/>
        </w:rPr>
        <w:t>. Materials and methods</w:t>
      </w:r>
    </w:p>
    <w:p w:rsidR="000B07F3" w:rsidRDefault="00000000">
      <w:pPr>
        <w:ind w:firstLine="0"/>
        <w:rPr>
          <w:color w:val="000000" w:themeColor="text1"/>
        </w:rPr>
      </w:pPr>
      <w:r>
        <w:rPr>
          <w:rFonts w:hint="eastAsia"/>
          <w:color w:val="000000" w:themeColor="text1"/>
        </w:rPr>
        <w:t>2</w:t>
      </w:r>
      <w:r>
        <w:rPr>
          <w:color w:val="000000" w:themeColor="text1"/>
        </w:rPr>
        <w:t>.</w:t>
      </w:r>
      <w:r>
        <w:rPr>
          <w:rFonts w:hint="eastAsia"/>
          <w:color w:val="000000" w:themeColor="text1"/>
        </w:rPr>
        <w:t>1</w:t>
      </w:r>
      <w:r>
        <w:rPr>
          <w:color w:val="000000" w:themeColor="text1"/>
        </w:rPr>
        <w:t xml:space="preserve"> Metabo</w:t>
      </w:r>
      <w:r>
        <w:rPr>
          <w:rFonts w:hint="eastAsia"/>
          <w:color w:val="000000" w:themeColor="text1"/>
        </w:rPr>
        <w:t>l</w:t>
      </w:r>
      <w:r>
        <w:rPr>
          <w:color w:val="000000" w:themeColor="text1"/>
        </w:rPr>
        <w:t>om</w:t>
      </w:r>
      <w:r>
        <w:rPr>
          <w:rFonts w:hint="eastAsia"/>
          <w:color w:val="000000" w:themeColor="text1"/>
        </w:rPr>
        <w:t>ics</w:t>
      </w:r>
      <w:r>
        <w:rPr>
          <w:color w:val="000000" w:themeColor="text1"/>
        </w:rPr>
        <w:t xml:space="preserve"> Analysis</w:t>
      </w:r>
      <w:bookmarkStart w:id="0" w:name="OLE_LINK16"/>
    </w:p>
    <w:bookmarkEnd w:id="0"/>
    <w:p w:rsidR="000B07F3" w:rsidRDefault="00000000">
      <w:pPr>
        <w:rPr>
          <w:color w:val="000000" w:themeColor="text1"/>
        </w:rPr>
      </w:pPr>
      <w:r>
        <w:rPr>
          <w:color w:val="000000" w:themeColor="text1"/>
        </w:rPr>
        <w:t xml:space="preserve">For the metabolomics analysis, whole-body tissue of </w:t>
      </w:r>
      <w:r>
        <w:rPr>
          <w:i/>
          <w:iCs/>
          <w:color w:val="000000" w:themeColor="text1"/>
        </w:rPr>
        <w:t>Drosophila</w:t>
      </w:r>
      <w:r>
        <w:rPr>
          <w:color w:val="000000" w:themeColor="text1"/>
        </w:rPr>
        <w:t xml:space="preserve"> both in control </w:t>
      </w:r>
      <w:bookmarkStart w:id="1" w:name="OLE_LINK101"/>
      <w:r>
        <w:rPr>
          <w:color w:val="000000" w:themeColor="text1"/>
        </w:rPr>
        <w:t>group</w:t>
      </w:r>
      <w:bookmarkEnd w:id="1"/>
      <w:r>
        <w:rPr>
          <w:color w:val="000000" w:themeColor="text1"/>
        </w:rPr>
        <w:t xml:space="preserve"> and PS+PE group were used, with each group replicated three times. Each group comprised six flies and evenly divided by gender. The collected samples were thawed on ice, and metabolites were extracted using a 50% methanol buffer, followed by storage at -80 °C until UPLC-MS analysis. The UPLC-MS system was operated according to the manufacturer's standard protocols. The Vanquish Flex UPLC system (</w:t>
      </w:r>
      <w:proofErr w:type="spellStart"/>
      <w:r>
        <w:rPr>
          <w:color w:val="000000" w:themeColor="text1"/>
        </w:rPr>
        <w:t>Thermo</w:t>
      </w:r>
      <w:proofErr w:type="spellEnd"/>
      <w:r>
        <w:rPr>
          <w:color w:val="000000" w:themeColor="text1"/>
        </w:rPr>
        <w:t xml:space="preserve"> Fisher Scientific, Bremen, Germany) was employed for all chromatographic separations, utilizing an ACQUITY UPLC T3 column (100</w:t>
      </w:r>
      <w:r>
        <w:rPr>
          <w:rFonts w:hint="eastAsia"/>
          <w:color w:val="000000" w:themeColor="text1"/>
        </w:rPr>
        <w:t xml:space="preserve"> </w:t>
      </w:r>
      <w:r>
        <w:rPr>
          <w:color w:val="000000" w:themeColor="text1"/>
        </w:rPr>
        <w:t>mm</w:t>
      </w:r>
      <w:r>
        <w:rPr>
          <w:rFonts w:hint="eastAsia"/>
          <w:color w:val="000000" w:themeColor="text1"/>
        </w:rPr>
        <w:t xml:space="preserve"> </w:t>
      </w:r>
      <w:r>
        <w:rPr>
          <w:rFonts w:hint="eastAsia"/>
          <w:color w:val="000000" w:themeColor="text1"/>
        </w:rPr>
        <w:t>×</w:t>
      </w:r>
      <w:r>
        <w:rPr>
          <w:rFonts w:hint="eastAsia"/>
          <w:color w:val="000000" w:themeColor="text1"/>
        </w:rPr>
        <w:t xml:space="preserve"> </w:t>
      </w:r>
      <w:r>
        <w:rPr>
          <w:color w:val="000000" w:themeColor="text1"/>
        </w:rPr>
        <w:t>2.1</w:t>
      </w:r>
      <w:r>
        <w:rPr>
          <w:rFonts w:hint="eastAsia"/>
          <w:color w:val="000000" w:themeColor="text1"/>
        </w:rPr>
        <w:t xml:space="preserve"> </w:t>
      </w:r>
      <w:r>
        <w:rPr>
          <w:color w:val="000000" w:themeColor="text1"/>
        </w:rPr>
        <w:t>mm, 1.8</w:t>
      </w:r>
      <w:r>
        <w:rPr>
          <w:rFonts w:hint="eastAsia"/>
          <w:color w:val="000000" w:themeColor="text1"/>
        </w:rPr>
        <w:t xml:space="preserve"> </w:t>
      </w:r>
      <w:r>
        <w:rPr>
          <w:color w:val="000000" w:themeColor="text1"/>
        </w:rPr>
        <w:t>µm, Waters, Milford, USA) for reversed phase separations. The column oven was maintained at 35</w:t>
      </w:r>
      <w:r>
        <w:rPr>
          <w:rFonts w:hint="eastAsia"/>
          <w:color w:val="000000" w:themeColor="text1"/>
        </w:rPr>
        <w:t xml:space="preserve"> </w:t>
      </w:r>
      <w:r>
        <w:rPr>
          <w:color w:val="000000" w:themeColor="text1"/>
        </w:rPr>
        <w:t>°C. The flow rate was 0.4 ml/min and the mobile phase consisted of solvent A (water, 0.1% formic acid) and solvent B (Acetonitrile, 0.1% formic acid). Gradient elution conditions were set as follows: 0</w:t>
      </w:r>
      <w:r>
        <w:rPr>
          <w:color w:val="000000" w:themeColor="text1"/>
        </w:rPr>
        <w:t>～</w:t>
      </w:r>
      <w:r>
        <w:rPr>
          <w:color w:val="000000" w:themeColor="text1"/>
        </w:rPr>
        <w:t>0.5 min, 5% B; 0.5</w:t>
      </w:r>
      <w:r>
        <w:rPr>
          <w:color w:val="000000" w:themeColor="text1"/>
        </w:rPr>
        <w:t>～</w:t>
      </w:r>
      <w:r>
        <w:rPr>
          <w:color w:val="000000" w:themeColor="text1"/>
        </w:rPr>
        <w:t>7 min, 5% to 100% B; 7~8 min, 100% B; 8</w:t>
      </w:r>
      <w:r>
        <w:rPr>
          <w:color w:val="000000" w:themeColor="text1"/>
        </w:rPr>
        <w:t>～</w:t>
      </w:r>
      <w:r>
        <w:rPr>
          <w:color w:val="000000" w:themeColor="text1"/>
        </w:rPr>
        <w:t>8.1 min, 100% to 5% B; 8.1</w:t>
      </w:r>
      <w:r>
        <w:rPr>
          <w:color w:val="000000" w:themeColor="text1"/>
        </w:rPr>
        <w:t>～</w:t>
      </w:r>
      <w:r>
        <w:rPr>
          <w:color w:val="000000" w:themeColor="text1"/>
        </w:rPr>
        <w:t>10 min, 5%B. A high-resolution tandem mass spectrometer Q-</w:t>
      </w:r>
      <w:proofErr w:type="spellStart"/>
      <w:r>
        <w:rPr>
          <w:color w:val="000000" w:themeColor="text1"/>
        </w:rPr>
        <w:t>Exactive</w:t>
      </w:r>
      <w:proofErr w:type="spellEnd"/>
      <w:r>
        <w:rPr>
          <w:color w:val="000000" w:themeColor="text1"/>
        </w:rPr>
        <w:t xml:space="preserve"> (</w:t>
      </w:r>
      <w:proofErr w:type="spellStart"/>
      <w:r>
        <w:rPr>
          <w:color w:val="000000" w:themeColor="text1"/>
        </w:rPr>
        <w:t>Thermo</w:t>
      </w:r>
      <w:proofErr w:type="spellEnd"/>
      <w:r>
        <w:rPr>
          <w:color w:val="000000" w:themeColor="text1"/>
        </w:rPr>
        <w:t xml:space="preserve"> Scientific) was used to detect metabolites eluted form the column. The Q-</w:t>
      </w:r>
      <w:proofErr w:type="spellStart"/>
      <w:r>
        <w:rPr>
          <w:color w:val="000000" w:themeColor="text1"/>
        </w:rPr>
        <w:t>Exactive</w:t>
      </w:r>
      <w:proofErr w:type="spellEnd"/>
      <w:r>
        <w:rPr>
          <w:color w:val="000000" w:themeColor="text1"/>
        </w:rPr>
        <w:t xml:space="preserve"> was operated in negative ion modes. Precursor spectra (70–1050 m/z) were collected at 70,000 </w:t>
      </w:r>
      <w:proofErr w:type="gramStart"/>
      <w:r>
        <w:rPr>
          <w:color w:val="000000" w:themeColor="text1"/>
        </w:rPr>
        <w:t>resolution</w:t>
      </w:r>
      <w:proofErr w:type="gramEnd"/>
      <w:r>
        <w:rPr>
          <w:color w:val="000000" w:themeColor="text1"/>
        </w:rPr>
        <w:t xml:space="preserve"> to hit an AGC target of 3e6. The maximum inject time was set to 100 </w:t>
      </w:r>
      <w:proofErr w:type="spellStart"/>
      <w:r>
        <w:rPr>
          <w:color w:val="000000" w:themeColor="text1"/>
        </w:rPr>
        <w:t>ms.</w:t>
      </w:r>
      <w:proofErr w:type="spellEnd"/>
      <w:r>
        <w:rPr>
          <w:color w:val="000000" w:themeColor="text1"/>
        </w:rPr>
        <w:t xml:space="preserve"> A top 3 configuration to acquire data was set in DDA mode. Fragment spectra were collected at 17,500 </w:t>
      </w:r>
      <w:proofErr w:type="gramStart"/>
      <w:r>
        <w:rPr>
          <w:color w:val="000000" w:themeColor="text1"/>
        </w:rPr>
        <w:t>resolution</w:t>
      </w:r>
      <w:proofErr w:type="gramEnd"/>
      <w:r>
        <w:rPr>
          <w:color w:val="000000" w:themeColor="text1"/>
        </w:rPr>
        <w:t xml:space="preserve"> to hit an AGC target of 1e5 with a maximum inject time of </w:t>
      </w:r>
      <w:r>
        <w:rPr>
          <w:color w:val="000000" w:themeColor="text1"/>
        </w:rPr>
        <w:lastRenderedPageBreak/>
        <w:t xml:space="preserve">80 </w:t>
      </w:r>
      <w:proofErr w:type="spellStart"/>
      <w:r>
        <w:rPr>
          <w:color w:val="000000" w:themeColor="text1"/>
        </w:rPr>
        <w:t>ms.</w:t>
      </w:r>
      <w:proofErr w:type="spellEnd"/>
      <w:r>
        <w:rPr>
          <w:color w:val="000000" w:themeColor="text1"/>
        </w:rPr>
        <w:t xml:space="preserve"> In order to evaluate the stability of the UPLC-MS during the whole acquisition, a quality control sample (Pool of all samples) was acquired after every 10 samples. The acquired data were preprocessed, including peak picking, peak grouping, retention time correction, second peak grouping, and annotation of isotopes and adducts UPLC-MS raw data files were converted into </w:t>
      </w:r>
      <w:proofErr w:type="spellStart"/>
      <w:r>
        <w:rPr>
          <w:color w:val="000000" w:themeColor="text1"/>
        </w:rPr>
        <w:t>mzXML</w:t>
      </w:r>
      <w:proofErr w:type="spellEnd"/>
      <w:r>
        <w:rPr>
          <w:color w:val="000000" w:themeColor="text1"/>
        </w:rPr>
        <w:t xml:space="preserve"> format and then processed by the XCMS, CAMERA and </w:t>
      </w:r>
      <w:proofErr w:type="spellStart"/>
      <w:r>
        <w:rPr>
          <w:color w:val="000000" w:themeColor="text1"/>
        </w:rPr>
        <w:t>metaX</w:t>
      </w:r>
      <w:proofErr w:type="spellEnd"/>
      <w:r>
        <w:rPr>
          <w:color w:val="000000" w:themeColor="text1"/>
        </w:rPr>
        <w:t xml:space="preserve"> toolbox implemented with the R software. The online </w:t>
      </w:r>
      <w:r>
        <w:rPr>
          <w:color w:val="000000"/>
        </w:rPr>
        <w:t>Kyoto Encyclopedia of Genes and Genomes (KEGG)</w:t>
      </w:r>
      <w:r>
        <w:rPr>
          <w:rFonts w:hint="eastAsia"/>
          <w:color w:val="000000"/>
        </w:rPr>
        <w:t xml:space="preserve"> and Human Metabolome </w:t>
      </w:r>
      <w:r>
        <w:rPr>
          <w:color w:val="000000"/>
        </w:rPr>
        <w:t>Database</w:t>
      </w:r>
      <w:r>
        <w:rPr>
          <w:rFonts w:hint="eastAsia"/>
          <w:color w:val="000000"/>
        </w:rPr>
        <w:t xml:space="preserve"> (HMDB)</w:t>
      </w:r>
      <w:r>
        <w:rPr>
          <w:color w:val="000000" w:themeColor="text1"/>
        </w:rPr>
        <w:t xml:space="preserve"> database were used to annotate the metabolites by matching the exact molecular mass data (m/z) of samples with those from the database. If a mass difference between observed and the database value was less than 10 ppm, the metabolite would be annotated and the molecular formula of metabolites would further be identified and validated by the isotopic distribution measurements. We also used an in-house fragment spectrum library of metabolites to validate the metabolite identification. </w:t>
      </w:r>
      <w:r>
        <w:rPr>
          <w:iCs/>
          <w:color w:val="000000" w:themeColor="text1"/>
        </w:rPr>
        <w:t>Principal component analysis</w:t>
      </w:r>
      <w:r>
        <w:rPr>
          <w:color w:val="000000" w:themeColor="text1"/>
        </w:rPr>
        <w:t xml:space="preserve"> (PCA) was performed for outlier detection and batch effects evaluation </w:t>
      </w:r>
      <w:r>
        <w:rPr>
          <w:iCs/>
          <w:color w:val="000000" w:themeColor="text1"/>
        </w:rPr>
        <w:t>on the sample dataset including QC</w:t>
      </w:r>
      <w:r>
        <w:rPr>
          <w:color w:val="000000" w:themeColor="text1"/>
        </w:rPr>
        <w:t>.</w:t>
      </w:r>
      <w:r>
        <w:rPr>
          <w:iCs/>
          <w:color w:val="000000" w:themeColor="text1"/>
        </w:rPr>
        <w:t xml:space="preserve"> </w:t>
      </w:r>
      <w:r>
        <w:rPr>
          <w:color w:val="000000" w:themeColor="text1"/>
        </w:rPr>
        <w:t xml:space="preserve">Independent Samples t-test was used to detect differences in metabolite concentrations between the two groups. The </w:t>
      </w:r>
      <w:r>
        <w:rPr>
          <w:rFonts w:eastAsia="GulliverRM"/>
          <w:color w:val="000000" w:themeColor="text1"/>
        </w:rPr>
        <w:t xml:space="preserve">Partial Least Squares Discriminant Analysis (PLS-DA) </w:t>
      </w:r>
      <w:r>
        <w:rPr>
          <w:color w:val="000000" w:themeColor="text1"/>
        </w:rPr>
        <w:t xml:space="preserve">was performed to discriminate the global metabolic differences between groups. Total </w:t>
      </w:r>
      <w:r>
        <w:rPr>
          <w:rFonts w:eastAsia="微软雅黑"/>
          <w:color w:val="000000" w:themeColor="text1"/>
        </w:rPr>
        <w:t>200 permutation tests</w:t>
      </w:r>
      <w:r>
        <w:rPr>
          <w:color w:val="000000" w:themeColor="text1"/>
        </w:rPr>
        <w:t xml:space="preserve"> were performed for</w:t>
      </w:r>
      <w:r>
        <w:rPr>
          <w:rFonts w:eastAsia="GulliverRM"/>
          <w:color w:val="000000" w:themeColor="text1"/>
        </w:rPr>
        <w:t xml:space="preserve"> avoiding the over-fitting of PLS-DA models and evaluating the</w:t>
      </w:r>
      <w:r>
        <w:rPr>
          <w:color w:val="000000" w:themeColor="text1"/>
        </w:rPr>
        <w:t xml:space="preserve"> validity</w:t>
      </w:r>
      <w:r>
        <w:rPr>
          <w:rFonts w:eastAsia="GulliverRM"/>
          <w:color w:val="000000" w:themeColor="text1"/>
        </w:rPr>
        <w:t xml:space="preserve"> of the models using the </w:t>
      </w:r>
      <w:r>
        <w:rPr>
          <w:color w:val="000000" w:themeColor="text1"/>
        </w:rPr>
        <w:t>model parameters R2 and Q2</w:t>
      </w:r>
      <w:r>
        <w:rPr>
          <w:rFonts w:eastAsia="GulliverRM"/>
          <w:color w:val="000000" w:themeColor="text1"/>
        </w:rPr>
        <w:t xml:space="preserve">. </w:t>
      </w:r>
      <w:r>
        <w:rPr>
          <w:color w:val="000000" w:themeColor="text1"/>
        </w:rPr>
        <w:t xml:space="preserve">The </w:t>
      </w:r>
      <w:r>
        <w:rPr>
          <w:rFonts w:eastAsia="GulliverRM"/>
          <w:color w:val="000000" w:themeColor="text1"/>
        </w:rPr>
        <w:t>variable importance in projection (</w:t>
      </w:r>
      <w:r>
        <w:rPr>
          <w:color w:val="000000" w:themeColor="text1"/>
        </w:rPr>
        <w:t>VIP</w:t>
      </w:r>
      <w:r>
        <w:rPr>
          <w:rFonts w:eastAsia="GulliverRM"/>
          <w:color w:val="000000" w:themeColor="text1"/>
        </w:rPr>
        <w:t xml:space="preserve">) </w:t>
      </w:r>
      <w:r>
        <w:rPr>
          <w:color w:val="000000" w:themeColor="text1"/>
        </w:rPr>
        <w:t xml:space="preserve">value was calculated, and the differential metabolites were filtered by VIP &gt; 1, </w:t>
      </w:r>
      <w:r>
        <w:rPr>
          <w:i/>
          <w:iCs/>
          <w:color w:val="000000" w:themeColor="text1"/>
        </w:rPr>
        <w:t>P</w:t>
      </w:r>
      <w:r>
        <w:rPr>
          <w:color w:val="000000" w:themeColor="text1"/>
        </w:rPr>
        <w:t xml:space="preserve"> value &lt; 0.05 and fold change &lt; 0.5 or &gt; 2. Finally, the KEGG database </w:t>
      </w:r>
      <w:r>
        <w:rPr>
          <w:color w:val="000000" w:themeColor="text1"/>
        </w:rPr>
        <w:lastRenderedPageBreak/>
        <w:t>was used to explore the roles of these metabolites and metabolic pathways.</w:t>
      </w:r>
    </w:p>
    <w:p w:rsidR="000B07F3" w:rsidRDefault="00000000">
      <w:pPr>
        <w:ind w:firstLine="0"/>
        <w:rPr>
          <w:color w:val="000000" w:themeColor="text1"/>
        </w:rPr>
      </w:pPr>
      <w:r>
        <w:rPr>
          <w:rFonts w:hint="eastAsia"/>
          <w:color w:val="000000" w:themeColor="text1"/>
        </w:rPr>
        <w:t>2.2</w:t>
      </w:r>
      <w:r>
        <w:rPr>
          <w:color w:val="000000" w:themeColor="text1"/>
        </w:rPr>
        <w:t xml:space="preserve"> Transcriptomic analysis </w:t>
      </w:r>
    </w:p>
    <w:p w:rsidR="000B07F3" w:rsidRDefault="00000000">
      <w:pPr>
        <w:rPr>
          <w:color w:val="000000" w:themeColor="text1"/>
        </w:rPr>
      </w:pPr>
      <w:r>
        <w:rPr>
          <w:color w:val="000000" w:themeColor="text1"/>
        </w:rPr>
        <w:t>In this study, total R</w:t>
      </w:r>
      <w:bookmarkStart w:id="2" w:name="OLE_LINK2"/>
      <w:r>
        <w:rPr>
          <w:color w:val="000000" w:themeColor="text1"/>
        </w:rPr>
        <w:t xml:space="preserve">NA </w:t>
      </w:r>
      <w:bookmarkEnd w:id="2"/>
      <w:r>
        <w:rPr>
          <w:color w:val="000000" w:themeColor="text1"/>
        </w:rPr>
        <w:t xml:space="preserve">was isolated from the whole-body tissue of flies cultured </w:t>
      </w:r>
      <w:bookmarkStart w:id="3" w:name="OLE_LINK1"/>
      <w:r>
        <w:rPr>
          <w:color w:val="000000" w:themeColor="text1"/>
        </w:rPr>
        <w:t xml:space="preserve">on control and PS+PE </w:t>
      </w:r>
      <w:bookmarkStart w:id="4" w:name="OLE_LINK19"/>
      <w:r>
        <w:rPr>
          <w:color w:val="000000" w:themeColor="text1"/>
        </w:rPr>
        <w:t>mediums</w:t>
      </w:r>
      <w:bookmarkEnd w:id="4"/>
      <w:r>
        <w:rPr>
          <w:color w:val="000000" w:themeColor="text1"/>
        </w:rPr>
        <w:t xml:space="preserve"> in triplicate</w:t>
      </w:r>
      <w:bookmarkEnd w:id="3"/>
      <w:r>
        <w:rPr>
          <w:color w:val="000000" w:themeColor="text1"/>
        </w:rPr>
        <w:t xml:space="preserve">. For each </w:t>
      </w:r>
      <w:bookmarkStart w:id="5" w:name="OLE_LINK100"/>
      <w:r>
        <w:rPr>
          <w:rFonts w:hint="eastAsia"/>
          <w:color w:val="000000" w:themeColor="text1"/>
        </w:rPr>
        <w:t>group</w:t>
      </w:r>
      <w:bookmarkEnd w:id="5"/>
      <w:r>
        <w:rPr>
          <w:color w:val="000000" w:themeColor="text1"/>
        </w:rPr>
        <w:t xml:space="preserve">, six flies </w:t>
      </w:r>
      <w:bookmarkStart w:id="6" w:name="OLE_LINK17"/>
      <w:r>
        <w:rPr>
          <w:color w:val="000000" w:themeColor="text1"/>
        </w:rPr>
        <w:t>were selected and evenly divided by gender.</w:t>
      </w:r>
      <w:bookmarkEnd w:id="6"/>
      <w:r>
        <w:rPr>
          <w:color w:val="000000" w:themeColor="text1"/>
        </w:rPr>
        <w:t xml:space="preserve"> The </w:t>
      </w:r>
      <w:proofErr w:type="spellStart"/>
      <w:r>
        <w:rPr>
          <w:color w:val="000000" w:themeColor="text1"/>
        </w:rPr>
        <w:t>trizol</w:t>
      </w:r>
      <w:proofErr w:type="spellEnd"/>
      <w:r>
        <w:rPr>
          <w:color w:val="000000" w:themeColor="text1"/>
        </w:rPr>
        <w:t xml:space="preserve"> reagent (</w:t>
      </w:r>
      <w:proofErr w:type="spellStart"/>
      <w:r>
        <w:rPr>
          <w:color w:val="000000" w:themeColor="text1"/>
        </w:rPr>
        <w:t>Thermo</w:t>
      </w:r>
      <w:proofErr w:type="spellEnd"/>
      <w:r>
        <w:rPr>
          <w:color w:val="000000" w:themeColor="text1"/>
        </w:rPr>
        <w:t xml:space="preserve"> Fisher, 15596018) was used to extract total RNA following the manufacturer's procedure.</w:t>
      </w:r>
      <w:r>
        <w:rPr>
          <w:color w:val="000000" w:themeColor="text1"/>
          <w:lang w:eastAsia="en-US"/>
        </w:rPr>
        <w:t xml:space="preserve"> The RNA</w:t>
      </w:r>
      <w:r>
        <w:rPr>
          <w:color w:val="000000" w:themeColor="text1"/>
        </w:rPr>
        <w:t xml:space="preserve"> </w:t>
      </w:r>
      <w:r>
        <w:rPr>
          <w:color w:val="000000" w:themeColor="text1"/>
          <w:lang w:eastAsia="en-US"/>
        </w:rPr>
        <w:t xml:space="preserve">amount and purity of each sample was quantified using </w:t>
      </w:r>
      <w:proofErr w:type="spellStart"/>
      <w:r>
        <w:rPr>
          <w:color w:val="000000" w:themeColor="text1"/>
          <w:lang w:eastAsia="en-US"/>
        </w:rPr>
        <w:t>NanoDrop</w:t>
      </w:r>
      <w:proofErr w:type="spellEnd"/>
      <w:r>
        <w:rPr>
          <w:color w:val="000000" w:themeColor="text1"/>
          <w:lang w:eastAsia="en-US"/>
        </w:rPr>
        <w:t xml:space="preserve"> ND-1000 (</w:t>
      </w:r>
      <w:proofErr w:type="spellStart"/>
      <w:r>
        <w:rPr>
          <w:color w:val="000000" w:themeColor="text1"/>
          <w:lang w:eastAsia="en-US"/>
        </w:rPr>
        <w:t>NanoDrop</w:t>
      </w:r>
      <w:proofErr w:type="spellEnd"/>
      <w:r>
        <w:rPr>
          <w:color w:val="000000" w:themeColor="text1"/>
          <w:lang w:eastAsia="en-US"/>
        </w:rPr>
        <w:t>, Wilmington, DE, USA). RNA integrity was assessed</w:t>
      </w:r>
      <w:r>
        <w:rPr>
          <w:color w:val="000000" w:themeColor="text1"/>
        </w:rPr>
        <w:t xml:space="preserve"> with an</w:t>
      </w:r>
      <w:r>
        <w:rPr>
          <w:color w:val="000000" w:themeColor="text1"/>
          <w:lang w:eastAsia="en-US"/>
        </w:rPr>
        <w:t xml:space="preserve"> Agilent 2100</w:t>
      </w:r>
      <w:r>
        <w:rPr>
          <w:color w:val="000000" w:themeColor="text1"/>
        </w:rPr>
        <w:t xml:space="preserve"> </w:t>
      </w:r>
      <w:bookmarkStart w:id="7" w:name="OLE_LINK3"/>
      <w:r>
        <w:rPr>
          <w:color w:val="000000" w:themeColor="text1"/>
        </w:rPr>
        <w:t>bioanalyzer,</w:t>
      </w:r>
      <w:bookmarkEnd w:id="7"/>
      <w:r>
        <w:rPr>
          <w:color w:val="000000" w:themeColor="text1"/>
        </w:rPr>
        <w:t xml:space="preserve"> </w:t>
      </w:r>
      <w:r>
        <w:rPr>
          <w:color w:val="000000" w:themeColor="text1"/>
          <w:lang w:eastAsia="en-US"/>
        </w:rPr>
        <w:t>with</w:t>
      </w:r>
      <w:r>
        <w:rPr>
          <w:color w:val="000000" w:themeColor="text1"/>
        </w:rPr>
        <w:t xml:space="preserve"> only samples exhibiting </w:t>
      </w:r>
      <w:proofErr w:type="gramStart"/>
      <w:r>
        <w:rPr>
          <w:color w:val="000000" w:themeColor="text1"/>
        </w:rPr>
        <w:t>a</w:t>
      </w:r>
      <w:proofErr w:type="gramEnd"/>
      <w:r>
        <w:rPr>
          <w:color w:val="000000" w:themeColor="text1"/>
        </w:rPr>
        <w:t xml:space="preserve"> RNA Integrity Number (RIN) above 7.0 being deemed suitable for further analysis. The quality and quantity of the extracted RNA were analyzed using Bioanalyzer 2100 and RNA 6000 Nano </w:t>
      </w:r>
      <w:proofErr w:type="spellStart"/>
      <w:r>
        <w:rPr>
          <w:color w:val="000000" w:themeColor="text1"/>
        </w:rPr>
        <w:t>LabChip</w:t>
      </w:r>
      <w:proofErr w:type="spellEnd"/>
      <w:r>
        <w:rPr>
          <w:color w:val="000000" w:themeColor="text1"/>
        </w:rPr>
        <w:t xml:space="preserve"> Kit (Agilent, CA, USA, 5067-1511), and high-quality RNA samples with an RIN number greater than 7.0 were selected to construct sequencing library. After the total RNA was extracted, mRNA was purified from 5 </w:t>
      </w:r>
      <w:proofErr w:type="spellStart"/>
      <w:r>
        <w:rPr>
          <w:color w:val="000000" w:themeColor="text1"/>
        </w:rPr>
        <w:t>μg</w:t>
      </w:r>
      <w:proofErr w:type="spellEnd"/>
      <w:r>
        <w:rPr>
          <w:color w:val="000000" w:themeColor="text1"/>
        </w:rPr>
        <w:t xml:space="preserve"> of total RNA using </w:t>
      </w:r>
      <w:proofErr w:type="spellStart"/>
      <w:r>
        <w:rPr>
          <w:color w:val="000000" w:themeColor="text1"/>
        </w:rPr>
        <w:t>Dynabeads</w:t>
      </w:r>
      <w:proofErr w:type="spellEnd"/>
      <w:r>
        <w:rPr>
          <w:color w:val="000000" w:themeColor="text1"/>
        </w:rPr>
        <w:t xml:space="preserve"> Oligo (</w:t>
      </w:r>
      <w:proofErr w:type="spellStart"/>
      <w:r>
        <w:rPr>
          <w:color w:val="000000" w:themeColor="text1"/>
        </w:rPr>
        <w:t>Thermo</w:t>
      </w:r>
      <w:proofErr w:type="spellEnd"/>
      <w:r>
        <w:rPr>
          <w:color w:val="000000" w:themeColor="text1"/>
        </w:rPr>
        <w:t xml:space="preserve"> Fisher, CA, USA) with two rounds of purification. The RNA libraries were sequenced on the Illumina </w:t>
      </w:r>
      <w:proofErr w:type="spellStart"/>
      <w:r>
        <w:rPr>
          <w:color w:val="000000" w:themeColor="text1"/>
        </w:rPr>
        <w:t>NovaseqTM</w:t>
      </w:r>
      <w:proofErr w:type="spellEnd"/>
      <w:r>
        <w:rPr>
          <w:color w:val="000000" w:themeColor="text1"/>
        </w:rPr>
        <w:t xml:space="preserve"> 6000 platform by </w:t>
      </w:r>
      <w:bookmarkStart w:id="8" w:name="OLE_LINK4"/>
      <w:r>
        <w:rPr>
          <w:color w:val="000000" w:themeColor="text1"/>
        </w:rPr>
        <w:t>LC Bio Technology CO., Ltd (Hangzhou, China)</w:t>
      </w:r>
      <w:bookmarkEnd w:id="8"/>
      <w:r>
        <w:rPr>
          <w:color w:val="000000" w:themeColor="text1"/>
        </w:rPr>
        <w:t>.</w:t>
      </w:r>
    </w:p>
    <w:p w:rsidR="000B07F3" w:rsidRDefault="00000000">
      <w:pPr>
        <w:rPr>
          <w:color w:val="000000" w:themeColor="text1"/>
        </w:rPr>
      </w:pPr>
      <w:r>
        <w:rPr>
          <w:color w:val="000000" w:themeColor="text1"/>
        </w:rPr>
        <w:t xml:space="preserve">The expression levels of all transcripts were estimated using </w:t>
      </w:r>
      <w:proofErr w:type="spellStart"/>
      <w:r>
        <w:rPr>
          <w:color w:val="000000" w:themeColor="text1"/>
        </w:rPr>
        <w:t>StringTie</w:t>
      </w:r>
      <w:proofErr w:type="spellEnd"/>
      <w:r>
        <w:rPr>
          <w:color w:val="000000" w:themeColor="text1"/>
        </w:rPr>
        <w:t xml:space="preserve"> and ballgown (http://www.bioconductor.org/packages/release/bioc/html/ballgown.html), and expression abundance for mRNAs was calculated as FPKM (fragment per kilobase of transcript per million mapped reads) value. Genes differential expression analysis was performed by DESeq2 software between two different groups, and by </w:t>
      </w:r>
      <w:proofErr w:type="spellStart"/>
      <w:r>
        <w:rPr>
          <w:color w:val="000000" w:themeColor="text1"/>
        </w:rPr>
        <w:t>edgeR</w:t>
      </w:r>
      <w:proofErr w:type="spellEnd"/>
      <w:r>
        <w:rPr>
          <w:color w:val="000000" w:themeColor="text1"/>
        </w:rPr>
        <w:t xml:space="preserve"> between two samples. The </w:t>
      </w:r>
      <w:r>
        <w:rPr>
          <w:color w:val="000000" w:themeColor="text1"/>
        </w:rPr>
        <w:lastRenderedPageBreak/>
        <w:t>genes with false discovery rate (FDR) below 0.05 and an absolute fold change of at least 2 were considered differentially expressed genes (DEGs). Subsequently, these DEGs were used for enrichment analyses of the Gene Ontology (GO) and the Kyoto Encyclopedia of Genes and Genomes (KEGG) pathwa</w:t>
      </w:r>
      <w:r>
        <w:rPr>
          <w:rFonts w:hint="eastAsia"/>
          <w:color w:val="000000" w:themeColor="text1"/>
        </w:rPr>
        <w:t>y</w:t>
      </w:r>
      <w:r>
        <w:rPr>
          <w:color w:val="000000" w:themeColor="text1"/>
        </w:rPr>
        <w:t xml:space="preserve">s. </w:t>
      </w:r>
    </w:p>
    <w:p w:rsidR="000B07F3" w:rsidRDefault="00000000">
      <w:pPr>
        <w:rPr>
          <w:color w:val="000000" w:themeColor="text1"/>
        </w:rPr>
      </w:pPr>
      <w:r>
        <w:rPr>
          <w:color w:val="000000" w:themeColor="text1"/>
        </w:rPr>
        <w:br w:type="page"/>
      </w:r>
    </w:p>
    <w:p w:rsidR="000B07F3" w:rsidRDefault="00000000">
      <w:pPr>
        <w:spacing w:before="156"/>
        <w:ind w:firstLine="482"/>
        <w:rPr>
          <w:color w:val="000000" w:themeColor="text1"/>
        </w:rPr>
      </w:pPr>
      <w:r>
        <w:rPr>
          <w:rFonts w:hint="eastAsia"/>
          <w:b/>
          <w:color w:val="000000" w:themeColor="text1"/>
        </w:rPr>
        <w:lastRenderedPageBreak/>
        <w:t>Table S1</w:t>
      </w:r>
      <w:r>
        <w:rPr>
          <w:b/>
          <w:color w:val="000000" w:themeColor="text1"/>
        </w:rPr>
        <w:t xml:space="preserve"> </w:t>
      </w:r>
      <w:r>
        <w:rPr>
          <w:color w:val="000000" w:themeColor="text1"/>
        </w:rPr>
        <w:t>Classification of metabolites</w:t>
      </w:r>
      <w:r>
        <w:rPr>
          <w:rFonts w:hint="eastAsia"/>
          <w:color w:val="000000" w:themeColor="text1"/>
        </w:rPr>
        <w:t xml:space="preserve"> </w:t>
      </w:r>
    </w:p>
    <w:tbl>
      <w:tblPr>
        <w:tblStyle w:val="ab"/>
        <w:tblW w:w="8542" w:type="dxa"/>
        <w:tblLook w:val="04A0" w:firstRow="1" w:lastRow="0" w:firstColumn="1" w:lastColumn="0" w:noHBand="0" w:noVBand="1"/>
      </w:tblPr>
      <w:tblGrid>
        <w:gridCol w:w="1276"/>
        <w:gridCol w:w="3355"/>
        <w:gridCol w:w="3911"/>
      </w:tblGrid>
      <w:tr w:rsidR="000B07F3">
        <w:tc>
          <w:tcPr>
            <w:tcW w:w="1276" w:type="dxa"/>
            <w:tcBorders>
              <w:left w:val="nil"/>
              <w:bottom w:val="single" w:sz="4" w:space="0" w:color="auto"/>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Sex</w:t>
            </w:r>
          </w:p>
        </w:tc>
        <w:tc>
          <w:tcPr>
            <w:tcW w:w="3355" w:type="dxa"/>
            <w:tcBorders>
              <w:left w:val="nil"/>
              <w:bottom w:val="single" w:sz="4" w:space="0" w:color="auto"/>
              <w:right w:val="nil"/>
            </w:tcBorders>
          </w:tcPr>
          <w:p w:rsidR="000B07F3" w:rsidRDefault="00000000">
            <w:pPr>
              <w:spacing w:before="156" w:line="240" w:lineRule="auto"/>
              <w:ind w:firstLine="0"/>
              <w:rPr>
                <w:color w:val="000000" w:themeColor="text1"/>
                <w:kern w:val="0"/>
              </w:rPr>
            </w:pPr>
            <w:r>
              <w:rPr>
                <w:color w:val="000000" w:themeColor="text1"/>
                <w:kern w:val="0"/>
              </w:rPr>
              <w:t>Classification</w:t>
            </w:r>
          </w:p>
        </w:tc>
        <w:tc>
          <w:tcPr>
            <w:tcW w:w="3911" w:type="dxa"/>
            <w:tcBorders>
              <w:left w:val="nil"/>
              <w:bottom w:val="single" w:sz="4" w:space="0" w:color="auto"/>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Metabolites</w:t>
            </w:r>
          </w:p>
        </w:tc>
      </w:tr>
      <w:tr w:rsidR="000B07F3">
        <w:tc>
          <w:tcPr>
            <w:tcW w:w="1276" w:type="dxa"/>
            <w:tcBorders>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Male</w:t>
            </w:r>
          </w:p>
        </w:tc>
        <w:tc>
          <w:tcPr>
            <w:tcW w:w="3355" w:type="dxa"/>
            <w:tcBorders>
              <w:left w:val="nil"/>
              <w:bottom w:val="nil"/>
              <w:right w:val="nil"/>
            </w:tcBorders>
          </w:tcPr>
          <w:p w:rsidR="000B07F3" w:rsidRDefault="000B07F3">
            <w:pPr>
              <w:spacing w:before="156" w:line="240" w:lineRule="auto"/>
              <w:ind w:firstLine="0"/>
              <w:rPr>
                <w:color w:val="000000" w:themeColor="text1"/>
                <w:kern w:val="0"/>
              </w:rPr>
            </w:pPr>
          </w:p>
        </w:tc>
        <w:tc>
          <w:tcPr>
            <w:tcW w:w="3911" w:type="dxa"/>
            <w:tcBorders>
              <w:left w:val="nil"/>
              <w:bottom w:val="nil"/>
              <w:right w:val="nil"/>
            </w:tcBorders>
          </w:tcPr>
          <w:p w:rsidR="000B07F3" w:rsidRDefault="000B07F3">
            <w:pPr>
              <w:spacing w:before="156" w:line="240" w:lineRule="auto"/>
              <w:ind w:firstLine="0"/>
              <w:rPr>
                <w:color w:val="000000" w:themeColor="text1"/>
                <w:kern w:val="0"/>
              </w:rPr>
            </w:pP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Organic acids and derivatives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L-Glutamine, N-</w:t>
            </w:r>
            <w:proofErr w:type="spellStart"/>
            <w:r>
              <w:rPr>
                <w:rFonts w:hint="eastAsia"/>
                <w:color w:val="000000" w:themeColor="text1"/>
                <w:kern w:val="0"/>
              </w:rPr>
              <w:t>lactoyl</w:t>
            </w:r>
            <w:proofErr w:type="spellEnd"/>
            <w:r>
              <w:rPr>
                <w:rFonts w:hint="eastAsia"/>
                <w:color w:val="000000" w:themeColor="text1"/>
                <w:kern w:val="0"/>
              </w:rPr>
              <w:t>-Leucine, N-Acetyl-L-aspartic acid</w:t>
            </w: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proofErr w:type="spellStart"/>
            <w:r>
              <w:rPr>
                <w:color w:val="000000" w:themeColor="text1"/>
                <w:kern w:val="0"/>
              </w:rPr>
              <w:t>Organoheterocyclic</w:t>
            </w:r>
            <w:proofErr w:type="spellEnd"/>
            <w:r>
              <w:rPr>
                <w:color w:val="000000" w:themeColor="text1"/>
                <w:kern w:val="0"/>
              </w:rPr>
              <w:t xml:space="preserve"> compounds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 xml:space="preserve">Xanthine, </w:t>
            </w:r>
            <w:proofErr w:type="spellStart"/>
            <w:r>
              <w:rPr>
                <w:rFonts w:hint="eastAsia"/>
                <w:color w:val="000000" w:themeColor="text1"/>
                <w:kern w:val="0"/>
              </w:rPr>
              <w:t>Lansine</w:t>
            </w:r>
            <w:proofErr w:type="spellEnd"/>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color w:val="000000" w:themeColor="text1"/>
                <w:kern w:val="0"/>
              </w:rPr>
              <w:t>Unknown</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2-Keto-D-gluconic acid, N-</w:t>
            </w:r>
            <w:proofErr w:type="spellStart"/>
            <w:r>
              <w:rPr>
                <w:rFonts w:hint="eastAsia"/>
                <w:color w:val="000000" w:themeColor="text1"/>
                <w:kern w:val="0"/>
              </w:rPr>
              <w:t>Lauroylsarcosine</w:t>
            </w:r>
            <w:proofErr w:type="spellEnd"/>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color w:val="000000" w:themeColor="text1"/>
                <w:kern w:val="0"/>
              </w:rPr>
              <w:t>Lipids and lipid-like molecules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proofErr w:type="spellStart"/>
            <w:r>
              <w:rPr>
                <w:rFonts w:hint="eastAsia"/>
                <w:color w:val="000000" w:themeColor="text1"/>
                <w:kern w:val="0"/>
              </w:rPr>
              <w:t>LysoPC</w:t>
            </w:r>
            <w:proofErr w:type="spellEnd"/>
            <w:r>
              <w:rPr>
                <w:rFonts w:hint="eastAsia"/>
                <w:color w:val="000000" w:themeColor="text1"/>
                <w:kern w:val="0"/>
              </w:rPr>
              <w:t xml:space="preserve"> 18:0, </w:t>
            </w:r>
            <w:proofErr w:type="spellStart"/>
            <w:r>
              <w:rPr>
                <w:rFonts w:hint="eastAsia"/>
                <w:color w:val="000000" w:themeColor="text1"/>
                <w:kern w:val="0"/>
              </w:rPr>
              <w:t>LysoPE</w:t>
            </w:r>
            <w:proofErr w:type="spellEnd"/>
            <w:r>
              <w:rPr>
                <w:rFonts w:hint="eastAsia"/>
                <w:color w:val="000000" w:themeColor="text1"/>
                <w:kern w:val="0"/>
              </w:rPr>
              <w:t xml:space="preserve"> 18:0, Myristic acid, dodecanedioic acid, 2,2,4,4-Tetramethyl-6-(1-oxobutyl)-1,3,5-cyclohexanetrion, </w:t>
            </w:r>
            <w:proofErr w:type="spellStart"/>
            <w:r>
              <w:rPr>
                <w:rFonts w:hint="eastAsia"/>
                <w:color w:val="000000" w:themeColor="text1"/>
                <w:kern w:val="0"/>
              </w:rPr>
              <w:t>palmitelaidic</w:t>
            </w:r>
            <w:proofErr w:type="spellEnd"/>
            <w:r>
              <w:rPr>
                <w:rFonts w:hint="eastAsia"/>
                <w:color w:val="000000" w:themeColor="text1"/>
                <w:kern w:val="0"/>
              </w:rPr>
              <w:t xml:space="preserve"> acid, </w:t>
            </w:r>
            <w:proofErr w:type="spellStart"/>
            <w:r>
              <w:rPr>
                <w:rFonts w:hint="eastAsia"/>
                <w:color w:val="000000" w:themeColor="text1"/>
                <w:kern w:val="0"/>
              </w:rPr>
              <w:t>tetradecanedioic</w:t>
            </w:r>
            <w:proofErr w:type="spellEnd"/>
            <w:r>
              <w:rPr>
                <w:rFonts w:hint="eastAsia"/>
                <w:color w:val="000000" w:themeColor="text1"/>
                <w:kern w:val="0"/>
              </w:rPr>
              <w:t xml:space="preserve"> acid, 11-Oxohexadecanoic acid, 3b-Hydroxy-6b-methoxy-7(11)-eremophilen-12, 8a-olide, hexadecanedioic acid, acylcarnitine 14:0, acylcarnitine 15:0, acylcarnitine 16:1</w:t>
            </w: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Phenylpropanoids and polyketides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Isopimpinellin</w:t>
            </w: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color w:val="000000" w:themeColor="text1"/>
                <w:kern w:val="0"/>
              </w:rPr>
              <w:t>Organic oxygen compounds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D-Ribose 5-phosphate</w:t>
            </w: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color w:val="000000" w:themeColor="text1"/>
                <w:kern w:val="0"/>
              </w:rPr>
              <w:t>Nucleosides, nucleotides, and analogues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proofErr w:type="spellStart"/>
            <w:r>
              <w:rPr>
                <w:rFonts w:hint="eastAsia"/>
                <w:color w:val="000000" w:themeColor="text1"/>
                <w:kern w:val="0"/>
              </w:rPr>
              <w:t>Adenylosuccinic</w:t>
            </w:r>
            <w:proofErr w:type="spellEnd"/>
            <w:r>
              <w:rPr>
                <w:rFonts w:hint="eastAsia"/>
                <w:color w:val="000000" w:themeColor="text1"/>
                <w:kern w:val="0"/>
              </w:rPr>
              <w:t xml:space="preserve"> acid</w:t>
            </w:r>
          </w:p>
        </w:tc>
      </w:tr>
      <w:tr w:rsidR="000B07F3">
        <w:tc>
          <w:tcPr>
            <w:tcW w:w="1276"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Female</w:t>
            </w:r>
          </w:p>
        </w:tc>
        <w:tc>
          <w:tcPr>
            <w:tcW w:w="3355"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911" w:type="dxa"/>
            <w:tcBorders>
              <w:top w:val="nil"/>
              <w:left w:val="nil"/>
              <w:bottom w:val="nil"/>
              <w:right w:val="nil"/>
            </w:tcBorders>
          </w:tcPr>
          <w:p w:rsidR="000B07F3" w:rsidRDefault="000B07F3">
            <w:pPr>
              <w:spacing w:before="156" w:line="240" w:lineRule="auto"/>
              <w:ind w:firstLine="0"/>
              <w:rPr>
                <w:color w:val="000000" w:themeColor="text1"/>
                <w:kern w:val="0"/>
              </w:rPr>
            </w:pP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proofErr w:type="spellStart"/>
            <w:r>
              <w:rPr>
                <w:rFonts w:hint="eastAsia"/>
                <w:color w:val="000000" w:themeColor="text1"/>
                <w:kern w:val="0"/>
              </w:rPr>
              <w:t>Organoheterocyclic</w:t>
            </w:r>
            <w:proofErr w:type="spellEnd"/>
            <w:r>
              <w:rPr>
                <w:rFonts w:hint="eastAsia"/>
                <w:color w:val="000000" w:themeColor="text1"/>
                <w:kern w:val="0"/>
              </w:rPr>
              <w:t xml:space="preserve"> compounds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Hypoxanthine, xanthine</w:t>
            </w: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Lipids and lipid-like molecules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Rac-Glycerol 3-phosphoate</w:t>
            </w:r>
          </w:p>
        </w:tc>
      </w:tr>
      <w:tr w:rsidR="000B07F3">
        <w:tc>
          <w:tcPr>
            <w:tcW w:w="1276" w:type="dxa"/>
            <w:tcBorders>
              <w:top w:val="nil"/>
              <w:left w:val="nil"/>
              <w:bottom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Organic acids and derivatives</w:t>
            </w:r>
          </w:p>
        </w:tc>
        <w:tc>
          <w:tcPr>
            <w:tcW w:w="3911" w:type="dxa"/>
            <w:tcBorders>
              <w:top w:val="nil"/>
              <w:left w:val="nil"/>
              <w:bottom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Glutamine, N-Acetyl-L-aspartic acid, N-</w:t>
            </w:r>
            <w:proofErr w:type="spellStart"/>
            <w:r>
              <w:rPr>
                <w:rFonts w:hint="eastAsia"/>
                <w:color w:val="000000" w:themeColor="text1"/>
                <w:kern w:val="0"/>
              </w:rPr>
              <w:t>Nonanoylglycine</w:t>
            </w:r>
            <w:proofErr w:type="spellEnd"/>
            <w:r>
              <w:rPr>
                <w:rFonts w:hint="eastAsia"/>
                <w:color w:val="000000" w:themeColor="text1"/>
                <w:kern w:val="0"/>
              </w:rPr>
              <w:t xml:space="preserve"> </w:t>
            </w:r>
          </w:p>
        </w:tc>
      </w:tr>
      <w:tr w:rsidR="000B07F3">
        <w:tc>
          <w:tcPr>
            <w:tcW w:w="1276" w:type="dxa"/>
            <w:tcBorders>
              <w:top w:val="nil"/>
              <w:left w:val="nil"/>
              <w:right w:val="nil"/>
            </w:tcBorders>
          </w:tcPr>
          <w:p w:rsidR="000B07F3" w:rsidRDefault="000B07F3">
            <w:pPr>
              <w:spacing w:before="156" w:line="240" w:lineRule="auto"/>
              <w:ind w:firstLine="0"/>
              <w:rPr>
                <w:color w:val="000000" w:themeColor="text1"/>
                <w:kern w:val="0"/>
              </w:rPr>
            </w:pPr>
          </w:p>
        </w:tc>
        <w:tc>
          <w:tcPr>
            <w:tcW w:w="3355" w:type="dxa"/>
            <w:tcBorders>
              <w:top w:val="nil"/>
              <w:left w:val="nil"/>
              <w:right w:val="nil"/>
            </w:tcBorders>
          </w:tcPr>
          <w:p w:rsidR="000B07F3" w:rsidRDefault="00000000">
            <w:pPr>
              <w:spacing w:before="156" w:line="240" w:lineRule="auto"/>
              <w:ind w:firstLine="0"/>
              <w:rPr>
                <w:color w:val="000000" w:themeColor="text1"/>
                <w:kern w:val="0"/>
              </w:rPr>
            </w:pPr>
            <w:r>
              <w:rPr>
                <w:rFonts w:hint="eastAsia"/>
                <w:color w:val="000000" w:themeColor="text1"/>
                <w:kern w:val="0"/>
              </w:rPr>
              <w:t>Nucleosides, nucleotides, and analogues</w:t>
            </w:r>
          </w:p>
        </w:tc>
        <w:tc>
          <w:tcPr>
            <w:tcW w:w="3911" w:type="dxa"/>
            <w:tcBorders>
              <w:top w:val="nil"/>
              <w:left w:val="nil"/>
              <w:right w:val="nil"/>
            </w:tcBorders>
          </w:tcPr>
          <w:p w:rsidR="000B07F3" w:rsidRDefault="00000000">
            <w:pPr>
              <w:spacing w:before="156" w:line="240" w:lineRule="auto"/>
              <w:ind w:firstLine="0"/>
              <w:rPr>
                <w:color w:val="000000" w:themeColor="text1"/>
                <w:kern w:val="0"/>
              </w:rPr>
            </w:pPr>
            <w:proofErr w:type="spellStart"/>
            <w:r>
              <w:rPr>
                <w:rFonts w:hint="eastAsia"/>
                <w:color w:val="000000" w:themeColor="text1"/>
                <w:kern w:val="0"/>
              </w:rPr>
              <w:t>Adenylosuccinic</w:t>
            </w:r>
            <w:proofErr w:type="spellEnd"/>
            <w:r>
              <w:rPr>
                <w:rFonts w:hint="eastAsia"/>
                <w:color w:val="000000" w:themeColor="text1"/>
                <w:kern w:val="0"/>
              </w:rPr>
              <w:t xml:space="preserve"> acid</w:t>
            </w:r>
          </w:p>
        </w:tc>
      </w:tr>
    </w:tbl>
    <w:p w:rsidR="000B07F3" w:rsidRDefault="000B07F3">
      <w:pPr>
        <w:rPr>
          <w:color w:val="000000" w:themeColor="text1"/>
        </w:rPr>
      </w:pPr>
    </w:p>
    <w:p w:rsidR="000B07F3" w:rsidRDefault="00000000">
      <w:pPr>
        <w:ind w:firstLine="0"/>
        <w:rPr>
          <w:b/>
          <w:bCs/>
        </w:rPr>
      </w:pPr>
      <w:r>
        <w:rPr>
          <w:b/>
          <w:bCs/>
          <w:noProof/>
        </w:rPr>
        <w:lastRenderedPageBreak/>
        <w:drawing>
          <wp:inline distT="0" distB="0" distL="0" distR="0">
            <wp:extent cx="5615940" cy="2389505"/>
            <wp:effectExtent l="0" t="0" r="3810" b="10795"/>
            <wp:docPr id="1" name="图片 6" descr="Fig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Figure 2-1"/>
                    <pic:cNvPicPr>
                      <a:picLocks noChangeAspect="1" noChangeArrowheads="1"/>
                    </pic:cNvPicPr>
                  </pic:nvPicPr>
                  <pic:blipFill>
                    <a:blip r:embed="rId6" cstate="print"/>
                    <a:srcRect/>
                    <a:stretch>
                      <a:fillRect/>
                    </a:stretch>
                  </pic:blipFill>
                  <pic:spPr>
                    <a:xfrm>
                      <a:off x="0" y="0"/>
                      <a:ext cx="5615940" cy="2389505"/>
                    </a:xfrm>
                    <a:prstGeom prst="rect">
                      <a:avLst/>
                    </a:prstGeom>
                    <a:noFill/>
                    <a:ln w="9525">
                      <a:noFill/>
                      <a:miter lim="800000"/>
                      <a:headEnd/>
                      <a:tailEnd/>
                    </a:ln>
                  </pic:spPr>
                </pic:pic>
              </a:graphicData>
            </a:graphic>
          </wp:inline>
        </w:drawing>
      </w:r>
    </w:p>
    <w:p w:rsidR="000B07F3" w:rsidRDefault="00000000">
      <w:pPr>
        <w:ind w:firstLine="0"/>
        <w:rPr>
          <w:bCs/>
          <w:color w:val="000000"/>
        </w:rPr>
      </w:pPr>
      <w:r>
        <w:rPr>
          <w:b/>
          <w:color w:val="000000"/>
        </w:rPr>
        <w:t xml:space="preserve">Fig. </w:t>
      </w:r>
      <w:r>
        <w:rPr>
          <w:rFonts w:hint="eastAsia"/>
          <w:b/>
          <w:color w:val="000000"/>
        </w:rPr>
        <w:t>S1</w:t>
      </w:r>
      <w:r>
        <w:rPr>
          <w:b/>
          <w:color w:val="000000"/>
        </w:rPr>
        <w:t xml:space="preserve"> </w:t>
      </w:r>
      <w:r>
        <w:rPr>
          <w:rFonts w:hint="eastAsia"/>
          <w:bCs/>
          <w:color w:val="000000"/>
        </w:rPr>
        <w:t>M</w:t>
      </w:r>
      <w:r>
        <w:rPr>
          <w:bCs/>
          <w:color w:val="000000"/>
        </w:rPr>
        <w:t xml:space="preserve">ass spectrometer curves of m/z 56 for PE </w:t>
      </w:r>
      <w:r>
        <w:rPr>
          <w:rFonts w:hint="eastAsia"/>
          <w:bCs/>
          <w:color w:val="000000"/>
        </w:rPr>
        <w:t>(</w:t>
      </w:r>
      <w:r>
        <w:rPr>
          <w:bCs/>
          <w:color w:val="000000"/>
        </w:rPr>
        <w:t xml:space="preserve">A) </w:t>
      </w:r>
      <w:r>
        <w:rPr>
          <w:rFonts w:hint="eastAsia"/>
          <w:bCs/>
          <w:color w:val="000000"/>
        </w:rPr>
        <w:t>and</w:t>
      </w:r>
      <w:r>
        <w:rPr>
          <w:bCs/>
          <w:color w:val="000000"/>
        </w:rPr>
        <w:t xml:space="preserve"> m/z 104 for PS (B)</w:t>
      </w:r>
    </w:p>
    <w:p w:rsidR="000B07F3" w:rsidRDefault="000B07F3">
      <w:pPr>
        <w:ind w:firstLine="0"/>
        <w:rPr>
          <w:bCs/>
          <w:color w:val="000000"/>
        </w:rPr>
      </w:pPr>
    </w:p>
    <w:p w:rsidR="000B07F3" w:rsidRDefault="00000000">
      <w:pPr>
        <w:ind w:firstLine="0"/>
        <w:rPr>
          <w:b/>
          <w:color w:val="000000"/>
        </w:rPr>
      </w:pPr>
      <w:r>
        <w:rPr>
          <w:b/>
          <w:noProof/>
          <w:color w:val="000000"/>
        </w:rPr>
        <w:drawing>
          <wp:inline distT="0" distB="0" distL="114300" distR="114300">
            <wp:extent cx="5095240" cy="3985895"/>
            <wp:effectExtent l="0" t="0" r="10160" b="14605"/>
            <wp:docPr id="2" name="图片 1" descr="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Figure 5"/>
                    <pic:cNvPicPr>
                      <a:picLocks noChangeAspect="1"/>
                    </pic:cNvPicPr>
                  </pic:nvPicPr>
                  <pic:blipFill>
                    <a:blip r:embed="rId7"/>
                    <a:stretch>
                      <a:fillRect/>
                    </a:stretch>
                  </pic:blipFill>
                  <pic:spPr>
                    <a:xfrm>
                      <a:off x="0" y="0"/>
                      <a:ext cx="5095240" cy="3985895"/>
                    </a:xfrm>
                    <a:prstGeom prst="rect">
                      <a:avLst/>
                    </a:prstGeom>
                    <a:noFill/>
                    <a:ln>
                      <a:noFill/>
                    </a:ln>
                  </pic:spPr>
                </pic:pic>
              </a:graphicData>
            </a:graphic>
          </wp:inline>
        </w:drawing>
      </w:r>
    </w:p>
    <w:p w:rsidR="000B07F3" w:rsidRDefault="00000000">
      <w:pPr>
        <w:ind w:firstLine="0"/>
        <w:rPr>
          <w:color w:val="000000"/>
        </w:rPr>
      </w:pPr>
      <w:r>
        <w:rPr>
          <w:b/>
          <w:color w:val="000000"/>
        </w:rPr>
        <w:t xml:space="preserve">Fig. </w:t>
      </w:r>
      <w:r>
        <w:rPr>
          <w:rFonts w:hint="eastAsia"/>
          <w:b/>
          <w:color w:val="000000"/>
        </w:rPr>
        <w:t>S2</w:t>
      </w:r>
      <w:r>
        <w:rPr>
          <w:color w:val="000000"/>
        </w:rPr>
        <w:t xml:space="preserve"> PCA scores plots of female control (CF), male control (CM), PS+PE</w:t>
      </w:r>
      <w:r>
        <w:rPr>
          <w:rFonts w:hint="eastAsia"/>
          <w:color w:val="000000"/>
        </w:rPr>
        <w:t xml:space="preserve"> exposure</w:t>
      </w:r>
      <w:r>
        <w:rPr>
          <w:color w:val="000000"/>
        </w:rPr>
        <w:t xml:space="preserve"> female (HF), PS+PE</w:t>
      </w:r>
      <w:r>
        <w:rPr>
          <w:rFonts w:hint="eastAsia"/>
          <w:color w:val="000000"/>
        </w:rPr>
        <w:t xml:space="preserve"> exposure</w:t>
      </w:r>
      <w:r>
        <w:rPr>
          <w:color w:val="000000"/>
        </w:rPr>
        <w:t xml:space="preserve"> male (HM), and quality control (QC) samples</w:t>
      </w:r>
      <w:r>
        <w:rPr>
          <w:rFonts w:hint="eastAsia"/>
          <w:color w:val="000000"/>
        </w:rPr>
        <w:t xml:space="preserve">; PC1, </w:t>
      </w:r>
      <w:r>
        <w:rPr>
          <w:color w:val="000000"/>
        </w:rPr>
        <w:t xml:space="preserve">first </w:t>
      </w:r>
      <w:r>
        <w:rPr>
          <w:color w:val="000000"/>
        </w:rPr>
        <w:lastRenderedPageBreak/>
        <w:t xml:space="preserve">principal component; </w:t>
      </w:r>
      <w:r>
        <w:rPr>
          <w:rFonts w:hint="eastAsia"/>
          <w:color w:val="000000"/>
        </w:rPr>
        <w:t xml:space="preserve">PC2, </w:t>
      </w:r>
      <w:r>
        <w:rPr>
          <w:color w:val="000000"/>
        </w:rPr>
        <w:t>second principal component.</w:t>
      </w:r>
    </w:p>
    <w:p w:rsidR="000B07F3" w:rsidRDefault="000B07F3">
      <w:pPr>
        <w:ind w:firstLine="0"/>
        <w:rPr>
          <w:bCs/>
          <w:color w:val="000000"/>
        </w:rPr>
      </w:pPr>
    </w:p>
    <w:p w:rsidR="000B07F3" w:rsidRDefault="00000000">
      <w:pPr>
        <w:ind w:firstLine="0"/>
        <w:rPr>
          <w:b/>
        </w:rPr>
      </w:pPr>
      <w:r>
        <w:rPr>
          <w:b/>
          <w:noProof/>
        </w:rPr>
        <w:drawing>
          <wp:inline distT="0" distB="0" distL="0" distR="0">
            <wp:extent cx="5020310" cy="4580890"/>
            <wp:effectExtent l="19050" t="0" r="8890" b="0"/>
            <wp:docPr id="6" name="图片 5" descr="‏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Figure 5"/>
                    <pic:cNvPicPr>
                      <a:picLocks noChangeAspect="1" noChangeArrowheads="1"/>
                    </pic:cNvPicPr>
                  </pic:nvPicPr>
                  <pic:blipFill>
                    <a:blip r:embed="rId8" cstate="print"/>
                    <a:srcRect/>
                    <a:stretch>
                      <a:fillRect/>
                    </a:stretch>
                  </pic:blipFill>
                  <pic:spPr>
                    <a:xfrm>
                      <a:off x="0" y="0"/>
                      <a:ext cx="5020310" cy="4580890"/>
                    </a:xfrm>
                    <a:prstGeom prst="rect">
                      <a:avLst/>
                    </a:prstGeom>
                    <a:noFill/>
                    <a:ln w="9525">
                      <a:noFill/>
                      <a:miter lim="800000"/>
                      <a:headEnd/>
                      <a:tailEnd/>
                    </a:ln>
                  </pic:spPr>
                </pic:pic>
              </a:graphicData>
            </a:graphic>
          </wp:inline>
        </w:drawing>
      </w:r>
    </w:p>
    <w:p w:rsidR="000B07F3" w:rsidRDefault="00000000">
      <w:pPr>
        <w:ind w:firstLine="0"/>
      </w:pPr>
      <w:r>
        <w:rPr>
          <w:b/>
        </w:rPr>
        <w:t xml:space="preserve">Fig. </w:t>
      </w:r>
      <w:r>
        <w:rPr>
          <w:rFonts w:hint="eastAsia"/>
          <w:b/>
        </w:rPr>
        <w:t>S3</w:t>
      </w:r>
      <w:r>
        <w:rPr>
          <w:b/>
        </w:rPr>
        <w:t xml:space="preserve"> </w:t>
      </w:r>
      <w:r>
        <w:t xml:space="preserve">PLS-DA analysis on metabolomics profiles in the </w:t>
      </w:r>
      <w:r>
        <w:rPr>
          <w:i/>
          <w:iCs/>
        </w:rPr>
        <w:t>Drosophila</w:t>
      </w:r>
      <w:r>
        <w:t>. Score plot of control and PS+PE</w:t>
      </w:r>
      <w:r>
        <w:rPr>
          <w:rFonts w:hint="eastAsia"/>
        </w:rPr>
        <w:t xml:space="preserve"> exposure</w:t>
      </w:r>
      <w:r>
        <w:t xml:space="preserve"> groups in male (A) and female (C) flies</w:t>
      </w:r>
      <w:r>
        <w:rPr>
          <w:rFonts w:hint="eastAsia"/>
          <w:bCs/>
        </w:rPr>
        <w:t>;</w:t>
      </w:r>
      <w:r>
        <w:rPr>
          <w:bCs/>
        </w:rPr>
        <w:t xml:space="preserve"> </w:t>
      </w:r>
      <w:r>
        <w:rPr>
          <w:rFonts w:eastAsia="GulliverRM"/>
        </w:rPr>
        <w:t xml:space="preserve">Permutation test of the PLS-DA model </w:t>
      </w:r>
      <w:r>
        <w:t>of control and PS+PE</w:t>
      </w:r>
      <w:r>
        <w:rPr>
          <w:rFonts w:hint="eastAsia"/>
        </w:rPr>
        <w:t xml:space="preserve"> exposure </w:t>
      </w:r>
      <w:r>
        <w:t>groups in male (B) and female (D) flies</w:t>
      </w:r>
      <w:r>
        <w:rPr>
          <w:rFonts w:hint="eastAsia"/>
        </w:rPr>
        <w:t xml:space="preserve">. PC1, </w:t>
      </w:r>
      <w:r>
        <w:t xml:space="preserve">first principal component; </w:t>
      </w:r>
      <w:r>
        <w:rPr>
          <w:rFonts w:hint="eastAsia"/>
        </w:rPr>
        <w:t xml:space="preserve">PC2, </w:t>
      </w:r>
      <w:r>
        <w:t>second principal component</w:t>
      </w:r>
      <w:r>
        <w:rPr>
          <w:rFonts w:hint="eastAsia"/>
        </w:rPr>
        <w:t xml:space="preserve">. </w:t>
      </w:r>
      <w:r>
        <w:t>The R2Y value represents the</w:t>
      </w:r>
      <w:r>
        <w:rPr>
          <w:rFonts w:hint="eastAsia"/>
        </w:rPr>
        <w:t xml:space="preserve"> </w:t>
      </w:r>
      <w:r>
        <w:t>goodness of fit of the model. The Q2 value represents the predictability of the models.</w:t>
      </w:r>
      <w:r>
        <w:rPr>
          <w:b/>
        </w:rPr>
        <w:t xml:space="preserve"> </w:t>
      </w:r>
    </w:p>
    <w:p w:rsidR="000B07F3" w:rsidRDefault="000B07F3">
      <w:pPr>
        <w:rPr>
          <w:color w:val="000000" w:themeColor="text1"/>
        </w:rPr>
      </w:pPr>
    </w:p>
    <w:p w:rsidR="000B07F3" w:rsidRDefault="000B07F3">
      <w:pPr>
        <w:rPr>
          <w:color w:val="000000" w:themeColor="text1"/>
        </w:rPr>
      </w:pPr>
    </w:p>
    <w:sectPr w:rsidR="000B07F3" w:rsidSect="00A61DAA">
      <w:pgSz w:w="12242" w:h="15842" w:code="1"/>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C1A44" w:rsidRDefault="009C1A44">
      <w:pPr>
        <w:spacing w:line="240" w:lineRule="auto"/>
      </w:pPr>
      <w:r>
        <w:separator/>
      </w:r>
    </w:p>
  </w:endnote>
  <w:endnote w:type="continuationSeparator" w:id="0">
    <w:p w:rsidR="009C1A44" w:rsidRDefault="009C1A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GulliverRM">
    <w:altName w:val="宋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C1A44" w:rsidRDefault="009C1A44">
      <w:r>
        <w:separator/>
      </w:r>
    </w:p>
  </w:footnote>
  <w:footnote w:type="continuationSeparator" w:id="0">
    <w:p w:rsidR="009C1A44" w:rsidRDefault="009C1A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IxYjkyY2I3ZTcwODQwNzBlZjQ0NDkzOTdhZTM4MjEifQ=="/>
  </w:docVars>
  <w:rsids>
    <w:rsidRoot w:val="00F009DD"/>
    <w:rsid w:val="000B07F3"/>
    <w:rsid w:val="001126AB"/>
    <w:rsid w:val="00252ACD"/>
    <w:rsid w:val="00255CD2"/>
    <w:rsid w:val="003D7010"/>
    <w:rsid w:val="003E4989"/>
    <w:rsid w:val="005136F3"/>
    <w:rsid w:val="00575E15"/>
    <w:rsid w:val="00582697"/>
    <w:rsid w:val="005F02D9"/>
    <w:rsid w:val="006066CF"/>
    <w:rsid w:val="0060751E"/>
    <w:rsid w:val="0061535F"/>
    <w:rsid w:val="00633836"/>
    <w:rsid w:val="0067605A"/>
    <w:rsid w:val="006770A8"/>
    <w:rsid w:val="006A4E88"/>
    <w:rsid w:val="006E08F4"/>
    <w:rsid w:val="007012A8"/>
    <w:rsid w:val="00704872"/>
    <w:rsid w:val="007D3981"/>
    <w:rsid w:val="007E1E6A"/>
    <w:rsid w:val="00846B39"/>
    <w:rsid w:val="008826B5"/>
    <w:rsid w:val="008A366C"/>
    <w:rsid w:val="008D1D35"/>
    <w:rsid w:val="008D70E2"/>
    <w:rsid w:val="00954024"/>
    <w:rsid w:val="009C1A44"/>
    <w:rsid w:val="00A61DAA"/>
    <w:rsid w:val="00B03B64"/>
    <w:rsid w:val="00BE6115"/>
    <w:rsid w:val="00C7459A"/>
    <w:rsid w:val="00D73FFD"/>
    <w:rsid w:val="00D80BAB"/>
    <w:rsid w:val="00F009DD"/>
    <w:rsid w:val="00F52F86"/>
    <w:rsid w:val="010C5839"/>
    <w:rsid w:val="08713828"/>
    <w:rsid w:val="0BBD0CD4"/>
    <w:rsid w:val="0C896A4B"/>
    <w:rsid w:val="2631734B"/>
    <w:rsid w:val="2BCE2703"/>
    <w:rsid w:val="2CF27CFD"/>
    <w:rsid w:val="4212784C"/>
    <w:rsid w:val="42413E25"/>
    <w:rsid w:val="55BD7D81"/>
    <w:rsid w:val="57B50F14"/>
    <w:rsid w:val="5DCC0667"/>
    <w:rsid w:val="6EB03E21"/>
    <w:rsid w:val="6F653D83"/>
    <w:rsid w:val="72A921D9"/>
    <w:rsid w:val="72F554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D901827A-F564-45AA-8D1F-92407221F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480" w:lineRule="auto"/>
      <w:ind w:firstLine="56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qFormat/>
    <w:rPr>
      <w:b/>
      <w:bCs/>
    </w:rPr>
  </w:style>
  <w:style w:type="table" w:styleId="ab">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qFormat/>
    <w:rPr>
      <w:sz w:val="21"/>
      <w:szCs w:val="21"/>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文字 字符"/>
    <w:basedOn w:val="a0"/>
    <w:link w:val="a3"/>
    <w:qFormat/>
    <w:rPr>
      <w:rFonts w:ascii="Times New Roman" w:eastAsia="宋体" w:hAnsi="Times New Roman" w:cs="Times New Roman"/>
      <w:sz w:val="24"/>
      <w:szCs w:val="24"/>
    </w:rPr>
  </w:style>
  <w:style w:type="paragraph" w:customStyle="1" w:styleId="1">
    <w:name w:val="修订1"/>
    <w:hidden/>
    <w:uiPriority w:val="99"/>
    <w:semiHidden/>
    <w:qFormat/>
    <w:rPr>
      <w:kern w:val="2"/>
      <w:sz w:val="24"/>
      <w:szCs w:val="24"/>
    </w:rPr>
  </w:style>
  <w:style w:type="character" w:customStyle="1" w:styleId="aa">
    <w:name w:val="批注主题 字符"/>
    <w:basedOn w:val="a4"/>
    <w:link w:val="a9"/>
    <w:uiPriority w:val="99"/>
    <w:semiHidden/>
    <w:qFormat/>
    <w:rPr>
      <w:rFonts w:ascii="Times New Roman" w:eastAsia="宋体" w:hAnsi="Times New Roman" w:cs="Times New Roman"/>
      <w:b/>
      <w:bCs/>
      <w:sz w:val="24"/>
      <w:szCs w:val="24"/>
    </w:rPr>
  </w:style>
  <w:style w:type="paragraph" w:customStyle="1" w:styleId="EndNoteBibliography">
    <w:name w:val="EndNote Bibliography"/>
    <w:basedOn w:val="a"/>
    <w:qFormat/>
    <w:pPr>
      <w:spacing w:line="240" w:lineRule="auto"/>
      <w:jc w:val="left"/>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1057</Words>
  <Characters>6125</Characters>
  <Application>Microsoft Office Word</Application>
  <DocSecurity>0</DocSecurity>
  <Lines>145</Lines>
  <Paragraphs>44</Paragraphs>
  <ScaleCrop>false</ScaleCrop>
  <Company/>
  <LinksUpToDate>false</LinksUpToDate>
  <CharactersWithSpaces>7138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dc:creator>
  <cp:lastModifiedBy>颖煜 刘</cp:lastModifiedBy>
  <cp:revision>9</cp:revision>
  <dcterms:created xsi:type="dcterms:W3CDTF">2024-08-20T04:25:00Z</dcterms:created>
  <dcterms:modified xsi:type="dcterms:W3CDTF">2025-07-16T07:05:00Z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CBC1A54EE28A4EF8A876FE5A71136909_13</vt:lpwstr>
  </property>
  <property fmtid="{D5CDD505-2E9C-101B-9397-08002B2CF9AE}" pid="4" name="KSOTemplateDocerSaveRecord">
    <vt:lpwstr>eyJoZGlkIjoiMWUyMmU4YmMwZjRjZDkwNzQ3OGNjNzJhZGZiNzY5YWEifQ==</vt:lpwstr>
  </property>
</Properties>
</file>