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82499" w14:textId="346F40ED" w:rsidR="006B26E4" w:rsidRPr="006B26E4" w:rsidRDefault="006B26E4" w:rsidP="006B26E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spellStart"/>
      <w:r w:rsidRPr="006B26E4">
        <w:rPr>
          <w:rFonts w:cstheme="minorHAnsi"/>
          <w:b/>
          <w:bCs/>
          <w:sz w:val="24"/>
          <w:szCs w:val="24"/>
        </w:rPr>
        <w:t>Supplementary</w:t>
      </w:r>
      <w:proofErr w:type="spellEnd"/>
      <w:r w:rsidRPr="006B26E4">
        <w:rPr>
          <w:rFonts w:cstheme="minorHAnsi"/>
          <w:b/>
          <w:bCs/>
          <w:sz w:val="24"/>
          <w:szCs w:val="24"/>
        </w:rPr>
        <w:t xml:space="preserve"> material</w:t>
      </w:r>
      <w:r>
        <w:rPr>
          <w:rFonts w:cstheme="minorHAnsi"/>
          <w:b/>
          <w:bCs/>
          <w:sz w:val="24"/>
          <w:szCs w:val="24"/>
        </w:rPr>
        <w:t xml:space="preserve"> – TABLES </w:t>
      </w:r>
    </w:p>
    <w:p w14:paraId="41FA29E2" w14:textId="3F6C71A6" w:rsidR="001A61A8" w:rsidRPr="006B26E4" w:rsidRDefault="001A61A8" w:rsidP="006B26E4">
      <w:pPr>
        <w:rPr>
          <w:rFonts w:cstheme="minorHAnsi"/>
        </w:rPr>
      </w:pPr>
    </w:p>
    <w:p w14:paraId="3E50D12F" w14:textId="7802D60D" w:rsidR="006B26E4" w:rsidRPr="006B26E4" w:rsidRDefault="006B26E4" w:rsidP="006B26E4">
      <w:pPr>
        <w:rPr>
          <w:rFonts w:cstheme="minorHAnsi"/>
          <w:lang w:val="en-US"/>
        </w:rPr>
      </w:pPr>
      <w:r w:rsidRPr="006B26E4">
        <w:rPr>
          <w:rFonts w:cstheme="minorHAnsi"/>
          <w:lang w:val="en-US"/>
        </w:rPr>
        <w:t xml:space="preserve">Table S1. Evaluation of the Antioxidant Activity of the </w:t>
      </w:r>
      <w:r w:rsidRPr="006B26E4">
        <w:rPr>
          <w:rFonts w:cstheme="minorHAnsi"/>
          <w:i/>
          <w:iCs/>
          <w:lang w:val="en-US"/>
        </w:rPr>
        <w:t xml:space="preserve">Coffea arabica </w:t>
      </w:r>
      <w:r w:rsidRPr="006B26E4">
        <w:rPr>
          <w:rFonts w:cstheme="minorHAnsi"/>
          <w:lang w:val="en-US"/>
        </w:rPr>
        <w:t>Pulp Extract (CAP).</w:t>
      </w:r>
    </w:p>
    <w:tbl>
      <w:tblPr>
        <w:tblStyle w:val="Tablaconcuadrcula1clara-nfasis3"/>
        <w:tblW w:w="9038" w:type="dxa"/>
        <w:tblLook w:val="04A0" w:firstRow="1" w:lastRow="0" w:firstColumn="1" w:lastColumn="0" w:noHBand="0" w:noVBand="1"/>
      </w:tblPr>
      <w:tblGrid>
        <w:gridCol w:w="2559"/>
        <w:gridCol w:w="6479"/>
      </w:tblGrid>
      <w:tr w:rsidR="006B26E4" w:rsidRPr="006B26E4" w14:paraId="7CA57352" w14:textId="77777777" w:rsidTr="006B26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</w:tcPr>
          <w:p w14:paraId="4E86B6EA" w14:textId="305ED803" w:rsidR="006B26E4" w:rsidRPr="006B26E4" w:rsidRDefault="006B26E4" w:rsidP="006B26E4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6B26E4">
              <w:rPr>
                <w:rFonts w:cstheme="minorHAnsi"/>
              </w:rPr>
              <w:t>Essay</w:t>
            </w:r>
            <w:proofErr w:type="spellEnd"/>
          </w:p>
        </w:tc>
        <w:tc>
          <w:tcPr>
            <w:tcW w:w="6479" w:type="dxa"/>
          </w:tcPr>
          <w:p w14:paraId="2123FCC9" w14:textId="511A6398" w:rsidR="006B26E4" w:rsidRPr="006B26E4" w:rsidRDefault="006B26E4" w:rsidP="006B26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proofErr w:type="spellStart"/>
            <w:r w:rsidRPr="006B26E4">
              <w:rPr>
                <w:rFonts w:cstheme="minorHAnsi"/>
              </w:rPr>
              <w:t>Procedure</w:t>
            </w:r>
            <w:proofErr w:type="spellEnd"/>
          </w:p>
        </w:tc>
      </w:tr>
      <w:tr w:rsidR="006B26E4" w:rsidRPr="006B26E4" w14:paraId="62C76486" w14:textId="77777777" w:rsidTr="006B26E4">
        <w:trPr>
          <w:trHeight w:val="2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  <w:vAlign w:val="center"/>
          </w:tcPr>
          <w:p w14:paraId="5D465F87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center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Free Radical</w:t>
            </w:r>
          </w:p>
          <w:p w14:paraId="6FCBB2DB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center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Scavenging Assay</w:t>
            </w:r>
          </w:p>
          <w:p w14:paraId="74995C37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center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with 2,2-Diphenyl-</w:t>
            </w:r>
          </w:p>
          <w:p w14:paraId="3A73901C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6B26E4">
              <w:rPr>
                <w:rFonts w:cstheme="minorHAnsi"/>
              </w:rPr>
              <w:t>1-Picrylhydrazyl</w:t>
            </w:r>
          </w:p>
          <w:p w14:paraId="72461BDA" w14:textId="7E6C4BD3" w:rsidR="006B26E4" w:rsidRPr="006B26E4" w:rsidRDefault="006B26E4" w:rsidP="006B26E4">
            <w:pPr>
              <w:jc w:val="center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</w:rPr>
              <w:t>(DPPH)</w:t>
            </w:r>
          </w:p>
        </w:tc>
        <w:tc>
          <w:tcPr>
            <w:tcW w:w="6479" w:type="dxa"/>
          </w:tcPr>
          <w:p w14:paraId="3E7951DC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The DPPH free radical scavenging assay was used to determine</w:t>
            </w:r>
          </w:p>
          <w:p w14:paraId="4F463120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antioxidant activity. A DPPH solution was prepared, and its</w:t>
            </w:r>
          </w:p>
          <w:p w14:paraId="52D7680C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absorbance was measured using a UV-VIS spectrophotometer</w:t>
            </w:r>
          </w:p>
          <w:p w14:paraId="2CBF82E1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(PEAK T9200, USA) at a wavelength of 516 nm, both before and</w:t>
            </w:r>
          </w:p>
          <w:p w14:paraId="4A0CC881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after adding the sample extract. The results were expressed in</w:t>
            </w:r>
          </w:p>
          <w:p w14:paraId="6774E3BD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milligrams of Trolox equivalents per 100 mg of freeze-dried</w:t>
            </w:r>
          </w:p>
          <w:p w14:paraId="06A77F32" w14:textId="0A51B290" w:rsidR="006B26E4" w:rsidRPr="006B26E4" w:rsidRDefault="006B26E4" w:rsidP="006B26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proofErr w:type="spellStart"/>
            <w:r w:rsidRPr="006B26E4">
              <w:rPr>
                <w:rFonts w:cstheme="minorHAnsi"/>
              </w:rPr>
              <w:t>ground</w:t>
            </w:r>
            <w:proofErr w:type="spellEnd"/>
            <w:r w:rsidRPr="006B26E4">
              <w:rPr>
                <w:rFonts w:cstheme="minorHAnsi"/>
              </w:rPr>
              <w:t xml:space="preserve"> </w:t>
            </w:r>
            <w:proofErr w:type="spellStart"/>
            <w:r w:rsidRPr="006B26E4">
              <w:rPr>
                <w:rFonts w:cstheme="minorHAnsi"/>
              </w:rPr>
              <w:t>coffee</w:t>
            </w:r>
            <w:proofErr w:type="spellEnd"/>
          </w:p>
        </w:tc>
      </w:tr>
      <w:tr w:rsidR="006B26E4" w:rsidRPr="006B26E4" w14:paraId="2C906DCB" w14:textId="77777777" w:rsidTr="006B26E4">
        <w:trPr>
          <w:trHeight w:val="3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  <w:vAlign w:val="center"/>
          </w:tcPr>
          <w:p w14:paraId="7E87BE39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center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Ferric Reducing</w:t>
            </w:r>
          </w:p>
          <w:p w14:paraId="38998466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center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Antioxidant Power</w:t>
            </w:r>
          </w:p>
          <w:p w14:paraId="16684DD6" w14:textId="747901E9" w:rsidR="006B26E4" w:rsidRPr="006B26E4" w:rsidRDefault="006B26E4" w:rsidP="006B26E4">
            <w:pPr>
              <w:jc w:val="center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(FRAP) Assay</w:t>
            </w:r>
          </w:p>
        </w:tc>
        <w:tc>
          <w:tcPr>
            <w:tcW w:w="6479" w:type="dxa"/>
          </w:tcPr>
          <w:p w14:paraId="08B404BA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The preparation of the FRAP reagent was carried out by mixing</w:t>
            </w:r>
          </w:p>
          <w:p w14:paraId="7D25FCB4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25 mL of 0.3 M acetate buffer, 2.5 mL of 10 mM TPTZ, and 2.5</w:t>
            </w:r>
          </w:p>
          <w:p w14:paraId="355C7AE1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mL of 20 mM ferric chloride. Subsequently, 2.7 mL of the FRAP</w:t>
            </w:r>
          </w:p>
          <w:p w14:paraId="37E2DC63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 xml:space="preserve">solution was combined with 270 </w:t>
            </w:r>
            <w:r w:rsidRPr="006B26E4">
              <w:rPr>
                <w:rFonts w:cstheme="minorHAnsi"/>
              </w:rPr>
              <w:t>μ</w:t>
            </w:r>
            <w:r w:rsidRPr="006B26E4">
              <w:rPr>
                <w:rFonts w:cstheme="minorHAnsi"/>
                <w:lang w:val="en-US"/>
              </w:rPr>
              <w:t xml:space="preserve">L of distilled water and 90 </w:t>
            </w:r>
            <w:r w:rsidRPr="006B26E4">
              <w:rPr>
                <w:rFonts w:cstheme="minorHAnsi"/>
              </w:rPr>
              <w:t>μ</w:t>
            </w:r>
            <w:r w:rsidRPr="006B26E4">
              <w:rPr>
                <w:rFonts w:cstheme="minorHAnsi"/>
                <w:lang w:val="en-US"/>
              </w:rPr>
              <w:t>L</w:t>
            </w:r>
          </w:p>
          <w:p w14:paraId="152D82DB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of coffee pulp extract, and the mixture was homogenized in a</w:t>
            </w:r>
          </w:p>
          <w:p w14:paraId="0E01CA94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vortex. It was then incubated in an oven at 37 °C for 30 minutes.</w:t>
            </w:r>
          </w:p>
          <w:p w14:paraId="75C53A06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Finally, the absorbance was measured at 593 nm using a UV/VIS</w:t>
            </w:r>
          </w:p>
          <w:p w14:paraId="2A4FE31B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spectrophotometer. The FRAP solution was used as a calibrator,</w:t>
            </w:r>
          </w:p>
          <w:p w14:paraId="55C83E13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and the calibration curve was constructed with ferrous sulfate</w:t>
            </w:r>
          </w:p>
          <w:p w14:paraId="7E0252BD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(</w:t>
            </w:r>
            <w:proofErr w:type="spellStart"/>
            <w:r w:rsidRPr="006B26E4">
              <w:rPr>
                <w:rFonts w:cstheme="minorHAnsi"/>
                <w:lang w:val="en-US"/>
              </w:rPr>
              <w:t>FeSO</w:t>
            </w:r>
            <w:proofErr w:type="spellEnd"/>
            <w:r w:rsidRPr="006B26E4">
              <w:rPr>
                <w:rFonts w:cstheme="minorHAnsi"/>
                <w:lang w:val="en-US"/>
              </w:rPr>
              <w:t xml:space="preserve">₄) in a range of 500 to 1000 </w:t>
            </w:r>
            <w:r w:rsidRPr="006B26E4">
              <w:rPr>
                <w:rFonts w:cstheme="minorHAnsi"/>
              </w:rPr>
              <w:t>μ</w:t>
            </w:r>
            <w:r w:rsidRPr="006B26E4">
              <w:rPr>
                <w:rFonts w:cstheme="minorHAnsi"/>
                <w:lang w:val="en-US"/>
              </w:rPr>
              <w:t>M, expressing the values in</w:t>
            </w:r>
          </w:p>
          <w:p w14:paraId="3A7EC676" w14:textId="3A2D15D2" w:rsidR="006B26E4" w:rsidRPr="006B26E4" w:rsidRDefault="006B26E4" w:rsidP="006B26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mg of gallic acid per 100 mg of freeze-dried coffee pulp (CAP).</w:t>
            </w:r>
          </w:p>
        </w:tc>
      </w:tr>
      <w:tr w:rsidR="006B26E4" w:rsidRPr="006B26E4" w14:paraId="5C72AD01" w14:textId="77777777" w:rsidTr="006B26E4">
        <w:trPr>
          <w:trHeight w:val="2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  <w:vAlign w:val="center"/>
          </w:tcPr>
          <w:p w14:paraId="35BA9D0A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proofErr w:type="spellStart"/>
            <w:r w:rsidRPr="006B26E4">
              <w:rPr>
                <w:rFonts w:cstheme="minorHAnsi"/>
              </w:rPr>
              <w:t>Determination</w:t>
            </w:r>
            <w:proofErr w:type="spellEnd"/>
            <w:r w:rsidRPr="006B26E4">
              <w:rPr>
                <w:rFonts w:cstheme="minorHAnsi"/>
              </w:rPr>
              <w:t xml:space="preserve"> </w:t>
            </w:r>
            <w:proofErr w:type="spellStart"/>
            <w:r w:rsidRPr="006B26E4">
              <w:rPr>
                <w:rFonts w:cstheme="minorHAnsi"/>
              </w:rPr>
              <w:t>of</w:t>
            </w:r>
            <w:proofErr w:type="spellEnd"/>
          </w:p>
          <w:p w14:paraId="3BD0BED1" w14:textId="5327671E" w:rsidR="006B26E4" w:rsidRPr="006B26E4" w:rsidRDefault="006B26E4" w:rsidP="006B26E4">
            <w:pPr>
              <w:jc w:val="center"/>
              <w:rPr>
                <w:rFonts w:cstheme="minorHAnsi"/>
                <w:lang w:val="en-US"/>
              </w:rPr>
            </w:pPr>
            <w:proofErr w:type="gramStart"/>
            <w:r w:rsidRPr="006B26E4">
              <w:rPr>
                <w:rFonts w:cstheme="minorHAnsi"/>
              </w:rPr>
              <w:t>Total</w:t>
            </w:r>
            <w:proofErr w:type="gramEnd"/>
            <w:r w:rsidRPr="006B26E4">
              <w:rPr>
                <w:rFonts w:cstheme="minorHAnsi"/>
              </w:rPr>
              <w:t xml:space="preserve"> </w:t>
            </w:r>
            <w:proofErr w:type="spellStart"/>
            <w:r w:rsidRPr="006B26E4">
              <w:rPr>
                <w:rFonts w:cstheme="minorHAnsi"/>
              </w:rPr>
              <w:t>Phenols</w:t>
            </w:r>
            <w:proofErr w:type="spellEnd"/>
          </w:p>
        </w:tc>
        <w:tc>
          <w:tcPr>
            <w:tcW w:w="6479" w:type="dxa"/>
          </w:tcPr>
          <w:p w14:paraId="652F75B1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The phenolic compounds in the ground coffee were determined</w:t>
            </w:r>
          </w:p>
          <w:p w14:paraId="68C30661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 xml:space="preserve">using the </w:t>
            </w:r>
            <w:proofErr w:type="spellStart"/>
            <w:r w:rsidRPr="006B26E4">
              <w:rPr>
                <w:rFonts w:cstheme="minorHAnsi"/>
                <w:lang w:val="en-US"/>
              </w:rPr>
              <w:t>Folin-Ciocalteu</w:t>
            </w:r>
            <w:proofErr w:type="spellEnd"/>
            <w:r w:rsidRPr="006B26E4">
              <w:rPr>
                <w:rFonts w:cstheme="minorHAnsi"/>
                <w:lang w:val="en-US"/>
              </w:rPr>
              <w:t xml:space="preserve"> colorimetric assay. The sample </w:t>
            </w:r>
            <w:proofErr w:type="gramStart"/>
            <w:r w:rsidRPr="006B26E4">
              <w:rPr>
                <w:rFonts w:cstheme="minorHAnsi"/>
                <w:lang w:val="en-US"/>
              </w:rPr>
              <w:t>extract</w:t>
            </w:r>
            <w:proofErr w:type="gramEnd"/>
          </w:p>
          <w:p w14:paraId="1CD8937A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 xml:space="preserve">was added to test tubes along with the </w:t>
            </w:r>
            <w:proofErr w:type="spellStart"/>
            <w:r w:rsidRPr="006B26E4">
              <w:rPr>
                <w:rFonts w:cstheme="minorHAnsi"/>
                <w:lang w:val="en-US"/>
              </w:rPr>
              <w:t>Folin-Ciocalteu</w:t>
            </w:r>
            <w:proofErr w:type="spellEnd"/>
            <w:r w:rsidRPr="006B26E4">
              <w:rPr>
                <w:rFonts w:cstheme="minorHAnsi"/>
                <w:lang w:val="en-US"/>
              </w:rPr>
              <w:t xml:space="preserve"> reagent</w:t>
            </w:r>
          </w:p>
          <w:p w14:paraId="3B9E79CD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and sodium carbonate (</w:t>
            </w:r>
            <w:proofErr w:type="spellStart"/>
            <w:r w:rsidRPr="006B26E4">
              <w:rPr>
                <w:rFonts w:cstheme="minorHAnsi"/>
                <w:lang w:val="en-US"/>
              </w:rPr>
              <w:t>Na₂CO</w:t>
            </w:r>
            <w:proofErr w:type="spellEnd"/>
            <w:r w:rsidRPr="006B26E4">
              <w:rPr>
                <w:rFonts w:cstheme="minorHAnsi"/>
                <w:lang w:val="en-US"/>
              </w:rPr>
              <w:t>₃), and the mixture was incubated</w:t>
            </w:r>
          </w:p>
          <w:p w14:paraId="49B37614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at 50°C for 5 minutes. A UV-Visible spectrophotometer was then</w:t>
            </w:r>
          </w:p>
          <w:p w14:paraId="04C5B77C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used to quantify the phenolic compounds at a wavelength of 765</w:t>
            </w:r>
          </w:p>
          <w:p w14:paraId="301CB7D6" w14:textId="77777777" w:rsidR="006B26E4" w:rsidRPr="006B26E4" w:rsidRDefault="006B26E4" w:rsidP="006B26E4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nm. The results were expressed in milligrams of gallic acid</w:t>
            </w:r>
          </w:p>
          <w:p w14:paraId="523528FF" w14:textId="58C55186" w:rsidR="006B26E4" w:rsidRPr="006B26E4" w:rsidRDefault="006B26E4" w:rsidP="006B26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6B26E4">
              <w:rPr>
                <w:rFonts w:cstheme="minorHAnsi"/>
                <w:lang w:val="en-US"/>
              </w:rPr>
              <w:t>equivalents per 100 mg of freeze-dried ground coffee.</w:t>
            </w:r>
          </w:p>
        </w:tc>
      </w:tr>
    </w:tbl>
    <w:p w14:paraId="1FDAA4F0" w14:textId="462B8573" w:rsidR="006B26E4" w:rsidRDefault="006B26E4" w:rsidP="006B26E4">
      <w:pPr>
        <w:rPr>
          <w:rFonts w:cstheme="minorHAnsi"/>
          <w:lang w:val="en-US"/>
        </w:rPr>
      </w:pPr>
    </w:p>
    <w:p w14:paraId="0EAB632C" w14:textId="77777777" w:rsidR="006B26E4" w:rsidRDefault="006B26E4">
      <w:pPr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p w14:paraId="60D62626" w14:textId="77777777" w:rsidR="006B26E4" w:rsidRDefault="006B26E4" w:rsidP="006B26E4">
      <w:pPr>
        <w:rPr>
          <w:rFonts w:eastAsia="Trebuchet MS" w:cstheme="minorHAnsi"/>
          <w:spacing w:val="-1"/>
          <w:lang w:val="en-US"/>
        </w:rPr>
      </w:pPr>
    </w:p>
    <w:p w14:paraId="71A60EAE" w14:textId="45D393B3" w:rsidR="006B26E4" w:rsidRPr="006B26E4" w:rsidRDefault="006B26E4" w:rsidP="006B26E4">
      <w:pPr>
        <w:rPr>
          <w:rFonts w:eastAsia="Trebuchet MS" w:cstheme="minorHAnsi"/>
          <w:spacing w:val="-1"/>
          <w:lang w:val="en-US"/>
        </w:rPr>
      </w:pPr>
      <w:r w:rsidRPr="006B26E4">
        <w:rPr>
          <w:rFonts w:eastAsia="Trebuchet MS" w:cstheme="minorHAnsi"/>
          <w:spacing w:val="-1"/>
          <w:lang w:val="en-US"/>
        </w:rPr>
        <w:t>Table S</w:t>
      </w:r>
      <w:r w:rsidRPr="006B26E4">
        <w:rPr>
          <w:rFonts w:eastAsia="Trebuchet MS" w:cstheme="minorHAnsi"/>
          <w:spacing w:val="-1"/>
          <w:lang w:val="en-US"/>
        </w:rPr>
        <w:t>2</w:t>
      </w:r>
      <w:r w:rsidRPr="006B26E4">
        <w:rPr>
          <w:rFonts w:eastAsia="Trebuchet MS" w:cstheme="minorHAnsi"/>
          <w:spacing w:val="-1"/>
          <w:lang w:val="en-US"/>
        </w:rPr>
        <w:t>. Kinematic and Morphological Definitions of Sperm and Definitions</w:t>
      </w:r>
    </w:p>
    <w:tbl>
      <w:tblPr>
        <w:tblStyle w:val="Tablaconcuadrcula"/>
        <w:tblpPr w:leftFromText="141" w:rightFromText="141" w:vertAnchor="text" w:horzAnchor="margin" w:tblpY="173"/>
        <w:tblW w:w="85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851"/>
        <w:gridCol w:w="3682"/>
      </w:tblGrid>
      <w:tr w:rsidR="006B26E4" w:rsidRPr="00FA290C" w14:paraId="41DF7E87" w14:textId="77777777" w:rsidTr="00C151FE">
        <w:trPr>
          <w:trHeight w:val="272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61A5BE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b/>
                <w:bCs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b/>
                <w:bCs/>
                <w:spacing w:val="-1"/>
                <w:lang w:val="en-US"/>
              </w:rPr>
              <w:t>Variables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201AA7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b/>
                <w:bCs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b/>
                <w:bCs/>
                <w:spacing w:val="-1"/>
                <w:lang w:val="en-US"/>
              </w:rPr>
              <w:t>Unit</w:t>
            </w:r>
          </w:p>
        </w:tc>
        <w:tc>
          <w:tcPr>
            <w:tcW w:w="36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AB4E16" w14:textId="77777777" w:rsidR="006B26E4" w:rsidRPr="006B26E4" w:rsidRDefault="006B26E4" w:rsidP="00C151FE">
            <w:pPr>
              <w:jc w:val="center"/>
              <w:rPr>
                <w:rFonts w:eastAsia="Trebuchet MS" w:cstheme="minorHAnsi"/>
                <w:b/>
                <w:bCs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b/>
                <w:bCs/>
                <w:spacing w:val="-1"/>
                <w:lang w:val="en-US"/>
              </w:rPr>
              <w:t>Definitions</w:t>
            </w:r>
          </w:p>
        </w:tc>
      </w:tr>
      <w:tr w:rsidR="006B26E4" w:rsidRPr="00FA290C" w14:paraId="1E5963E1" w14:textId="77777777" w:rsidTr="00C151FE">
        <w:trPr>
          <w:trHeight w:val="272"/>
        </w:trPr>
        <w:tc>
          <w:tcPr>
            <w:tcW w:w="3969" w:type="dxa"/>
            <w:tcBorders>
              <w:top w:val="single" w:sz="4" w:space="0" w:color="auto"/>
            </w:tcBorders>
            <w:noWrap/>
            <w:hideMark/>
          </w:tcPr>
          <w:p w14:paraId="3605E765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Description of Spermatozoa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1B8AEC2E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</w:p>
        </w:tc>
        <w:tc>
          <w:tcPr>
            <w:tcW w:w="3682" w:type="dxa"/>
            <w:tcBorders>
              <w:top w:val="single" w:sz="4" w:space="0" w:color="auto"/>
            </w:tcBorders>
            <w:noWrap/>
            <w:hideMark/>
          </w:tcPr>
          <w:p w14:paraId="3B93560F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</w:p>
        </w:tc>
      </w:tr>
      <w:tr w:rsidR="006B26E4" w:rsidRPr="006B26E4" w14:paraId="3130AE1B" w14:textId="77777777" w:rsidTr="00C151FE">
        <w:trPr>
          <w:trHeight w:val="272"/>
        </w:trPr>
        <w:tc>
          <w:tcPr>
            <w:tcW w:w="3969" w:type="dxa"/>
            <w:noWrap/>
            <w:hideMark/>
          </w:tcPr>
          <w:p w14:paraId="66596DD3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Total Motility (TM) %</w:t>
            </w:r>
          </w:p>
        </w:tc>
        <w:tc>
          <w:tcPr>
            <w:tcW w:w="851" w:type="dxa"/>
            <w:noWrap/>
            <w:hideMark/>
          </w:tcPr>
          <w:p w14:paraId="0FD7359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</w:t>
            </w:r>
          </w:p>
        </w:tc>
        <w:tc>
          <w:tcPr>
            <w:tcW w:w="3682" w:type="dxa"/>
            <w:hideMark/>
          </w:tcPr>
          <w:p w14:paraId="4E30621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Percentage of total motile spermatozoa</w:t>
            </w:r>
          </w:p>
        </w:tc>
      </w:tr>
      <w:tr w:rsidR="006B26E4" w:rsidRPr="006B26E4" w14:paraId="3191E800" w14:textId="77777777" w:rsidTr="00C151FE">
        <w:trPr>
          <w:trHeight w:val="134"/>
        </w:trPr>
        <w:tc>
          <w:tcPr>
            <w:tcW w:w="3969" w:type="dxa"/>
            <w:noWrap/>
            <w:hideMark/>
          </w:tcPr>
          <w:p w14:paraId="339404C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Progressive Motility (PM) %</w:t>
            </w:r>
          </w:p>
        </w:tc>
        <w:tc>
          <w:tcPr>
            <w:tcW w:w="851" w:type="dxa"/>
            <w:noWrap/>
            <w:hideMark/>
          </w:tcPr>
          <w:p w14:paraId="5088C86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</w:t>
            </w:r>
          </w:p>
        </w:tc>
        <w:tc>
          <w:tcPr>
            <w:tcW w:w="3682" w:type="dxa"/>
            <w:hideMark/>
          </w:tcPr>
          <w:p w14:paraId="2A7DA78F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Percentage of total progressively motile spermatozoa</w:t>
            </w:r>
          </w:p>
        </w:tc>
      </w:tr>
      <w:tr w:rsidR="006B26E4" w:rsidRPr="006B26E4" w14:paraId="44F1A67A" w14:textId="77777777" w:rsidTr="00C151FE">
        <w:trPr>
          <w:trHeight w:val="465"/>
        </w:trPr>
        <w:tc>
          <w:tcPr>
            <w:tcW w:w="3969" w:type="dxa"/>
            <w:noWrap/>
            <w:hideMark/>
          </w:tcPr>
          <w:p w14:paraId="457E13AD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Curvilinear Velocity (VCL) µm/s</w:t>
            </w:r>
          </w:p>
        </w:tc>
        <w:tc>
          <w:tcPr>
            <w:tcW w:w="851" w:type="dxa"/>
            <w:noWrap/>
            <w:hideMark/>
          </w:tcPr>
          <w:p w14:paraId="10C5BF39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µm/s</w:t>
            </w:r>
          </w:p>
        </w:tc>
        <w:tc>
          <w:tcPr>
            <w:tcW w:w="3682" w:type="dxa"/>
            <w:hideMark/>
          </w:tcPr>
          <w:p w14:paraId="0D45AC5A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Velocity of spermatozoa along their actual path per unit of time</w:t>
            </w:r>
          </w:p>
        </w:tc>
      </w:tr>
      <w:tr w:rsidR="006B26E4" w:rsidRPr="006B26E4" w14:paraId="69A7A293" w14:textId="77777777" w:rsidTr="00C151FE">
        <w:trPr>
          <w:trHeight w:val="402"/>
        </w:trPr>
        <w:tc>
          <w:tcPr>
            <w:tcW w:w="3969" w:type="dxa"/>
            <w:noWrap/>
            <w:hideMark/>
          </w:tcPr>
          <w:p w14:paraId="058C6F7D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Average Path Velocity (VAP)</w:t>
            </w:r>
          </w:p>
        </w:tc>
        <w:tc>
          <w:tcPr>
            <w:tcW w:w="851" w:type="dxa"/>
            <w:noWrap/>
            <w:hideMark/>
          </w:tcPr>
          <w:p w14:paraId="779DC7BA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µm/s</w:t>
            </w:r>
          </w:p>
        </w:tc>
        <w:tc>
          <w:tcPr>
            <w:tcW w:w="3682" w:type="dxa"/>
            <w:hideMark/>
          </w:tcPr>
          <w:p w14:paraId="7B04290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Average velocity of spermatozoa along their trajectory</w:t>
            </w:r>
          </w:p>
        </w:tc>
      </w:tr>
      <w:tr w:rsidR="006B26E4" w:rsidRPr="006B26E4" w14:paraId="2A5143AA" w14:textId="77777777" w:rsidTr="00C151FE">
        <w:trPr>
          <w:trHeight w:val="677"/>
        </w:trPr>
        <w:tc>
          <w:tcPr>
            <w:tcW w:w="3969" w:type="dxa"/>
            <w:noWrap/>
            <w:hideMark/>
          </w:tcPr>
          <w:p w14:paraId="5F14CCE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Straight-Line Velocity (VSL)</w:t>
            </w:r>
          </w:p>
        </w:tc>
        <w:tc>
          <w:tcPr>
            <w:tcW w:w="851" w:type="dxa"/>
            <w:noWrap/>
            <w:hideMark/>
          </w:tcPr>
          <w:p w14:paraId="3C066CAD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µm/s</w:t>
            </w:r>
          </w:p>
        </w:tc>
        <w:tc>
          <w:tcPr>
            <w:tcW w:w="3682" w:type="dxa"/>
            <w:hideMark/>
          </w:tcPr>
          <w:p w14:paraId="5D83F4C0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Average velocity of spermatozoa along a straight line from their first to last position</w:t>
            </w:r>
          </w:p>
        </w:tc>
      </w:tr>
      <w:tr w:rsidR="006B26E4" w:rsidRPr="006B26E4" w14:paraId="4BDF1558" w14:textId="77777777" w:rsidTr="00C151FE">
        <w:trPr>
          <w:trHeight w:val="272"/>
        </w:trPr>
        <w:tc>
          <w:tcPr>
            <w:tcW w:w="3969" w:type="dxa"/>
            <w:noWrap/>
            <w:hideMark/>
          </w:tcPr>
          <w:p w14:paraId="0A9DA967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Straightness (STR)</w:t>
            </w:r>
          </w:p>
        </w:tc>
        <w:tc>
          <w:tcPr>
            <w:tcW w:w="851" w:type="dxa"/>
            <w:noWrap/>
            <w:hideMark/>
          </w:tcPr>
          <w:p w14:paraId="5D788352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</w:t>
            </w:r>
          </w:p>
        </w:tc>
        <w:tc>
          <w:tcPr>
            <w:tcW w:w="3682" w:type="dxa"/>
            <w:hideMark/>
          </w:tcPr>
          <w:p w14:paraId="7352D5C0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Ratio of VSL to VAP (x100)</w:t>
            </w:r>
          </w:p>
        </w:tc>
      </w:tr>
      <w:tr w:rsidR="006B26E4" w:rsidRPr="006C41A6" w14:paraId="7D09942F" w14:textId="77777777" w:rsidTr="00C151FE">
        <w:trPr>
          <w:trHeight w:val="272"/>
        </w:trPr>
        <w:tc>
          <w:tcPr>
            <w:tcW w:w="3969" w:type="dxa"/>
            <w:noWrap/>
            <w:hideMark/>
          </w:tcPr>
          <w:p w14:paraId="4842AEB4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Linearity (LIN)</w:t>
            </w:r>
          </w:p>
        </w:tc>
        <w:tc>
          <w:tcPr>
            <w:tcW w:w="851" w:type="dxa"/>
            <w:noWrap/>
            <w:hideMark/>
          </w:tcPr>
          <w:p w14:paraId="41351225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</w:t>
            </w:r>
          </w:p>
        </w:tc>
        <w:tc>
          <w:tcPr>
            <w:tcW w:w="3682" w:type="dxa"/>
            <w:hideMark/>
          </w:tcPr>
          <w:p w14:paraId="2C05FEB8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</w:rPr>
            </w:pPr>
            <w:r w:rsidRPr="006B26E4">
              <w:rPr>
                <w:rFonts w:eastAsia="Trebuchet MS" w:cstheme="minorHAnsi"/>
                <w:spacing w:val="-1"/>
              </w:rPr>
              <w:t>Relación entre VSL y VCL (x100)</w:t>
            </w:r>
          </w:p>
        </w:tc>
      </w:tr>
      <w:tr w:rsidR="006B26E4" w:rsidRPr="006B26E4" w14:paraId="16167B27" w14:textId="77777777" w:rsidTr="00C151FE">
        <w:trPr>
          <w:trHeight w:val="272"/>
        </w:trPr>
        <w:tc>
          <w:tcPr>
            <w:tcW w:w="3969" w:type="dxa"/>
            <w:noWrap/>
            <w:hideMark/>
          </w:tcPr>
          <w:p w14:paraId="7386C9E1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Wobble (WOB)</w:t>
            </w:r>
          </w:p>
        </w:tc>
        <w:tc>
          <w:tcPr>
            <w:tcW w:w="851" w:type="dxa"/>
            <w:noWrap/>
            <w:hideMark/>
          </w:tcPr>
          <w:p w14:paraId="14FBB1DB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</w:t>
            </w:r>
          </w:p>
        </w:tc>
        <w:tc>
          <w:tcPr>
            <w:tcW w:w="3682" w:type="dxa"/>
            <w:hideMark/>
          </w:tcPr>
          <w:p w14:paraId="16E2CE71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 xml:space="preserve">Ratio of VAP to VCL (x100) </w:t>
            </w:r>
          </w:p>
        </w:tc>
      </w:tr>
      <w:tr w:rsidR="006B26E4" w:rsidRPr="006B26E4" w14:paraId="6969D3DC" w14:textId="77777777" w:rsidTr="00C151FE">
        <w:trPr>
          <w:trHeight w:val="698"/>
        </w:trPr>
        <w:tc>
          <w:tcPr>
            <w:tcW w:w="3969" w:type="dxa"/>
            <w:noWrap/>
            <w:hideMark/>
          </w:tcPr>
          <w:p w14:paraId="777F402F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Amplitude of Lateral Head Displacement (ALH)</w:t>
            </w:r>
          </w:p>
        </w:tc>
        <w:tc>
          <w:tcPr>
            <w:tcW w:w="851" w:type="dxa"/>
            <w:noWrap/>
            <w:hideMark/>
          </w:tcPr>
          <w:p w14:paraId="67CE540B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µm/s</w:t>
            </w:r>
          </w:p>
        </w:tc>
        <w:tc>
          <w:tcPr>
            <w:tcW w:w="3682" w:type="dxa"/>
            <w:hideMark/>
          </w:tcPr>
          <w:p w14:paraId="717B0555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 xml:space="preserve">Standard deviation of extreme lateral head movement of spermatozoa during each beat cycle Beat Cross </w:t>
            </w:r>
          </w:p>
          <w:p w14:paraId="178877D5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</w:p>
        </w:tc>
      </w:tr>
      <w:tr w:rsidR="006B26E4" w:rsidRPr="006B26E4" w14:paraId="6502F9F8" w14:textId="77777777" w:rsidTr="00C151FE">
        <w:trPr>
          <w:trHeight w:val="546"/>
        </w:trPr>
        <w:tc>
          <w:tcPr>
            <w:tcW w:w="3969" w:type="dxa"/>
            <w:noWrap/>
            <w:hideMark/>
          </w:tcPr>
          <w:p w14:paraId="1BF18294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Beat Cross Frequency (BCF)</w:t>
            </w:r>
          </w:p>
        </w:tc>
        <w:tc>
          <w:tcPr>
            <w:tcW w:w="851" w:type="dxa"/>
            <w:noWrap/>
            <w:hideMark/>
          </w:tcPr>
          <w:p w14:paraId="1B2B3193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Hz</w:t>
            </w:r>
          </w:p>
        </w:tc>
        <w:tc>
          <w:tcPr>
            <w:tcW w:w="3682" w:type="dxa"/>
            <w:hideMark/>
          </w:tcPr>
          <w:p w14:paraId="631984A8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Frequency of tail beat crossings based on VCL crossing VAP per second</w:t>
            </w:r>
          </w:p>
        </w:tc>
      </w:tr>
      <w:tr w:rsidR="006B26E4" w:rsidRPr="00FA290C" w14:paraId="4F20D693" w14:textId="77777777" w:rsidTr="00C151FE">
        <w:trPr>
          <w:trHeight w:val="272"/>
        </w:trPr>
        <w:tc>
          <w:tcPr>
            <w:tcW w:w="3969" w:type="dxa"/>
            <w:noWrap/>
            <w:hideMark/>
          </w:tcPr>
          <w:p w14:paraId="3E3C903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 xml:space="preserve">Sperm Integrity </w:t>
            </w:r>
          </w:p>
          <w:p w14:paraId="34763247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</w:p>
        </w:tc>
        <w:tc>
          <w:tcPr>
            <w:tcW w:w="851" w:type="dxa"/>
            <w:noWrap/>
            <w:hideMark/>
          </w:tcPr>
          <w:p w14:paraId="35739786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</w:p>
        </w:tc>
        <w:tc>
          <w:tcPr>
            <w:tcW w:w="3682" w:type="dxa"/>
            <w:noWrap/>
            <w:hideMark/>
          </w:tcPr>
          <w:p w14:paraId="2E88BF54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</w:p>
        </w:tc>
      </w:tr>
      <w:tr w:rsidR="006B26E4" w:rsidRPr="006B26E4" w14:paraId="2D0EA5DC" w14:textId="77777777" w:rsidTr="00C151FE">
        <w:trPr>
          <w:trHeight w:val="269"/>
        </w:trPr>
        <w:tc>
          <w:tcPr>
            <w:tcW w:w="3969" w:type="dxa"/>
            <w:noWrap/>
            <w:hideMark/>
          </w:tcPr>
          <w:p w14:paraId="39D4B62C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Membrane Functionality (MF)</w:t>
            </w:r>
          </w:p>
        </w:tc>
        <w:tc>
          <w:tcPr>
            <w:tcW w:w="851" w:type="dxa"/>
            <w:noWrap/>
            <w:hideMark/>
          </w:tcPr>
          <w:p w14:paraId="305D779F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</w:t>
            </w:r>
          </w:p>
        </w:tc>
        <w:tc>
          <w:tcPr>
            <w:tcW w:w="3682" w:type="dxa"/>
            <w:hideMark/>
          </w:tcPr>
          <w:p w14:paraId="0CC2ED1A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Percentage of spermatozoa with intact membrane</w:t>
            </w:r>
          </w:p>
        </w:tc>
      </w:tr>
      <w:tr w:rsidR="006B26E4" w:rsidRPr="006B26E4" w14:paraId="30B7E88E" w14:textId="77777777" w:rsidTr="00C151FE">
        <w:trPr>
          <w:trHeight w:val="277"/>
        </w:trPr>
        <w:tc>
          <w:tcPr>
            <w:tcW w:w="3969" w:type="dxa"/>
            <w:tcBorders>
              <w:bottom w:val="single" w:sz="4" w:space="0" w:color="auto"/>
            </w:tcBorders>
            <w:noWrap/>
            <w:hideMark/>
          </w:tcPr>
          <w:p w14:paraId="25FDB13B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Acrosome Integrity (AI)</w:t>
            </w:r>
          </w:p>
          <w:p w14:paraId="1084E2C7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54FCA490" w14:textId="77777777" w:rsidR="006B26E4" w:rsidRPr="006B26E4" w:rsidRDefault="006B26E4" w:rsidP="00C151FE">
            <w:pPr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</w:t>
            </w:r>
          </w:p>
        </w:tc>
        <w:tc>
          <w:tcPr>
            <w:tcW w:w="3682" w:type="dxa"/>
            <w:tcBorders>
              <w:bottom w:val="single" w:sz="4" w:space="0" w:color="auto"/>
            </w:tcBorders>
            <w:hideMark/>
          </w:tcPr>
          <w:p w14:paraId="7B4211F5" w14:textId="77777777" w:rsidR="006B26E4" w:rsidRPr="006B26E4" w:rsidRDefault="006B26E4" w:rsidP="00C151FE">
            <w:pPr>
              <w:keepNext/>
              <w:jc w:val="both"/>
              <w:rPr>
                <w:rFonts w:eastAsia="Trebuchet MS" w:cstheme="minorHAnsi"/>
                <w:spacing w:val="-1"/>
                <w:lang w:val="en-US"/>
              </w:rPr>
            </w:pPr>
            <w:r w:rsidRPr="006B26E4">
              <w:rPr>
                <w:rFonts w:eastAsia="Trebuchet MS" w:cstheme="minorHAnsi"/>
                <w:spacing w:val="-1"/>
                <w:lang w:val="en-US"/>
              </w:rPr>
              <w:t>% Percentage of spermatozoa with intact acrosome</w:t>
            </w:r>
          </w:p>
        </w:tc>
      </w:tr>
    </w:tbl>
    <w:p w14:paraId="09F48366" w14:textId="77777777" w:rsidR="006B26E4" w:rsidRPr="006B26E4" w:rsidRDefault="006B26E4" w:rsidP="006B26E4">
      <w:pPr>
        <w:rPr>
          <w:rFonts w:cstheme="minorHAnsi"/>
          <w:lang w:val="en-US"/>
        </w:rPr>
      </w:pPr>
    </w:p>
    <w:sectPr w:rsidR="006B26E4" w:rsidRPr="006B26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6E4"/>
    <w:rsid w:val="001A61A8"/>
    <w:rsid w:val="001E74A7"/>
    <w:rsid w:val="003F3919"/>
    <w:rsid w:val="00431ADB"/>
    <w:rsid w:val="00521D5E"/>
    <w:rsid w:val="006B26E4"/>
    <w:rsid w:val="0085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0DDAB1"/>
  <w15:chartTrackingRefBased/>
  <w15:docId w15:val="{FA4E2D73-4078-4426-A221-E451B09FC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B2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3">
    <w:name w:val="Grid Table 1 Light Accent 3"/>
    <w:basedOn w:val="Tablanormal"/>
    <w:uiPriority w:val="46"/>
    <w:rsid w:val="006B26E4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465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2025-08-12T15:51:00Z</dcterms:created>
  <dcterms:modified xsi:type="dcterms:W3CDTF">2025-08-12T16:08:00Z</dcterms:modified>
</cp:coreProperties>
</file>