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8079E7" w14:textId="77777777" w:rsidR="001F04FB" w:rsidRPr="00764D29" w:rsidRDefault="001F04FB" w:rsidP="001F04FB">
      <w:pPr>
        <w:spacing w:afterLines="50" w:after="156" w:line="360" w:lineRule="auto"/>
        <w:rPr>
          <w:rFonts w:ascii="Calibri" w:hAnsi="Calibri" w:cs="Calibri"/>
          <w:b/>
          <w:bCs/>
          <w:sz w:val="32"/>
          <w:szCs w:val="32"/>
        </w:rPr>
      </w:pPr>
      <w:r w:rsidRPr="00764D29">
        <w:rPr>
          <w:rFonts w:ascii="Calibri" w:hAnsi="Calibri" w:cs="Calibri"/>
          <w:b/>
          <w:bCs/>
          <w:sz w:val="32"/>
          <w:szCs w:val="32"/>
        </w:rPr>
        <w:t xml:space="preserve">Impacts of </w:t>
      </w:r>
      <w:bookmarkStart w:id="0" w:name="_Hlk72694432"/>
      <w:r w:rsidRPr="00764D29">
        <w:rPr>
          <w:rFonts w:ascii="Calibri" w:hAnsi="Calibri" w:cs="Calibri"/>
          <w:b/>
          <w:bCs/>
          <w:sz w:val="32"/>
          <w:szCs w:val="32"/>
        </w:rPr>
        <w:t>structural change in global trade on sustainable development</w:t>
      </w:r>
      <w:bookmarkEnd w:id="0"/>
    </w:p>
    <w:p w14:paraId="5CD192F8" w14:textId="77777777" w:rsidR="001F04FB" w:rsidRPr="00764D29" w:rsidRDefault="001F04FB" w:rsidP="001F04FB">
      <w:pPr>
        <w:spacing w:afterLines="50" w:after="156" w:line="360" w:lineRule="auto"/>
        <w:rPr>
          <w:rFonts w:ascii="Calibri" w:hAnsi="Calibri" w:cs="Calibri"/>
          <w:sz w:val="24"/>
          <w:szCs w:val="24"/>
        </w:rPr>
      </w:pPr>
      <w:r w:rsidRPr="00764D29">
        <w:rPr>
          <w:rFonts w:ascii="Calibri" w:hAnsi="Calibri" w:cs="Calibri"/>
          <w:sz w:val="24"/>
          <w:szCs w:val="24"/>
        </w:rPr>
        <w:t>Jiayu Wang</w:t>
      </w:r>
      <w:r w:rsidRPr="00764D29">
        <w:rPr>
          <w:rFonts w:ascii="Calibri" w:hAnsi="Calibri" w:cs="Calibri"/>
          <w:sz w:val="24"/>
          <w:szCs w:val="24"/>
          <w:vertAlign w:val="superscript"/>
        </w:rPr>
        <w:t>1, 2, 5</w:t>
      </w:r>
      <w:r w:rsidRPr="00764D29">
        <w:rPr>
          <w:rFonts w:ascii="Calibri" w:hAnsi="Calibri" w:cs="Calibri"/>
          <w:sz w:val="24"/>
          <w:szCs w:val="24"/>
        </w:rPr>
        <w:t xml:space="preserve">, </w:t>
      </w:r>
      <w:proofErr w:type="spellStart"/>
      <w:r w:rsidRPr="00764D29">
        <w:rPr>
          <w:rFonts w:ascii="Calibri" w:hAnsi="Calibri" w:cs="Calibri"/>
          <w:sz w:val="24"/>
          <w:szCs w:val="24"/>
        </w:rPr>
        <w:t>Ke</w:t>
      </w:r>
      <w:proofErr w:type="spellEnd"/>
      <w:r w:rsidRPr="00764D29">
        <w:rPr>
          <w:rFonts w:ascii="Calibri" w:hAnsi="Calibri" w:cs="Calibri"/>
          <w:sz w:val="24"/>
          <w:szCs w:val="24"/>
        </w:rPr>
        <w:t xml:space="preserve"> Wang</w:t>
      </w:r>
      <w:r w:rsidRPr="00764D29">
        <w:rPr>
          <w:rFonts w:ascii="Calibri" w:hAnsi="Calibri" w:cs="Calibri"/>
          <w:sz w:val="24"/>
          <w:szCs w:val="24"/>
          <w:vertAlign w:val="superscript"/>
        </w:rPr>
        <w:t>1, 2, 3, 4, *</w:t>
      </w:r>
      <w:r w:rsidRPr="00764D29">
        <w:rPr>
          <w:rFonts w:ascii="Calibri" w:hAnsi="Calibri" w:cs="Calibri"/>
          <w:sz w:val="24"/>
          <w:szCs w:val="24"/>
        </w:rPr>
        <w:t>, Klaus Hubacek</w:t>
      </w:r>
      <w:r w:rsidRPr="00764D29">
        <w:rPr>
          <w:rFonts w:ascii="Calibri" w:hAnsi="Calibri" w:cs="Calibri"/>
          <w:sz w:val="24"/>
          <w:szCs w:val="24"/>
          <w:vertAlign w:val="superscript"/>
        </w:rPr>
        <w:t>5, *</w:t>
      </w:r>
      <w:r w:rsidRPr="00764D29">
        <w:rPr>
          <w:rFonts w:ascii="Calibri" w:hAnsi="Calibri" w:cs="Calibri"/>
          <w:sz w:val="24"/>
          <w:szCs w:val="24"/>
        </w:rPr>
        <w:t xml:space="preserve">, </w:t>
      </w:r>
      <w:proofErr w:type="spellStart"/>
      <w:r w:rsidRPr="00764D29">
        <w:rPr>
          <w:rFonts w:ascii="Calibri" w:hAnsi="Calibri" w:cs="Calibri"/>
          <w:sz w:val="24"/>
          <w:szCs w:val="24"/>
        </w:rPr>
        <w:t>Kuishuang</w:t>
      </w:r>
      <w:proofErr w:type="spellEnd"/>
      <w:r w:rsidRPr="00764D29">
        <w:rPr>
          <w:rFonts w:ascii="Calibri" w:hAnsi="Calibri" w:cs="Calibri"/>
          <w:sz w:val="24"/>
          <w:szCs w:val="24"/>
        </w:rPr>
        <w:t xml:space="preserve"> Feng</w:t>
      </w:r>
      <w:r w:rsidRPr="00764D29">
        <w:rPr>
          <w:rFonts w:ascii="Calibri" w:hAnsi="Calibri" w:cs="Calibri"/>
          <w:sz w:val="24"/>
          <w:szCs w:val="24"/>
          <w:vertAlign w:val="superscript"/>
        </w:rPr>
        <w:t>6</w:t>
      </w:r>
      <w:r w:rsidRPr="00764D29">
        <w:rPr>
          <w:rFonts w:ascii="Calibri" w:hAnsi="Calibri" w:cs="Calibri"/>
          <w:sz w:val="24"/>
          <w:szCs w:val="24"/>
        </w:rPr>
        <w:t xml:space="preserve">, </w:t>
      </w:r>
      <w:proofErr w:type="spellStart"/>
      <w:r w:rsidRPr="00764D29">
        <w:rPr>
          <w:rFonts w:ascii="Calibri" w:hAnsi="Calibri" w:cs="Calibri"/>
          <w:sz w:val="24"/>
          <w:szCs w:val="24"/>
        </w:rPr>
        <w:t>Yuli</w:t>
      </w:r>
      <w:proofErr w:type="spellEnd"/>
      <w:r w:rsidRPr="00764D29">
        <w:rPr>
          <w:rFonts w:ascii="Calibri" w:hAnsi="Calibri" w:cs="Calibri"/>
          <w:sz w:val="24"/>
          <w:szCs w:val="24"/>
        </w:rPr>
        <w:t xml:space="preserve"> Shan</w:t>
      </w:r>
      <w:r w:rsidRPr="00764D29">
        <w:rPr>
          <w:rFonts w:ascii="Calibri" w:hAnsi="Calibri" w:cs="Calibri"/>
          <w:sz w:val="24"/>
          <w:szCs w:val="24"/>
          <w:vertAlign w:val="superscript"/>
        </w:rPr>
        <w:t>5</w:t>
      </w:r>
      <w:r w:rsidRPr="00764D29">
        <w:rPr>
          <w:rFonts w:ascii="Calibri" w:hAnsi="Calibri" w:cs="Calibri"/>
          <w:sz w:val="24"/>
          <w:szCs w:val="24"/>
        </w:rPr>
        <w:t>, Yi-Ming Wei</w:t>
      </w:r>
      <w:r w:rsidRPr="00764D29">
        <w:rPr>
          <w:rFonts w:ascii="Calibri" w:hAnsi="Calibri" w:cs="Calibri"/>
          <w:sz w:val="24"/>
          <w:szCs w:val="24"/>
          <w:vertAlign w:val="superscript"/>
        </w:rPr>
        <w:t>1, 2, 3, 4</w:t>
      </w:r>
    </w:p>
    <w:p w14:paraId="6F001E44" w14:textId="77777777" w:rsidR="001F04FB" w:rsidRPr="00764D29" w:rsidRDefault="001F04FB" w:rsidP="001F04FB">
      <w:pPr>
        <w:spacing w:afterLines="50" w:after="156" w:line="360" w:lineRule="auto"/>
        <w:rPr>
          <w:rFonts w:ascii="Calibri" w:hAnsi="Calibri" w:cs="Calibri"/>
          <w:sz w:val="22"/>
          <w:szCs w:val="24"/>
        </w:rPr>
      </w:pPr>
      <w:r w:rsidRPr="00764D29">
        <w:rPr>
          <w:rFonts w:ascii="Calibri" w:hAnsi="Calibri" w:cs="Calibri"/>
          <w:sz w:val="22"/>
          <w:szCs w:val="24"/>
          <w:vertAlign w:val="superscript"/>
        </w:rPr>
        <w:t>1</w:t>
      </w:r>
      <w:r w:rsidRPr="00764D29">
        <w:rPr>
          <w:rFonts w:ascii="Calibri" w:hAnsi="Calibri" w:cs="Calibri"/>
          <w:sz w:val="22"/>
          <w:szCs w:val="24"/>
        </w:rPr>
        <w:t xml:space="preserve"> Center for Energy and Environmental Policy Research, Beijing Institute of Technology, Beijing, China</w:t>
      </w:r>
    </w:p>
    <w:p w14:paraId="7295FF4D" w14:textId="77777777" w:rsidR="001F04FB" w:rsidRPr="00764D29" w:rsidRDefault="001F04FB" w:rsidP="001F04FB">
      <w:pPr>
        <w:spacing w:afterLines="50" w:after="156" w:line="360" w:lineRule="auto"/>
        <w:rPr>
          <w:rFonts w:ascii="Calibri" w:hAnsi="Calibri" w:cs="Calibri"/>
          <w:sz w:val="22"/>
          <w:szCs w:val="24"/>
        </w:rPr>
      </w:pPr>
      <w:r w:rsidRPr="00764D29">
        <w:rPr>
          <w:rFonts w:ascii="Calibri" w:hAnsi="Calibri" w:cs="Calibri"/>
          <w:sz w:val="22"/>
          <w:szCs w:val="24"/>
          <w:vertAlign w:val="superscript"/>
        </w:rPr>
        <w:t>2</w:t>
      </w:r>
      <w:r w:rsidRPr="00764D29">
        <w:rPr>
          <w:rFonts w:ascii="Calibri" w:hAnsi="Calibri" w:cs="Calibri"/>
          <w:sz w:val="22"/>
          <w:szCs w:val="24"/>
        </w:rPr>
        <w:t xml:space="preserve"> School of Management and Economics, Beijing Institute of Technology, Beijing, China</w:t>
      </w:r>
    </w:p>
    <w:p w14:paraId="7F701CB0" w14:textId="77777777" w:rsidR="001F04FB" w:rsidRPr="00764D29" w:rsidRDefault="001F04FB" w:rsidP="001F04FB">
      <w:pPr>
        <w:spacing w:afterLines="50" w:after="156" w:line="360" w:lineRule="auto"/>
        <w:rPr>
          <w:rFonts w:ascii="Calibri" w:hAnsi="Calibri" w:cs="Calibri"/>
          <w:sz w:val="22"/>
          <w:szCs w:val="24"/>
        </w:rPr>
      </w:pPr>
      <w:r w:rsidRPr="00764D29">
        <w:rPr>
          <w:rFonts w:ascii="Calibri" w:hAnsi="Calibri" w:cs="Calibri"/>
          <w:sz w:val="22"/>
          <w:szCs w:val="24"/>
          <w:vertAlign w:val="superscript"/>
        </w:rPr>
        <w:t>3</w:t>
      </w:r>
      <w:r w:rsidRPr="00764D29">
        <w:rPr>
          <w:rFonts w:ascii="Calibri" w:hAnsi="Calibri" w:cs="Calibri"/>
          <w:sz w:val="22"/>
          <w:szCs w:val="24"/>
        </w:rPr>
        <w:t xml:space="preserve"> Sustainable Development Research Institute for Economy and Society of Beijing, Beijing, China</w:t>
      </w:r>
    </w:p>
    <w:p w14:paraId="0B09858D" w14:textId="77777777" w:rsidR="001F04FB" w:rsidRPr="00764D29" w:rsidRDefault="001F04FB" w:rsidP="001F04FB">
      <w:pPr>
        <w:spacing w:afterLines="50" w:after="156" w:line="360" w:lineRule="auto"/>
        <w:rPr>
          <w:rFonts w:ascii="Calibri" w:hAnsi="Calibri" w:cs="Calibri"/>
          <w:sz w:val="22"/>
          <w:szCs w:val="24"/>
        </w:rPr>
      </w:pPr>
      <w:r w:rsidRPr="00764D29">
        <w:rPr>
          <w:rFonts w:ascii="Calibri" w:hAnsi="Calibri" w:cs="Calibri"/>
          <w:sz w:val="22"/>
          <w:szCs w:val="24"/>
          <w:vertAlign w:val="superscript"/>
        </w:rPr>
        <w:t>4</w:t>
      </w:r>
      <w:r w:rsidRPr="00764D29">
        <w:rPr>
          <w:rFonts w:ascii="Calibri" w:hAnsi="Calibri" w:cs="Calibri"/>
          <w:sz w:val="22"/>
          <w:szCs w:val="24"/>
        </w:rPr>
        <w:t xml:space="preserve"> Beijing Key Lab of Energy Economics and Environmental Management, Beijing, China</w:t>
      </w:r>
    </w:p>
    <w:p w14:paraId="07551E36" w14:textId="77777777" w:rsidR="001F04FB" w:rsidRPr="00764D29" w:rsidRDefault="001F04FB" w:rsidP="001F04FB">
      <w:pPr>
        <w:spacing w:afterLines="50" w:after="156" w:line="360" w:lineRule="auto"/>
        <w:rPr>
          <w:rFonts w:ascii="Calibri" w:hAnsi="Calibri" w:cs="Calibri"/>
          <w:sz w:val="22"/>
          <w:szCs w:val="24"/>
        </w:rPr>
      </w:pPr>
      <w:r w:rsidRPr="00764D29">
        <w:rPr>
          <w:rFonts w:ascii="Calibri" w:hAnsi="Calibri" w:cs="Calibri"/>
          <w:sz w:val="22"/>
          <w:szCs w:val="24"/>
          <w:vertAlign w:val="superscript"/>
        </w:rPr>
        <w:t>5</w:t>
      </w:r>
      <w:r w:rsidRPr="00764D29">
        <w:rPr>
          <w:rFonts w:ascii="Calibri" w:hAnsi="Calibri" w:cs="Calibri"/>
          <w:sz w:val="22"/>
          <w:szCs w:val="24"/>
        </w:rPr>
        <w:t xml:space="preserve"> Integrated Research on Energy, Environment and Society (IREES), Energy and Sustainability Research Institute Groningen, University of Groningen, Groningen 9747 AG, the Netherlands</w:t>
      </w:r>
    </w:p>
    <w:p w14:paraId="6774A2A1" w14:textId="77777777" w:rsidR="001F04FB" w:rsidRPr="00764D29" w:rsidRDefault="001F04FB" w:rsidP="001F04FB">
      <w:pPr>
        <w:spacing w:afterLines="50" w:after="156" w:line="360" w:lineRule="auto"/>
        <w:rPr>
          <w:rFonts w:ascii="Calibri" w:hAnsi="Calibri" w:cs="Calibri"/>
          <w:sz w:val="22"/>
          <w:szCs w:val="24"/>
        </w:rPr>
      </w:pPr>
      <w:r w:rsidRPr="00764D29">
        <w:rPr>
          <w:rFonts w:ascii="Calibri" w:hAnsi="Calibri" w:cs="Calibri"/>
          <w:sz w:val="22"/>
          <w:szCs w:val="24"/>
          <w:vertAlign w:val="superscript"/>
        </w:rPr>
        <w:t>6</w:t>
      </w:r>
      <w:r w:rsidRPr="00764D29">
        <w:rPr>
          <w:rFonts w:ascii="Calibri" w:hAnsi="Calibri" w:cs="Calibri"/>
          <w:sz w:val="22"/>
          <w:szCs w:val="24"/>
        </w:rPr>
        <w:t xml:space="preserve"> Department of Geographical Sciences, University of Maryland, College Park, Maryland, 20742, USA</w:t>
      </w:r>
    </w:p>
    <w:p w14:paraId="5993FF1D" w14:textId="03FCDC3D" w:rsidR="001F04FB" w:rsidRPr="00E835B1" w:rsidRDefault="001F04FB" w:rsidP="001F04FB">
      <w:pPr>
        <w:rPr>
          <w:rFonts w:ascii="Calibri" w:hAnsi="Calibri" w:cs="Calibri"/>
          <w:sz w:val="22"/>
          <w:szCs w:val="24"/>
        </w:rPr>
      </w:pPr>
      <w:r w:rsidRPr="00764D29">
        <w:rPr>
          <w:rFonts w:ascii="Calibri" w:hAnsi="Calibri" w:cs="Calibri"/>
          <w:sz w:val="22"/>
          <w:szCs w:val="24"/>
          <w:vertAlign w:val="superscript"/>
        </w:rPr>
        <w:t>*</w:t>
      </w:r>
      <w:r w:rsidRPr="00764D29">
        <w:rPr>
          <w:rFonts w:ascii="Calibri" w:hAnsi="Calibri" w:cs="Calibri"/>
          <w:sz w:val="22"/>
          <w:szCs w:val="24"/>
        </w:rPr>
        <w:t xml:space="preserve"> Corresponding authors. </w:t>
      </w:r>
      <w:r w:rsidR="00E835B1" w:rsidRPr="00E835B1">
        <w:rPr>
          <w:rFonts w:ascii="Calibri" w:hAnsi="Calibri" w:cs="Calibri"/>
          <w:sz w:val="22"/>
          <w:szCs w:val="24"/>
        </w:rPr>
        <w:t>wangkebit@bit.edu.cn</w:t>
      </w:r>
      <w:r w:rsidRPr="00764D29">
        <w:rPr>
          <w:rFonts w:ascii="Calibri" w:hAnsi="Calibri" w:cs="Calibri"/>
          <w:sz w:val="22"/>
          <w:szCs w:val="24"/>
        </w:rPr>
        <w:t xml:space="preserve"> </w:t>
      </w:r>
      <w:r w:rsidR="00524618">
        <w:rPr>
          <w:rFonts w:ascii="Calibri" w:hAnsi="Calibri" w:cs="Calibri"/>
          <w:sz w:val="22"/>
          <w:szCs w:val="24"/>
        </w:rPr>
        <w:t xml:space="preserve">(KW) </w:t>
      </w:r>
      <w:r w:rsidRPr="00764D29">
        <w:rPr>
          <w:rFonts w:ascii="Calibri" w:hAnsi="Calibri" w:cs="Calibri"/>
          <w:sz w:val="22"/>
          <w:szCs w:val="24"/>
        </w:rPr>
        <w:t>and k.hubacek@rug.nl (KH)</w:t>
      </w:r>
      <w:bookmarkStart w:id="1" w:name="_GoBack"/>
      <w:bookmarkEnd w:id="1"/>
    </w:p>
    <w:p w14:paraId="589E25A3" w14:textId="4616D5CD" w:rsidR="001F04FB" w:rsidRDefault="001F04FB">
      <w:pPr>
        <w:widowControl/>
        <w:jc w:val="left"/>
        <w:rPr>
          <w:rFonts w:ascii="Calibri" w:hAnsi="Calibri" w:cs="Calibri"/>
          <w:sz w:val="22"/>
          <w:szCs w:val="24"/>
        </w:rPr>
      </w:pPr>
      <w:r>
        <w:rPr>
          <w:rFonts w:ascii="Calibri" w:hAnsi="Calibri" w:cs="Calibri"/>
          <w:sz w:val="22"/>
          <w:szCs w:val="24"/>
        </w:rPr>
        <w:br w:type="page"/>
      </w:r>
    </w:p>
    <w:p w14:paraId="780792EC" w14:textId="1B1046CB" w:rsidR="00026385" w:rsidRPr="001F04FB" w:rsidRDefault="00026385" w:rsidP="00026385">
      <w:pPr>
        <w:spacing w:line="288" w:lineRule="auto"/>
        <w:rPr>
          <w:rFonts w:ascii="Calibri" w:hAnsi="Calibri" w:cs="Calibri"/>
          <w:b/>
          <w:bCs/>
          <w:sz w:val="22"/>
        </w:rPr>
      </w:pPr>
      <w:r w:rsidRPr="001F04FB">
        <w:rPr>
          <w:rFonts w:ascii="Calibri" w:hAnsi="Calibri" w:cs="Calibri"/>
          <w:b/>
          <w:bCs/>
          <w:sz w:val="22"/>
        </w:rPr>
        <w:lastRenderedPageBreak/>
        <w:t>Table S1 List of indicators and SDGs</w:t>
      </w:r>
    </w:p>
    <w:tbl>
      <w:tblPr>
        <w:tblStyle w:val="a6"/>
        <w:tblW w:w="9411" w:type="dxa"/>
        <w:tblBorders>
          <w:top w:val="single" w:sz="12" w:space="0" w:color="auto"/>
          <w:left w:val="none" w:sz="0" w:space="0" w:color="auto"/>
          <w:bottom w:val="single" w:sz="12" w:space="0" w:color="auto"/>
          <w:right w:val="none" w:sz="0" w:space="0" w:color="auto"/>
          <w:insideV w:val="none" w:sz="0" w:space="0" w:color="auto"/>
        </w:tblBorders>
        <w:tblLayout w:type="fixed"/>
        <w:tblLook w:val="04A0" w:firstRow="1" w:lastRow="0" w:firstColumn="1" w:lastColumn="0" w:noHBand="0" w:noVBand="1"/>
      </w:tblPr>
      <w:tblGrid>
        <w:gridCol w:w="1682"/>
        <w:gridCol w:w="2228"/>
        <w:gridCol w:w="2184"/>
        <w:gridCol w:w="1952"/>
        <w:gridCol w:w="1365"/>
      </w:tblGrid>
      <w:tr w:rsidR="00026385" w:rsidRPr="001F04FB" w14:paraId="6997BF83" w14:textId="77777777" w:rsidTr="004958EC">
        <w:tc>
          <w:tcPr>
            <w:tcW w:w="1682" w:type="dxa"/>
            <w:shd w:val="clear" w:color="auto" w:fill="auto"/>
          </w:tcPr>
          <w:p w14:paraId="559C6E61" w14:textId="77777777" w:rsidR="00026385" w:rsidRPr="001F04FB" w:rsidRDefault="00026385" w:rsidP="004958EC">
            <w:pPr>
              <w:spacing w:line="288" w:lineRule="auto"/>
              <w:jc w:val="left"/>
              <w:rPr>
                <w:rFonts w:ascii="Calibri" w:hAnsi="Calibri" w:cs="Calibri"/>
                <w:b/>
                <w:bCs/>
                <w:sz w:val="22"/>
              </w:rPr>
            </w:pPr>
            <w:r w:rsidRPr="001F04FB">
              <w:rPr>
                <w:rFonts w:ascii="Calibri" w:hAnsi="Calibri" w:cs="Calibri"/>
                <w:b/>
                <w:bCs/>
                <w:sz w:val="22"/>
              </w:rPr>
              <w:t>Goal</w:t>
            </w:r>
          </w:p>
        </w:tc>
        <w:tc>
          <w:tcPr>
            <w:tcW w:w="2228" w:type="dxa"/>
            <w:shd w:val="clear" w:color="auto" w:fill="auto"/>
          </w:tcPr>
          <w:p w14:paraId="6D4368CF" w14:textId="77777777" w:rsidR="00026385" w:rsidRPr="001F04FB" w:rsidRDefault="00026385" w:rsidP="004958EC">
            <w:pPr>
              <w:spacing w:line="288" w:lineRule="auto"/>
              <w:jc w:val="left"/>
              <w:rPr>
                <w:rFonts w:ascii="Calibri" w:hAnsi="Calibri" w:cs="Calibri"/>
                <w:b/>
                <w:bCs/>
                <w:sz w:val="22"/>
              </w:rPr>
            </w:pPr>
            <w:r w:rsidRPr="001F04FB">
              <w:rPr>
                <w:rFonts w:ascii="Calibri" w:hAnsi="Calibri" w:cs="Calibri"/>
                <w:b/>
                <w:bCs/>
                <w:sz w:val="22"/>
              </w:rPr>
              <w:t>Target</w:t>
            </w:r>
          </w:p>
        </w:tc>
        <w:tc>
          <w:tcPr>
            <w:tcW w:w="2184" w:type="dxa"/>
            <w:shd w:val="clear" w:color="auto" w:fill="auto"/>
          </w:tcPr>
          <w:p w14:paraId="4E18CAC7" w14:textId="77777777" w:rsidR="00026385" w:rsidRPr="001F04FB" w:rsidRDefault="00026385" w:rsidP="004958EC">
            <w:pPr>
              <w:spacing w:line="288" w:lineRule="auto"/>
              <w:jc w:val="left"/>
              <w:rPr>
                <w:rFonts w:ascii="Calibri" w:hAnsi="Calibri" w:cs="Calibri"/>
                <w:b/>
                <w:bCs/>
                <w:sz w:val="22"/>
              </w:rPr>
            </w:pPr>
            <w:r w:rsidRPr="001F04FB">
              <w:rPr>
                <w:rFonts w:ascii="Calibri" w:hAnsi="Calibri" w:cs="Calibri"/>
                <w:b/>
                <w:bCs/>
                <w:sz w:val="22"/>
              </w:rPr>
              <w:t xml:space="preserve">Sub-target </w:t>
            </w:r>
            <w:r w:rsidRPr="001F04FB">
              <w:rPr>
                <w:rFonts w:ascii="Calibri" w:hAnsi="Calibri" w:cs="Calibri"/>
                <w:b/>
                <w:bCs/>
                <w:sz w:val="22"/>
                <w:vertAlign w:val="superscript"/>
              </w:rPr>
              <w:t>1</w:t>
            </w:r>
          </w:p>
        </w:tc>
        <w:tc>
          <w:tcPr>
            <w:tcW w:w="1952" w:type="dxa"/>
            <w:shd w:val="clear" w:color="auto" w:fill="auto"/>
          </w:tcPr>
          <w:p w14:paraId="28281E9E" w14:textId="77777777" w:rsidR="00026385" w:rsidRPr="001F04FB" w:rsidRDefault="00026385" w:rsidP="004958EC">
            <w:pPr>
              <w:spacing w:line="288" w:lineRule="auto"/>
              <w:jc w:val="left"/>
              <w:rPr>
                <w:rFonts w:ascii="Calibri" w:hAnsi="Calibri" w:cs="Calibri"/>
                <w:b/>
                <w:bCs/>
                <w:sz w:val="22"/>
              </w:rPr>
            </w:pPr>
            <w:r w:rsidRPr="001F04FB">
              <w:rPr>
                <w:rFonts w:ascii="Calibri" w:hAnsi="Calibri" w:cs="Calibri"/>
                <w:b/>
                <w:bCs/>
                <w:sz w:val="22"/>
              </w:rPr>
              <w:t>Indicator</w:t>
            </w:r>
          </w:p>
        </w:tc>
        <w:tc>
          <w:tcPr>
            <w:tcW w:w="1365" w:type="dxa"/>
          </w:tcPr>
          <w:p w14:paraId="262B6393" w14:textId="77777777" w:rsidR="00026385" w:rsidRPr="001F04FB" w:rsidRDefault="00026385" w:rsidP="004958EC">
            <w:pPr>
              <w:spacing w:line="288" w:lineRule="auto"/>
              <w:jc w:val="left"/>
              <w:rPr>
                <w:rFonts w:ascii="Calibri" w:hAnsi="Calibri" w:cs="Calibri"/>
                <w:b/>
                <w:bCs/>
                <w:sz w:val="22"/>
              </w:rPr>
            </w:pPr>
            <w:r w:rsidRPr="001F04FB">
              <w:rPr>
                <w:rFonts w:ascii="Calibri" w:hAnsi="Calibri" w:cs="Calibri"/>
                <w:b/>
                <w:bCs/>
                <w:sz w:val="22"/>
              </w:rPr>
              <w:t>Dimension</w:t>
            </w:r>
          </w:p>
        </w:tc>
      </w:tr>
      <w:tr w:rsidR="00026385" w:rsidRPr="001F04FB" w14:paraId="761C2387" w14:textId="77777777" w:rsidTr="004958EC">
        <w:tc>
          <w:tcPr>
            <w:tcW w:w="1682" w:type="dxa"/>
            <w:shd w:val="clear" w:color="auto" w:fill="auto"/>
          </w:tcPr>
          <w:p w14:paraId="7D9AFEDF"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4 Ensure inclusive and equitable quality education</w:t>
            </w:r>
          </w:p>
        </w:tc>
        <w:tc>
          <w:tcPr>
            <w:tcW w:w="2228" w:type="dxa"/>
            <w:shd w:val="clear" w:color="auto" w:fill="auto"/>
          </w:tcPr>
          <w:p w14:paraId="3E309BA3"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4.4 Increase the number of youth and adults who have relevant skills</w:t>
            </w:r>
          </w:p>
        </w:tc>
        <w:tc>
          <w:tcPr>
            <w:tcW w:w="2184" w:type="dxa"/>
            <w:shd w:val="clear" w:color="auto" w:fill="auto"/>
          </w:tcPr>
          <w:p w14:paraId="69CF81F9"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4.4.1 Proportion of people with information and communications technology skills</w:t>
            </w:r>
          </w:p>
        </w:tc>
        <w:tc>
          <w:tcPr>
            <w:tcW w:w="1952" w:type="dxa"/>
            <w:shd w:val="clear" w:color="auto" w:fill="auto"/>
          </w:tcPr>
          <w:p w14:paraId="58BA0B6A" w14:textId="38568FA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(1) High- and medium-skilled </w:t>
            </w:r>
            <w:r w:rsidR="00B043C9" w:rsidRPr="001F04FB">
              <w:rPr>
                <w:rFonts w:ascii="Calibri" w:hAnsi="Calibri" w:cs="Calibri"/>
                <w:sz w:val="22"/>
              </w:rPr>
              <w:t>labor</w:t>
            </w:r>
          </w:p>
        </w:tc>
        <w:tc>
          <w:tcPr>
            <w:tcW w:w="1365" w:type="dxa"/>
          </w:tcPr>
          <w:p w14:paraId="7454D92A"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Society</w:t>
            </w:r>
          </w:p>
        </w:tc>
      </w:tr>
      <w:tr w:rsidR="00026385" w:rsidRPr="001F04FB" w14:paraId="31369158" w14:textId="77777777" w:rsidTr="004958EC">
        <w:tc>
          <w:tcPr>
            <w:tcW w:w="1682" w:type="dxa"/>
            <w:vMerge w:val="restart"/>
            <w:shd w:val="clear" w:color="auto" w:fill="auto"/>
          </w:tcPr>
          <w:p w14:paraId="308BFB3D"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6 Ensure availability and sustainable management of water and sanitation</w:t>
            </w:r>
          </w:p>
        </w:tc>
        <w:tc>
          <w:tcPr>
            <w:tcW w:w="2228" w:type="dxa"/>
            <w:shd w:val="clear" w:color="auto" w:fill="auto"/>
          </w:tcPr>
          <w:p w14:paraId="05321D1E"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6.3 Improve water quality by reducing pollution</w:t>
            </w:r>
          </w:p>
        </w:tc>
        <w:tc>
          <w:tcPr>
            <w:tcW w:w="2184" w:type="dxa"/>
            <w:shd w:val="clear" w:color="auto" w:fill="auto"/>
          </w:tcPr>
          <w:p w14:paraId="6E93C616"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6.3.2 Proportion of water with good quality</w:t>
            </w:r>
          </w:p>
        </w:tc>
        <w:tc>
          <w:tcPr>
            <w:tcW w:w="1952" w:type="dxa"/>
            <w:shd w:val="clear" w:color="auto" w:fill="auto"/>
          </w:tcPr>
          <w:p w14:paraId="3623310E"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(2) Water pollution </w:t>
            </w:r>
            <w:r w:rsidRPr="001F04FB">
              <w:rPr>
                <w:rFonts w:ascii="Calibri" w:hAnsi="Calibri" w:cs="Calibri"/>
                <w:sz w:val="22"/>
                <w:vertAlign w:val="superscript"/>
              </w:rPr>
              <w:t>2</w:t>
            </w:r>
          </w:p>
        </w:tc>
        <w:tc>
          <w:tcPr>
            <w:tcW w:w="1365" w:type="dxa"/>
          </w:tcPr>
          <w:p w14:paraId="7F1DB1AF"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2B78B776" w14:textId="77777777" w:rsidTr="004958EC">
        <w:tc>
          <w:tcPr>
            <w:tcW w:w="1682" w:type="dxa"/>
            <w:vMerge/>
            <w:shd w:val="clear" w:color="auto" w:fill="auto"/>
          </w:tcPr>
          <w:p w14:paraId="15729FBC" w14:textId="77777777" w:rsidR="00026385" w:rsidRPr="001F04FB" w:rsidRDefault="00026385" w:rsidP="004958EC">
            <w:pPr>
              <w:spacing w:line="288" w:lineRule="auto"/>
              <w:jc w:val="left"/>
              <w:rPr>
                <w:rFonts w:ascii="Calibri" w:hAnsi="Calibri" w:cs="Calibri"/>
                <w:sz w:val="22"/>
              </w:rPr>
            </w:pPr>
          </w:p>
        </w:tc>
        <w:tc>
          <w:tcPr>
            <w:tcW w:w="2228" w:type="dxa"/>
            <w:vMerge w:val="restart"/>
            <w:shd w:val="clear" w:color="auto" w:fill="auto"/>
          </w:tcPr>
          <w:p w14:paraId="69669CB4"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6.4 Increase water-use efficiency and ensure sustainable withdrawals and supply of freshwater</w:t>
            </w:r>
          </w:p>
        </w:tc>
        <w:tc>
          <w:tcPr>
            <w:tcW w:w="2184" w:type="dxa"/>
            <w:shd w:val="clear" w:color="auto" w:fill="auto"/>
          </w:tcPr>
          <w:p w14:paraId="20968214"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6.4.1 Water-use efficiency</w:t>
            </w:r>
          </w:p>
        </w:tc>
        <w:tc>
          <w:tcPr>
            <w:tcW w:w="1952" w:type="dxa"/>
            <w:shd w:val="clear" w:color="auto" w:fill="auto"/>
          </w:tcPr>
          <w:p w14:paraId="49090731"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(3) Blue water consumption</w:t>
            </w:r>
          </w:p>
        </w:tc>
        <w:tc>
          <w:tcPr>
            <w:tcW w:w="1365" w:type="dxa"/>
          </w:tcPr>
          <w:p w14:paraId="7A65B90A"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5D5B5C5D" w14:textId="77777777" w:rsidTr="004958EC">
        <w:tc>
          <w:tcPr>
            <w:tcW w:w="1682" w:type="dxa"/>
            <w:vMerge/>
            <w:shd w:val="clear" w:color="auto" w:fill="auto"/>
          </w:tcPr>
          <w:p w14:paraId="5122E309" w14:textId="77777777" w:rsidR="00026385" w:rsidRPr="001F04FB" w:rsidRDefault="00026385" w:rsidP="004958EC">
            <w:pPr>
              <w:spacing w:line="288" w:lineRule="auto"/>
              <w:jc w:val="left"/>
              <w:rPr>
                <w:rFonts w:ascii="Calibri" w:hAnsi="Calibri" w:cs="Calibri"/>
                <w:sz w:val="22"/>
              </w:rPr>
            </w:pPr>
          </w:p>
        </w:tc>
        <w:tc>
          <w:tcPr>
            <w:tcW w:w="2228" w:type="dxa"/>
            <w:vMerge/>
            <w:shd w:val="clear" w:color="auto" w:fill="auto"/>
          </w:tcPr>
          <w:p w14:paraId="426CC0D0" w14:textId="77777777" w:rsidR="00026385" w:rsidRPr="001F04FB" w:rsidRDefault="00026385" w:rsidP="004958EC">
            <w:pPr>
              <w:spacing w:line="288" w:lineRule="auto"/>
              <w:jc w:val="left"/>
              <w:rPr>
                <w:rFonts w:ascii="Calibri" w:hAnsi="Calibri" w:cs="Calibri"/>
                <w:sz w:val="22"/>
              </w:rPr>
            </w:pPr>
          </w:p>
        </w:tc>
        <w:tc>
          <w:tcPr>
            <w:tcW w:w="2184" w:type="dxa"/>
            <w:shd w:val="clear" w:color="auto" w:fill="auto"/>
          </w:tcPr>
          <w:p w14:paraId="612DBEA8"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6.4.2 Freshwater withdrawal as a proportion of available freshwater resources</w:t>
            </w:r>
          </w:p>
        </w:tc>
        <w:tc>
          <w:tcPr>
            <w:tcW w:w="1952" w:type="dxa"/>
            <w:shd w:val="clear" w:color="auto" w:fill="auto"/>
          </w:tcPr>
          <w:p w14:paraId="32F81DBB"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(4) Blue water withdrawal</w:t>
            </w:r>
          </w:p>
        </w:tc>
        <w:tc>
          <w:tcPr>
            <w:tcW w:w="1365" w:type="dxa"/>
          </w:tcPr>
          <w:p w14:paraId="73995B95"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3BE082FF" w14:textId="77777777" w:rsidTr="004958EC">
        <w:tc>
          <w:tcPr>
            <w:tcW w:w="1682" w:type="dxa"/>
            <w:shd w:val="clear" w:color="auto" w:fill="auto"/>
          </w:tcPr>
          <w:p w14:paraId="14F331BB"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7 Ensure access to energy</w:t>
            </w:r>
          </w:p>
        </w:tc>
        <w:tc>
          <w:tcPr>
            <w:tcW w:w="2228" w:type="dxa"/>
            <w:shd w:val="clear" w:color="auto" w:fill="auto"/>
          </w:tcPr>
          <w:p w14:paraId="50C79385"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7.3 Double the global rate of improvement in energy efficiency</w:t>
            </w:r>
          </w:p>
        </w:tc>
        <w:tc>
          <w:tcPr>
            <w:tcW w:w="2184" w:type="dxa"/>
            <w:shd w:val="clear" w:color="auto" w:fill="auto"/>
          </w:tcPr>
          <w:p w14:paraId="13734530"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7.3.1 Energy intensity</w:t>
            </w:r>
          </w:p>
        </w:tc>
        <w:tc>
          <w:tcPr>
            <w:tcW w:w="1952" w:type="dxa"/>
            <w:shd w:val="clear" w:color="auto" w:fill="auto"/>
          </w:tcPr>
          <w:p w14:paraId="4831FD2E" w14:textId="48F1F9BA"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(5) Total fossil fuel </w:t>
            </w:r>
            <w:r w:rsidR="00B043C9" w:rsidRPr="001F04FB">
              <w:rPr>
                <w:rFonts w:ascii="Calibri" w:hAnsi="Calibri" w:cs="Calibri"/>
                <w:sz w:val="22"/>
              </w:rPr>
              <w:t>consumption</w:t>
            </w:r>
          </w:p>
        </w:tc>
        <w:tc>
          <w:tcPr>
            <w:tcW w:w="1365" w:type="dxa"/>
          </w:tcPr>
          <w:p w14:paraId="40CAB723"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0C80EEFB" w14:textId="77777777" w:rsidTr="004958EC">
        <w:tc>
          <w:tcPr>
            <w:tcW w:w="1682" w:type="dxa"/>
            <w:vMerge w:val="restart"/>
            <w:shd w:val="clear" w:color="auto" w:fill="auto"/>
          </w:tcPr>
          <w:p w14:paraId="2F0E3CD7"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8 Promote economic growth, employment and decent work</w:t>
            </w:r>
          </w:p>
        </w:tc>
        <w:tc>
          <w:tcPr>
            <w:tcW w:w="2228" w:type="dxa"/>
            <w:shd w:val="clear" w:color="auto" w:fill="auto"/>
          </w:tcPr>
          <w:p w14:paraId="5040D387"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8.1 Sustain per capita economic growth</w:t>
            </w:r>
          </w:p>
        </w:tc>
        <w:tc>
          <w:tcPr>
            <w:tcW w:w="2184" w:type="dxa"/>
            <w:shd w:val="clear" w:color="auto" w:fill="auto"/>
          </w:tcPr>
          <w:p w14:paraId="61FFD08F"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8.1.1 Annual growth rate of real GDP per capita</w:t>
            </w:r>
          </w:p>
        </w:tc>
        <w:tc>
          <w:tcPr>
            <w:tcW w:w="1952" w:type="dxa"/>
            <w:shd w:val="clear" w:color="auto" w:fill="auto"/>
          </w:tcPr>
          <w:p w14:paraId="2DF0FB15"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(6) GDP</w:t>
            </w:r>
          </w:p>
        </w:tc>
        <w:tc>
          <w:tcPr>
            <w:tcW w:w="1365" w:type="dxa"/>
          </w:tcPr>
          <w:p w14:paraId="10DD1525"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Economy</w:t>
            </w:r>
          </w:p>
        </w:tc>
      </w:tr>
      <w:tr w:rsidR="00026385" w:rsidRPr="001F04FB" w14:paraId="56B9B53D" w14:textId="77777777" w:rsidTr="004958EC">
        <w:tc>
          <w:tcPr>
            <w:tcW w:w="1682" w:type="dxa"/>
            <w:vMerge/>
            <w:shd w:val="clear" w:color="auto" w:fill="auto"/>
          </w:tcPr>
          <w:p w14:paraId="495CD20C" w14:textId="77777777" w:rsidR="00026385" w:rsidRPr="001F04FB" w:rsidRDefault="00026385" w:rsidP="004958EC">
            <w:pPr>
              <w:spacing w:line="288" w:lineRule="auto"/>
              <w:jc w:val="left"/>
              <w:rPr>
                <w:rFonts w:ascii="Calibri" w:hAnsi="Calibri" w:cs="Calibri"/>
                <w:sz w:val="22"/>
              </w:rPr>
            </w:pPr>
          </w:p>
        </w:tc>
        <w:tc>
          <w:tcPr>
            <w:tcW w:w="2228" w:type="dxa"/>
            <w:shd w:val="clear" w:color="auto" w:fill="auto"/>
          </w:tcPr>
          <w:p w14:paraId="08F2FF6A"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8.4 Improve global resource efficiency</w:t>
            </w:r>
          </w:p>
        </w:tc>
        <w:tc>
          <w:tcPr>
            <w:tcW w:w="2184" w:type="dxa"/>
            <w:shd w:val="clear" w:color="auto" w:fill="auto"/>
          </w:tcPr>
          <w:p w14:paraId="6D3D2BF2"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8.4.1 Material footprint</w:t>
            </w:r>
          </w:p>
        </w:tc>
        <w:tc>
          <w:tcPr>
            <w:tcW w:w="1952" w:type="dxa"/>
            <w:shd w:val="clear" w:color="auto" w:fill="auto"/>
          </w:tcPr>
          <w:p w14:paraId="5ECBC3B8"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(7) Mineral resource use </w:t>
            </w:r>
            <w:r w:rsidRPr="001F04FB">
              <w:rPr>
                <w:rFonts w:ascii="Calibri" w:hAnsi="Calibri" w:cs="Calibri"/>
                <w:sz w:val="22"/>
                <w:vertAlign w:val="superscript"/>
              </w:rPr>
              <w:t>3</w:t>
            </w:r>
          </w:p>
        </w:tc>
        <w:tc>
          <w:tcPr>
            <w:tcW w:w="1365" w:type="dxa"/>
          </w:tcPr>
          <w:p w14:paraId="4A205DC2"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398E36E5" w14:textId="77777777" w:rsidTr="004958EC">
        <w:tc>
          <w:tcPr>
            <w:tcW w:w="1682" w:type="dxa"/>
            <w:shd w:val="clear" w:color="auto" w:fill="auto"/>
          </w:tcPr>
          <w:p w14:paraId="2D6AD63A"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9 Promote sustainable industrialization</w:t>
            </w:r>
          </w:p>
        </w:tc>
        <w:tc>
          <w:tcPr>
            <w:tcW w:w="2228" w:type="dxa"/>
            <w:shd w:val="clear" w:color="auto" w:fill="auto"/>
          </w:tcPr>
          <w:p w14:paraId="76A94C94"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9.4 Improve resource-use efficiency and environmentally sound technologies and processes</w:t>
            </w:r>
          </w:p>
        </w:tc>
        <w:tc>
          <w:tcPr>
            <w:tcW w:w="2184" w:type="dxa"/>
            <w:shd w:val="clear" w:color="auto" w:fill="auto"/>
          </w:tcPr>
          <w:p w14:paraId="57EBBDFA"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9.4.1 CO</w:t>
            </w:r>
            <w:r w:rsidRPr="001F04FB">
              <w:rPr>
                <w:rFonts w:ascii="Calibri" w:hAnsi="Calibri" w:cs="Calibri"/>
                <w:sz w:val="22"/>
                <w:vertAlign w:val="subscript"/>
              </w:rPr>
              <w:t>2</w:t>
            </w:r>
            <w:r w:rsidRPr="001F04FB">
              <w:rPr>
                <w:rFonts w:ascii="Calibri" w:hAnsi="Calibri" w:cs="Calibri"/>
                <w:sz w:val="22"/>
              </w:rPr>
              <w:t xml:space="preserve"> emission per unit of value added</w:t>
            </w:r>
          </w:p>
        </w:tc>
        <w:tc>
          <w:tcPr>
            <w:tcW w:w="1952" w:type="dxa"/>
            <w:shd w:val="clear" w:color="auto" w:fill="auto"/>
          </w:tcPr>
          <w:p w14:paraId="09E41589"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(8) CO</w:t>
            </w:r>
            <w:r w:rsidRPr="001F04FB">
              <w:rPr>
                <w:rFonts w:ascii="Calibri" w:hAnsi="Calibri" w:cs="Calibri"/>
                <w:sz w:val="22"/>
                <w:vertAlign w:val="subscript"/>
              </w:rPr>
              <w:t>2</w:t>
            </w:r>
            <w:r w:rsidRPr="001F04FB">
              <w:rPr>
                <w:rFonts w:ascii="Calibri" w:hAnsi="Calibri" w:cs="Calibri"/>
                <w:sz w:val="22"/>
              </w:rPr>
              <w:t xml:space="preserve"> emission</w:t>
            </w:r>
          </w:p>
        </w:tc>
        <w:tc>
          <w:tcPr>
            <w:tcW w:w="1365" w:type="dxa"/>
          </w:tcPr>
          <w:p w14:paraId="0E1AE9F6"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075D2049" w14:textId="77777777" w:rsidTr="004958EC">
        <w:tc>
          <w:tcPr>
            <w:tcW w:w="1682" w:type="dxa"/>
            <w:shd w:val="clear" w:color="auto" w:fill="auto"/>
          </w:tcPr>
          <w:p w14:paraId="1FDCAF55"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10 Reduce inequality within and among </w:t>
            </w:r>
            <w:r w:rsidRPr="001F04FB">
              <w:rPr>
                <w:rFonts w:ascii="Calibri" w:hAnsi="Calibri" w:cs="Calibri"/>
                <w:sz w:val="22"/>
              </w:rPr>
              <w:lastRenderedPageBreak/>
              <w:t>countries</w:t>
            </w:r>
          </w:p>
        </w:tc>
        <w:tc>
          <w:tcPr>
            <w:tcW w:w="2228" w:type="dxa"/>
            <w:shd w:val="clear" w:color="auto" w:fill="auto"/>
          </w:tcPr>
          <w:p w14:paraId="703F15EF"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lastRenderedPageBreak/>
              <w:t xml:space="preserve">10.4 Adopt policies, especially fiscal, wage and social protection policies, and achieve </w:t>
            </w:r>
            <w:r w:rsidRPr="001F04FB">
              <w:rPr>
                <w:rFonts w:ascii="Calibri" w:hAnsi="Calibri" w:cs="Calibri"/>
                <w:sz w:val="22"/>
              </w:rPr>
              <w:lastRenderedPageBreak/>
              <w:t>greater equality</w:t>
            </w:r>
          </w:p>
        </w:tc>
        <w:tc>
          <w:tcPr>
            <w:tcW w:w="2184" w:type="dxa"/>
            <w:shd w:val="clear" w:color="auto" w:fill="auto"/>
          </w:tcPr>
          <w:p w14:paraId="3F396BA8"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lastRenderedPageBreak/>
              <w:t xml:space="preserve">10.4.1 </w:t>
            </w:r>
            <w:proofErr w:type="spellStart"/>
            <w:r w:rsidRPr="001F04FB">
              <w:rPr>
                <w:rFonts w:ascii="Calibri" w:hAnsi="Calibri" w:cs="Calibri"/>
                <w:sz w:val="22"/>
              </w:rPr>
              <w:t>Labour</w:t>
            </w:r>
            <w:proofErr w:type="spellEnd"/>
            <w:r w:rsidRPr="001F04FB">
              <w:rPr>
                <w:rFonts w:ascii="Calibri" w:hAnsi="Calibri" w:cs="Calibri"/>
                <w:sz w:val="22"/>
              </w:rPr>
              <w:t xml:space="preserve"> share of GDP</w:t>
            </w:r>
          </w:p>
        </w:tc>
        <w:tc>
          <w:tcPr>
            <w:tcW w:w="1952" w:type="dxa"/>
            <w:shd w:val="clear" w:color="auto" w:fill="auto"/>
          </w:tcPr>
          <w:p w14:paraId="18E3F35C"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(9) </w:t>
            </w:r>
            <w:bookmarkStart w:id="2" w:name="OLE_LINK2"/>
            <w:r w:rsidRPr="001F04FB">
              <w:rPr>
                <w:rFonts w:ascii="Calibri" w:hAnsi="Calibri" w:cs="Calibri"/>
                <w:sz w:val="22"/>
              </w:rPr>
              <w:t>Compensation of employees</w:t>
            </w:r>
            <w:bookmarkEnd w:id="2"/>
          </w:p>
        </w:tc>
        <w:tc>
          <w:tcPr>
            <w:tcW w:w="1365" w:type="dxa"/>
          </w:tcPr>
          <w:p w14:paraId="7BFBD667"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Economy</w:t>
            </w:r>
          </w:p>
        </w:tc>
      </w:tr>
      <w:tr w:rsidR="00026385" w:rsidRPr="001F04FB" w14:paraId="34971401" w14:textId="77777777" w:rsidTr="004958EC">
        <w:tc>
          <w:tcPr>
            <w:tcW w:w="1682" w:type="dxa"/>
            <w:shd w:val="clear" w:color="auto" w:fill="auto"/>
          </w:tcPr>
          <w:p w14:paraId="1AAC5588"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lastRenderedPageBreak/>
              <w:t>11 Make cities and human settlements sustainable</w:t>
            </w:r>
          </w:p>
        </w:tc>
        <w:tc>
          <w:tcPr>
            <w:tcW w:w="2228" w:type="dxa"/>
            <w:shd w:val="clear" w:color="auto" w:fill="auto"/>
          </w:tcPr>
          <w:p w14:paraId="605A010B"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11.6 Reduce the adverse per capita environmental impact of cities, pay special attention to air quality</w:t>
            </w:r>
          </w:p>
        </w:tc>
        <w:tc>
          <w:tcPr>
            <w:tcW w:w="2184" w:type="dxa"/>
            <w:shd w:val="clear" w:color="auto" w:fill="auto"/>
          </w:tcPr>
          <w:p w14:paraId="77E6FD80"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11.6.2 Annual mean levels of fine particulate matter (e.g. PM2.5 and PM10) </w:t>
            </w:r>
          </w:p>
        </w:tc>
        <w:tc>
          <w:tcPr>
            <w:tcW w:w="1952" w:type="dxa"/>
            <w:shd w:val="clear" w:color="auto" w:fill="auto"/>
          </w:tcPr>
          <w:p w14:paraId="73981706"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(10) PM emissions</w:t>
            </w:r>
          </w:p>
        </w:tc>
        <w:tc>
          <w:tcPr>
            <w:tcW w:w="1365" w:type="dxa"/>
          </w:tcPr>
          <w:p w14:paraId="2CB84761"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34359273" w14:textId="77777777" w:rsidTr="004958EC">
        <w:tc>
          <w:tcPr>
            <w:tcW w:w="1682" w:type="dxa"/>
            <w:shd w:val="clear" w:color="auto" w:fill="auto"/>
          </w:tcPr>
          <w:p w14:paraId="22E733F2"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12 Ensure sustainable consumption and production patterns</w:t>
            </w:r>
          </w:p>
        </w:tc>
        <w:tc>
          <w:tcPr>
            <w:tcW w:w="2228" w:type="dxa"/>
            <w:shd w:val="clear" w:color="auto" w:fill="auto"/>
          </w:tcPr>
          <w:p w14:paraId="1AC08CA1"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12.2 Achieve the sustainable management and efficient use of natural resources</w:t>
            </w:r>
          </w:p>
        </w:tc>
        <w:tc>
          <w:tcPr>
            <w:tcW w:w="2184" w:type="dxa"/>
            <w:shd w:val="clear" w:color="auto" w:fill="auto"/>
          </w:tcPr>
          <w:p w14:paraId="67DFBB6D"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12.2.1 Material footprint</w:t>
            </w:r>
          </w:p>
        </w:tc>
        <w:tc>
          <w:tcPr>
            <w:tcW w:w="1952" w:type="dxa"/>
            <w:shd w:val="clear" w:color="auto" w:fill="auto"/>
          </w:tcPr>
          <w:p w14:paraId="0D26349E"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(7) Mineral resource use </w:t>
            </w:r>
            <w:r w:rsidRPr="001F04FB">
              <w:rPr>
                <w:rFonts w:ascii="Calibri" w:hAnsi="Calibri" w:cs="Calibri"/>
                <w:sz w:val="22"/>
                <w:vertAlign w:val="superscript"/>
              </w:rPr>
              <w:t>3</w:t>
            </w:r>
          </w:p>
        </w:tc>
        <w:tc>
          <w:tcPr>
            <w:tcW w:w="1365" w:type="dxa"/>
          </w:tcPr>
          <w:p w14:paraId="0DBD5A15"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2D0C1D05" w14:textId="77777777" w:rsidTr="004958EC">
        <w:tc>
          <w:tcPr>
            <w:tcW w:w="1682" w:type="dxa"/>
            <w:shd w:val="clear" w:color="auto" w:fill="auto"/>
          </w:tcPr>
          <w:p w14:paraId="06400FCF"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13 Take urgent action to combat climate change</w:t>
            </w:r>
          </w:p>
        </w:tc>
        <w:tc>
          <w:tcPr>
            <w:tcW w:w="2228" w:type="dxa"/>
            <w:shd w:val="clear" w:color="auto" w:fill="auto"/>
          </w:tcPr>
          <w:p w14:paraId="62AB3D5B"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13.2 Integrate climate change measures into national policies</w:t>
            </w:r>
          </w:p>
        </w:tc>
        <w:tc>
          <w:tcPr>
            <w:tcW w:w="2184" w:type="dxa"/>
            <w:shd w:val="clear" w:color="auto" w:fill="auto"/>
          </w:tcPr>
          <w:p w14:paraId="5E5DBEFF"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13.2.2 Total GHG emissions per year</w:t>
            </w:r>
          </w:p>
        </w:tc>
        <w:tc>
          <w:tcPr>
            <w:tcW w:w="1952" w:type="dxa"/>
            <w:shd w:val="clear" w:color="auto" w:fill="auto"/>
          </w:tcPr>
          <w:p w14:paraId="4D752EE7"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(11) GHG emissions</w:t>
            </w:r>
          </w:p>
        </w:tc>
        <w:tc>
          <w:tcPr>
            <w:tcW w:w="1365" w:type="dxa"/>
          </w:tcPr>
          <w:p w14:paraId="23952DD5"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0C5B903E" w14:textId="77777777" w:rsidTr="004958EC">
        <w:tc>
          <w:tcPr>
            <w:tcW w:w="1682" w:type="dxa"/>
            <w:shd w:val="clear" w:color="auto" w:fill="auto"/>
          </w:tcPr>
          <w:p w14:paraId="44C21E16"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14 Sustainably use oceans and marine resources</w:t>
            </w:r>
          </w:p>
        </w:tc>
        <w:tc>
          <w:tcPr>
            <w:tcW w:w="2228" w:type="dxa"/>
            <w:shd w:val="clear" w:color="auto" w:fill="auto"/>
          </w:tcPr>
          <w:p w14:paraId="66090097"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14.1 Reduce marine pollution of all kinds</w:t>
            </w:r>
          </w:p>
        </w:tc>
        <w:tc>
          <w:tcPr>
            <w:tcW w:w="2184" w:type="dxa"/>
            <w:shd w:val="clear" w:color="auto" w:fill="auto"/>
          </w:tcPr>
          <w:p w14:paraId="02688F74"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14.1.1 (a) Index of coastal eutrophication</w:t>
            </w:r>
          </w:p>
        </w:tc>
        <w:tc>
          <w:tcPr>
            <w:tcW w:w="1952" w:type="dxa"/>
            <w:shd w:val="clear" w:color="auto" w:fill="auto"/>
          </w:tcPr>
          <w:p w14:paraId="00540C84"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(2) Water pollution </w:t>
            </w:r>
            <w:r w:rsidRPr="001F04FB">
              <w:rPr>
                <w:rFonts w:ascii="Calibri" w:hAnsi="Calibri" w:cs="Calibri"/>
                <w:sz w:val="22"/>
                <w:vertAlign w:val="superscript"/>
              </w:rPr>
              <w:t>2</w:t>
            </w:r>
          </w:p>
        </w:tc>
        <w:tc>
          <w:tcPr>
            <w:tcW w:w="1365" w:type="dxa"/>
          </w:tcPr>
          <w:p w14:paraId="3370E059"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0CA6F5DA" w14:textId="77777777" w:rsidTr="004958EC">
        <w:tc>
          <w:tcPr>
            <w:tcW w:w="1682" w:type="dxa"/>
            <w:shd w:val="clear" w:color="auto" w:fill="auto"/>
          </w:tcPr>
          <w:p w14:paraId="2FB962E8"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15 Sustainably manage forests</w:t>
            </w:r>
          </w:p>
        </w:tc>
        <w:tc>
          <w:tcPr>
            <w:tcW w:w="2228" w:type="dxa"/>
            <w:shd w:val="clear" w:color="auto" w:fill="auto"/>
          </w:tcPr>
          <w:p w14:paraId="76142396"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15.1 Ensure the sustainable use of freshwater ecosystems, in particular forests, wetlands, mountains and drylands</w:t>
            </w:r>
          </w:p>
        </w:tc>
        <w:tc>
          <w:tcPr>
            <w:tcW w:w="2184" w:type="dxa"/>
            <w:shd w:val="clear" w:color="auto" w:fill="auto"/>
          </w:tcPr>
          <w:p w14:paraId="7DA6325E"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15.1.1 Forest area as a proportion of total land area</w:t>
            </w:r>
          </w:p>
        </w:tc>
        <w:tc>
          <w:tcPr>
            <w:tcW w:w="1952" w:type="dxa"/>
            <w:shd w:val="clear" w:color="auto" w:fill="auto"/>
          </w:tcPr>
          <w:p w14:paraId="6BE72A2B" w14:textId="2ED1E8CA"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 xml:space="preserve">(12) Forest area </w:t>
            </w:r>
            <w:r w:rsidR="009304D0">
              <w:rPr>
                <w:rFonts w:ascii="Calibri" w:hAnsi="Calibri" w:cs="Calibri"/>
                <w:sz w:val="22"/>
              </w:rPr>
              <w:t>loss</w:t>
            </w:r>
          </w:p>
        </w:tc>
        <w:tc>
          <w:tcPr>
            <w:tcW w:w="1365" w:type="dxa"/>
          </w:tcPr>
          <w:p w14:paraId="1E49B4BA"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Environment</w:t>
            </w:r>
          </w:p>
        </w:tc>
      </w:tr>
      <w:tr w:rsidR="00026385" w:rsidRPr="001F04FB" w14:paraId="4C17419D" w14:textId="77777777" w:rsidTr="004958EC">
        <w:tc>
          <w:tcPr>
            <w:tcW w:w="1682" w:type="dxa"/>
            <w:shd w:val="clear" w:color="auto" w:fill="auto"/>
          </w:tcPr>
          <w:p w14:paraId="7C325B19"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17 Strengthen the Global Partnership for Sustainable Development</w:t>
            </w:r>
          </w:p>
        </w:tc>
        <w:tc>
          <w:tcPr>
            <w:tcW w:w="2228" w:type="dxa"/>
            <w:shd w:val="clear" w:color="auto" w:fill="auto"/>
          </w:tcPr>
          <w:p w14:paraId="32DDC30C"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17.1 Strengthen domestic resource mobilization to improve domestic capacity for tax and other revenue collection</w:t>
            </w:r>
          </w:p>
        </w:tc>
        <w:tc>
          <w:tcPr>
            <w:tcW w:w="2184" w:type="dxa"/>
            <w:shd w:val="clear" w:color="auto" w:fill="auto"/>
          </w:tcPr>
          <w:p w14:paraId="00906BAB"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17.1.1 Total government revenue as a proportion of GDP, by source</w:t>
            </w:r>
          </w:p>
        </w:tc>
        <w:tc>
          <w:tcPr>
            <w:tcW w:w="1952" w:type="dxa"/>
            <w:shd w:val="clear" w:color="auto" w:fill="auto"/>
          </w:tcPr>
          <w:p w14:paraId="3F7F3D76"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(13) Taxes on production</w:t>
            </w:r>
          </w:p>
        </w:tc>
        <w:tc>
          <w:tcPr>
            <w:tcW w:w="1365" w:type="dxa"/>
          </w:tcPr>
          <w:p w14:paraId="0F65B682" w14:textId="77777777" w:rsidR="00026385" w:rsidRPr="001F04FB" w:rsidRDefault="00026385" w:rsidP="004958EC">
            <w:pPr>
              <w:spacing w:line="288" w:lineRule="auto"/>
              <w:jc w:val="left"/>
              <w:rPr>
                <w:rFonts w:ascii="Calibri" w:hAnsi="Calibri" w:cs="Calibri"/>
                <w:sz w:val="22"/>
              </w:rPr>
            </w:pPr>
            <w:r w:rsidRPr="001F04FB">
              <w:rPr>
                <w:rFonts w:ascii="Calibri" w:hAnsi="Calibri" w:cs="Calibri"/>
                <w:sz w:val="22"/>
              </w:rPr>
              <w:t>Economy</w:t>
            </w:r>
          </w:p>
        </w:tc>
      </w:tr>
    </w:tbl>
    <w:p w14:paraId="333CFA34" w14:textId="77777777" w:rsidR="00026385" w:rsidRPr="001F04FB" w:rsidRDefault="00026385" w:rsidP="00026385">
      <w:pPr>
        <w:spacing w:line="288" w:lineRule="auto"/>
        <w:rPr>
          <w:rFonts w:ascii="Calibri" w:hAnsi="Calibri" w:cs="Calibri"/>
          <w:sz w:val="22"/>
        </w:rPr>
      </w:pPr>
      <w:r w:rsidRPr="001F04FB">
        <w:rPr>
          <w:rFonts w:ascii="Calibri" w:hAnsi="Calibri" w:cs="Calibri"/>
          <w:sz w:val="22"/>
        </w:rPr>
        <w:t xml:space="preserve">Note: </w:t>
      </w:r>
      <w:r w:rsidRPr="001F04FB">
        <w:rPr>
          <w:rFonts w:ascii="Calibri" w:hAnsi="Calibri" w:cs="Calibri"/>
          <w:sz w:val="22"/>
          <w:vertAlign w:val="superscript"/>
        </w:rPr>
        <w:t>1</w:t>
      </w:r>
      <w:r w:rsidRPr="001F04FB">
        <w:rPr>
          <w:rFonts w:ascii="Calibri" w:hAnsi="Calibri" w:cs="Calibri"/>
          <w:sz w:val="22"/>
        </w:rPr>
        <w:t xml:space="preserve"> “Sub-target” refers to UNSD (2017).</w:t>
      </w:r>
    </w:p>
    <w:p w14:paraId="45577262" w14:textId="77777777" w:rsidR="00026385" w:rsidRPr="001F04FB" w:rsidRDefault="00026385" w:rsidP="00026385">
      <w:pPr>
        <w:spacing w:line="288" w:lineRule="auto"/>
        <w:rPr>
          <w:rFonts w:ascii="Calibri" w:hAnsi="Calibri" w:cs="Calibri"/>
          <w:sz w:val="22"/>
        </w:rPr>
      </w:pPr>
      <w:r w:rsidRPr="001F04FB">
        <w:rPr>
          <w:rFonts w:ascii="Calibri" w:hAnsi="Calibri" w:cs="Calibri"/>
          <w:sz w:val="22"/>
          <w:vertAlign w:val="superscript"/>
        </w:rPr>
        <w:t>2</w:t>
      </w:r>
      <w:r w:rsidRPr="001F04FB">
        <w:rPr>
          <w:rFonts w:ascii="Calibri" w:hAnsi="Calibri" w:cs="Calibri"/>
          <w:sz w:val="22"/>
        </w:rPr>
        <w:t xml:space="preserve"> Indicator “water pollution” is a proxy for both target 6.3 and target 14.1.</w:t>
      </w:r>
    </w:p>
    <w:p w14:paraId="7295900C" w14:textId="4175B423" w:rsidR="00026385" w:rsidRPr="001F04FB" w:rsidRDefault="00026385" w:rsidP="00026385">
      <w:pPr>
        <w:spacing w:line="288" w:lineRule="auto"/>
        <w:rPr>
          <w:rFonts w:ascii="Calibri" w:hAnsi="Calibri" w:cs="Calibri"/>
          <w:sz w:val="22"/>
        </w:rPr>
      </w:pPr>
      <w:r w:rsidRPr="001F04FB">
        <w:rPr>
          <w:rFonts w:ascii="Calibri" w:hAnsi="Calibri" w:cs="Calibri"/>
          <w:sz w:val="22"/>
          <w:vertAlign w:val="superscript"/>
        </w:rPr>
        <w:t>3</w:t>
      </w:r>
      <w:r w:rsidRPr="001F04FB">
        <w:rPr>
          <w:rFonts w:ascii="Calibri" w:hAnsi="Calibri" w:cs="Calibri"/>
          <w:sz w:val="22"/>
        </w:rPr>
        <w:t xml:space="preserve"> Indicator “mineral resource use” is a proxy for both target 8.4 and target 12.2.</w:t>
      </w:r>
    </w:p>
    <w:p w14:paraId="3C1AFB7B" w14:textId="77777777" w:rsidR="00342A94" w:rsidRPr="001F04FB" w:rsidRDefault="00342A94" w:rsidP="00342A94">
      <w:pPr>
        <w:spacing w:line="288" w:lineRule="auto"/>
        <w:rPr>
          <w:rFonts w:ascii="Calibri" w:hAnsi="Calibri" w:cs="Calibri"/>
          <w:sz w:val="22"/>
        </w:rPr>
      </w:pPr>
    </w:p>
    <w:p w14:paraId="58EEE946" w14:textId="3FB9205A" w:rsidR="00342A94" w:rsidRPr="001F04FB" w:rsidRDefault="00342A94" w:rsidP="00342A94">
      <w:pPr>
        <w:spacing w:line="288" w:lineRule="auto"/>
        <w:rPr>
          <w:rFonts w:ascii="Calibri" w:hAnsi="Calibri" w:cs="Calibri"/>
          <w:sz w:val="22"/>
        </w:rPr>
      </w:pPr>
      <w:r w:rsidRPr="001F04FB">
        <w:rPr>
          <w:rFonts w:ascii="Calibri" w:hAnsi="Calibri" w:cs="Calibri"/>
          <w:noProof/>
          <w:sz w:val="22"/>
        </w:rPr>
        <w:lastRenderedPageBreak/>
        <w:drawing>
          <wp:inline distT="0" distB="0" distL="0" distR="0" wp14:anchorId="66961844" wp14:editId="272DCE62">
            <wp:extent cx="3128716" cy="19685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030" t="22009" r="53440" b="31507"/>
                    <a:stretch/>
                  </pic:blipFill>
                  <pic:spPr bwMode="auto">
                    <a:xfrm>
                      <a:off x="0" y="0"/>
                      <a:ext cx="3136192" cy="1973204"/>
                    </a:xfrm>
                    <a:prstGeom prst="rect">
                      <a:avLst/>
                    </a:prstGeom>
                    <a:noFill/>
                    <a:ln>
                      <a:noFill/>
                    </a:ln>
                    <a:extLst>
                      <a:ext uri="{53640926-AAD7-44D8-BBD7-CCE9431645EC}">
                        <a14:shadowObscured xmlns:a14="http://schemas.microsoft.com/office/drawing/2010/main"/>
                      </a:ext>
                    </a:extLst>
                  </pic:spPr>
                </pic:pic>
              </a:graphicData>
            </a:graphic>
          </wp:inline>
        </w:drawing>
      </w:r>
    </w:p>
    <w:p w14:paraId="607813B8" w14:textId="64CC083C" w:rsidR="00342A94" w:rsidRPr="001F04FB" w:rsidRDefault="00342A94" w:rsidP="00342A94">
      <w:pPr>
        <w:spacing w:line="288" w:lineRule="auto"/>
        <w:rPr>
          <w:rFonts w:ascii="Calibri" w:hAnsi="Calibri" w:cs="Calibri"/>
          <w:sz w:val="22"/>
        </w:rPr>
      </w:pPr>
      <w:r w:rsidRPr="001F04FB">
        <w:rPr>
          <w:rFonts w:ascii="Calibri" w:hAnsi="Calibri" w:cs="Calibri"/>
          <w:b/>
          <w:bCs/>
          <w:sz w:val="22"/>
        </w:rPr>
        <w:t>Figure S1</w:t>
      </w:r>
      <w:r w:rsidRPr="001F04FB">
        <w:rPr>
          <w:rFonts w:ascii="Calibri" w:hAnsi="Calibri" w:cs="Calibri"/>
          <w:sz w:val="22"/>
        </w:rPr>
        <w:t xml:space="preserve"> Coupling versus decoupling impacts of structural change in global trade. The horizontal axis represents percentage change in value added and the y-axis represents percentage change in indicator in a single time period. The red line represents the boundary between coupling and decoupling, where data points below the red line refer to decoupling, while data points above show coupling.</w:t>
      </w:r>
    </w:p>
    <w:p w14:paraId="26C82091" w14:textId="7255606B" w:rsidR="00342A94" w:rsidRDefault="001F04FB" w:rsidP="001E2ED5">
      <w:pPr>
        <w:widowControl/>
        <w:jc w:val="left"/>
        <w:rPr>
          <w:rFonts w:ascii="Calibri" w:hAnsi="Calibri" w:cs="Calibri"/>
          <w:sz w:val="22"/>
        </w:rPr>
      </w:pPr>
      <w:r>
        <w:rPr>
          <w:rFonts w:ascii="Calibri" w:hAnsi="Calibri" w:cs="Calibri"/>
          <w:sz w:val="22"/>
        </w:rPr>
        <w:br w:type="page"/>
      </w:r>
    </w:p>
    <w:p w14:paraId="431055D4" w14:textId="0ABC0E2C" w:rsidR="0087103D" w:rsidRDefault="0087103D" w:rsidP="00342A94">
      <w:pPr>
        <w:spacing w:line="288" w:lineRule="auto"/>
        <w:rPr>
          <w:rFonts w:ascii="Calibri" w:hAnsi="Calibri" w:cs="Calibri"/>
          <w:sz w:val="22"/>
        </w:rPr>
      </w:pPr>
      <w:r>
        <w:rPr>
          <w:noProof/>
        </w:rPr>
        <w:lastRenderedPageBreak/>
        <w:drawing>
          <wp:inline distT="0" distB="0" distL="0" distR="0" wp14:anchorId="1AB9AF31" wp14:editId="25EC605D">
            <wp:extent cx="3740150" cy="7595598"/>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3245"/>
                    <a:stretch/>
                  </pic:blipFill>
                  <pic:spPr bwMode="auto">
                    <a:xfrm>
                      <a:off x="0" y="0"/>
                      <a:ext cx="3741051" cy="7597427"/>
                    </a:xfrm>
                    <a:prstGeom prst="rect">
                      <a:avLst/>
                    </a:prstGeom>
                    <a:noFill/>
                    <a:ln>
                      <a:noFill/>
                    </a:ln>
                    <a:extLst>
                      <a:ext uri="{53640926-AAD7-44D8-BBD7-CCE9431645EC}">
                        <a14:shadowObscured xmlns:a14="http://schemas.microsoft.com/office/drawing/2010/main"/>
                      </a:ext>
                    </a:extLst>
                  </pic:spPr>
                </pic:pic>
              </a:graphicData>
            </a:graphic>
          </wp:inline>
        </w:drawing>
      </w:r>
    </w:p>
    <w:p w14:paraId="7BECC79D" w14:textId="5D2EAA5B" w:rsidR="00524618" w:rsidRDefault="00987600" w:rsidP="00987600">
      <w:pPr>
        <w:spacing w:afterLines="50" w:after="156" w:line="360" w:lineRule="auto"/>
        <w:rPr>
          <w:rFonts w:ascii="Calibri" w:hAnsi="Calibri" w:cs="Calibri"/>
          <w:sz w:val="24"/>
          <w:szCs w:val="24"/>
        </w:rPr>
      </w:pPr>
      <w:r w:rsidRPr="00764D29">
        <w:rPr>
          <w:rFonts w:ascii="Calibri" w:hAnsi="Calibri" w:cs="Calibri"/>
          <w:b/>
          <w:bCs/>
          <w:sz w:val="24"/>
          <w:szCs w:val="24"/>
        </w:rPr>
        <w:t xml:space="preserve">Figure </w:t>
      </w:r>
      <w:r>
        <w:rPr>
          <w:rFonts w:ascii="Calibri" w:hAnsi="Calibri" w:cs="Calibri"/>
          <w:b/>
          <w:bCs/>
          <w:sz w:val="24"/>
          <w:szCs w:val="24"/>
        </w:rPr>
        <w:t>S2</w:t>
      </w:r>
      <w:r w:rsidRPr="00764D29">
        <w:rPr>
          <w:rFonts w:ascii="Calibri" w:hAnsi="Calibri" w:cs="Calibri"/>
          <w:sz w:val="24"/>
          <w:szCs w:val="24"/>
        </w:rPr>
        <w:t xml:space="preserve"> Coupling versus decoupling effects of global trade for each resource and environmental SDG indicators and countries. The horizontal axis represents number of countries at different income levels and the y-axis represents indicators and time periods. </w:t>
      </w:r>
    </w:p>
    <w:p w14:paraId="2D32A242" w14:textId="5821B6DA" w:rsidR="00524618" w:rsidRDefault="00524618" w:rsidP="00987600">
      <w:pPr>
        <w:spacing w:afterLines="50" w:after="156" w:line="360" w:lineRule="auto"/>
        <w:rPr>
          <w:rFonts w:ascii="Calibri" w:hAnsi="Calibri" w:cs="Calibri"/>
          <w:sz w:val="24"/>
          <w:szCs w:val="24"/>
        </w:rPr>
      </w:pPr>
      <w:r>
        <w:rPr>
          <w:rFonts w:ascii="Calibri" w:hAnsi="Calibri" w:cs="Calibri"/>
          <w:noProof/>
          <w:sz w:val="24"/>
          <w:szCs w:val="24"/>
        </w:rPr>
        <w:lastRenderedPageBreak/>
        <w:drawing>
          <wp:inline distT="0" distB="0" distL="0" distR="0" wp14:anchorId="48AD3641" wp14:editId="5B9AAE68">
            <wp:extent cx="6154902" cy="18510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72" r="1953" b="68958"/>
                    <a:stretch/>
                  </pic:blipFill>
                  <pic:spPr bwMode="auto">
                    <a:xfrm>
                      <a:off x="0" y="0"/>
                      <a:ext cx="6157650" cy="1851851"/>
                    </a:xfrm>
                    <a:prstGeom prst="rect">
                      <a:avLst/>
                    </a:prstGeom>
                    <a:noFill/>
                    <a:ln>
                      <a:noFill/>
                    </a:ln>
                    <a:extLst>
                      <a:ext uri="{53640926-AAD7-44D8-BBD7-CCE9431645EC}">
                        <a14:shadowObscured xmlns:a14="http://schemas.microsoft.com/office/drawing/2010/main"/>
                      </a:ext>
                    </a:extLst>
                  </pic:spPr>
                </pic:pic>
              </a:graphicData>
            </a:graphic>
          </wp:inline>
        </w:drawing>
      </w:r>
    </w:p>
    <w:p w14:paraId="2070B8B1" w14:textId="1040EE3A" w:rsidR="00524618" w:rsidRDefault="00524618" w:rsidP="00987600">
      <w:pPr>
        <w:spacing w:afterLines="50" w:after="156" w:line="360" w:lineRule="auto"/>
        <w:rPr>
          <w:rFonts w:ascii="Calibri" w:hAnsi="Calibri" w:cs="Calibri"/>
          <w:sz w:val="24"/>
          <w:szCs w:val="24"/>
        </w:rPr>
      </w:pPr>
      <w:r w:rsidRPr="0020488B">
        <w:rPr>
          <w:rFonts w:ascii="Calibri" w:hAnsi="Calibri" w:cs="Calibri" w:hint="eastAsia"/>
          <w:b/>
          <w:bCs/>
          <w:sz w:val="24"/>
          <w:szCs w:val="24"/>
        </w:rPr>
        <w:t>F</w:t>
      </w:r>
      <w:r w:rsidRPr="0020488B">
        <w:rPr>
          <w:rFonts w:ascii="Calibri" w:hAnsi="Calibri" w:cs="Calibri"/>
          <w:b/>
          <w:bCs/>
          <w:sz w:val="24"/>
          <w:szCs w:val="24"/>
        </w:rPr>
        <w:t>igure S3</w:t>
      </w:r>
      <w:r w:rsidR="0020488B" w:rsidRPr="0020488B">
        <w:rPr>
          <w:rFonts w:ascii="Calibri" w:hAnsi="Calibri" w:cs="Calibri"/>
          <w:sz w:val="22"/>
        </w:rPr>
        <w:t xml:space="preserve"> </w:t>
      </w:r>
      <w:r w:rsidR="0020488B" w:rsidRPr="00AD0382">
        <w:rPr>
          <w:rFonts w:ascii="Calibri" w:hAnsi="Calibri" w:cs="Calibri"/>
          <w:sz w:val="22"/>
        </w:rPr>
        <w:t xml:space="preserve">Coupling versus decoupling effects of structural change in global trade for each resource and environmental SDG indicators and </w:t>
      </w:r>
      <w:r w:rsidR="0020488B">
        <w:rPr>
          <w:rFonts w:ascii="Calibri" w:hAnsi="Calibri" w:cs="Calibri"/>
          <w:sz w:val="22"/>
        </w:rPr>
        <w:t>three high-income</w:t>
      </w:r>
      <w:r w:rsidR="0020488B" w:rsidRPr="00AD0382">
        <w:rPr>
          <w:rFonts w:ascii="Calibri" w:hAnsi="Calibri" w:cs="Calibri"/>
          <w:sz w:val="22"/>
        </w:rPr>
        <w:t xml:space="preserve"> </w:t>
      </w:r>
      <w:r w:rsidR="0020488B">
        <w:rPr>
          <w:rFonts w:ascii="Calibri" w:hAnsi="Calibri" w:cs="Calibri"/>
          <w:sz w:val="22"/>
        </w:rPr>
        <w:t>countries</w:t>
      </w:r>
      <w:r w:rsidR="0020488B" w:rsidRPr="00AD0382">
        <w:rPr>
          <w:rFonts w:ascii="Calibri" w:hAnsi="Calibri" w:cs="Calibri"/>
          <w:sz w:val="22"/>
        </w:rPr>
        <w:t xml:space="preserve">. </w:t>
      </w:r>
      <w:r w:rsidR="0020488B">
        <w:rPr>
          <w:rFonts w:ascii="Calibri" w:hAnsi="Calibri" w:cs="Calibri"/>
          <w:sz w:val="22"/>
        </w:rPr>
        <w:t xml:space="preserve">a) Impacts on Australia, b) impacts on Japan, c) impacts on Canada. </w:t>
      </w:r>
      <w:r w:rsidR="0020488B" w:rsidRPr="00AD0382">
        <w:rPr>
          <w:rFonts w:ascii="Calibri" w:hAnsi="Calibri" w:cs="Calibri"/>
          <w:sz w:val="22"/>
        </w:rPr>
        <w:t>The horizontal axis represents percentage change in value added and the y-axis represents percentage change in indicator. Triangles, rhombus, and circles refer to effects driven by structural change in trade during 2004-2007, 2007-2011, and 2011-2014, respectively. The red line indicates percentage change in value added equals the percentage change in an SDG indicator and represents the boundary between coupling and decoupling. Considering social and economic SDG indicators were not sensitive to structural change in global trade based on the previous analysis, only nine environment and resource related SDG indicators are included in this figure.</w:t>
      </w:r>
    </w:p>
    <w:p w14:paraId="7151C4E1" w14:textId="01BA66FB" w:rsidR="00524618" w:rsidRDefault="00524618" w:rsidP="00987600">
      <w:pPr>
        <w:spacing w:afterLines="50" w:after="156" w:line="360" w:lineRule="auto"/>
        <w:rPr>
          <w:rFonts w:ascii="Calibri" w:hAnsi="Calibri" w:cs="Calibri"/>
          <w:sz w:val="24"/>
          <w:szCs w:val="24"/>
        </w:rPr>
      </w:pPr>
    </w:p>
    <w:p w14:paraId="670D688C" w14:textId="12CDBD14" w:rsidR="00524618" w:rsidRDefault="009B14C0" w:rsidP="00987600">
      <w:pPr>
        <w:spacing w:afterLines="50" w:after="156" w:line="360" w:lineRule="auto"/>
        <w:rPr>
          <w:rFonts w:ascii="Calibri" w:hAnsi="Calibri" w:cs="Calibri"/>
          <w:sz w:val="24"/>
          <w:szCs w:val="24"/>
        </w:rPr>
      </w:pPr>
      <w:r>
        <w:rPr>
          <w:rFonts w:ascii="Calibri" w:hAnsi="Calibri" w:cs="Calibri"/>
          <w:noProof/>
          <w:sz w:val="24"/>
          <w:szCs w:val="24"/>
        </w:rPr>
        <w:drawing>
          <wp:inline distT="0" distB="0" distL="0" distR="0" wp14:anchorId="31D531B5" wp14:editId="700534F6">
            <wp:extent cx="6214745" cy="1860507"/>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720" r="1388" b="68904"/>
                    <a:stretch/>
                  </pic:blipFill>
                  <pic:spPr bwMode="auto">
                    <a:xfrm>
                      <a:off x="0" y="0"/>
                      <a:ext cx="6222798" cy="1862918"/>
                    </a:xfrm>
                    <a:prstGeom prst="rect">
                      <a:avLst/>
                    </a:prstGeom>
                    <a:noFill/>
                    <a:ln>
                      <a:noFill/>
                    </a:ln>
                    <a:extLst>
                      <a:ext uri="{53640926-AAD7-44D8-BBD7-CCE9431645EC}">
                        <a14:shadowObscured xmlns:a14="http://schemas.microsoft.com/office/drawing/2010/main"/>
                      </a:ext>
                    </a:extLst>
                  </pic:spPr>
                </pic:pic>
              </a:graphicData>
            </a:graphic>
          </wp:inline>
        </w:drawing>
      </w:r>
    </w:p>
    <w:p w14:paraId="79DB578B" w14:textId="4EB0D55E" w:rsidR="009B14C0" w:rsidRPr="0020488B" w:rsidRDefault="009B14C0" w:rsidP="00987600">
      <w:pPr>
        <w:spacing w:afterLines="50" w:after="156" w:line="360" w:lineRule="auto"/>
        <w:rPr>
          <w:rFonts w:ascii="Calibri" w:hAnsi="Calibri" w:cs="Calibri"/>
          <w:sz w:val="24"/>
          <w:szCs w:val="24"/>
        </w:rPr>
      </w:pPr>
      <w:r w:rsidRPr="0020488B">
        <w:rPr>
          <w:rFonts w:ascii="Calibri" w:hAnsi="Calibri" w:cs="Calibri" w:hint="eastAsia"/>
          <w:b/>
          <w:bCs/>
          <w:sz w:val="24"/>
          <w:szCs w:val="24"/>
        </w:rPr>
        <w:t>F</w:t>
      </w:r>
      <w:r w:rsidRPr="0020488B">
        <w:rPr>
          <w:rFonts w:ascii="Calibri" w:hAnsi="Calibri" w:cs="Calibri"/>
          <w:b/>
          <w:bCs/>
          <w:sz w:val="24"/>
          <w:szCs w:val="24"/>
        </w:rPr>
        <w:t>igure S4</w:t>
      </w:r>
      <w:r w:rsidR="0020488B" w:rsidRPr="0020488B">
        <w:rPr>
          <w:rFonts w:ascii="Calibri" w:hAnsi="Calibri" w:cs="Calibri" w:hint="eastAsia"/>
          <w:b/>
          <w:bCs/>
          <w:sz w:val="24"/>
          <w:szCs w:val="24"/>
        </w:rPr>
        <w:t xml:space="preserve"> </w:t>
      </w:r>
      <w:r w:rsidR="0020488B" w:rsidRPr="00AD0382">
        <w:rPr>
          <w:rFonts w:ascii="Calibri" w:hAnsi="Calibri" w:cs="Calibri"/>
          <w:sz w:val="22"/>
        </w:rPr>
        <w:t xml:space="preserve">Coupling versus decoupling effects of structural change in global trade for each resource and environmental SDG indicators and </w:t>
      </w:r>
      <w:r w:rsidR="0020488B">
        <w:rPr>
          <w:rFonts w:ascii="Calibri" w:hAnsi="Calibri" w:cs="Calibri"/>
          <w:sz w:val="22"/>
        </w:rPr>
        <w:t xml:space="preserve">three </w:t>
      </w:r>
      <w:r w:rsidR="004611CB">
        <w:rPr>
          <w:rFonts w:ascii="Calibri" w:hAnsi="Calibri" w:cs="Calibri"/>
          <w:sz w:val="22"/>
        </w:rPr>
        <w:t>upper-middle</w:t>
      </w:r>
      <w:r w:rsidR="0020488B">
        <w:rPr>
          <w:rFonts w:ascii="Calibri" w:hAnsi="Calibri" w:cs="Calibri"/>
          <w:sz w:val="22"/>
        </w:rPr>
        <w:t>-income</w:t>
      </w:r>
      <w:r w:rsidR="0020488B" w:rsidRPr="00AD0382">
        <w:rPr>
          <w:rFonts w:ascii="Calibri" w:hAnsi="Calibri" w:cs="Calibri"/>
          <w:sz w:val="22"/>
        </w:rPr>
        <w:t xml:space="preserve"> </w:t>
      </w:r>
      <w:r w:rsidR="0020488B">
        <w:rPr>
          <w:rFonts w:ascii="Calibri" w:hAnsi="Calibri" w:cs="Calibri"/>
          <w:sz w:val="22"/>
        </w:rPr>
        <w:t>countries</w:t>
      </w:r>
      <w:r w:rsidR="0020488B" w:rsidRPr="00AD0382">
        <w:rPr>
          <w:rFonts w:ascii="Calibri" w:hAnsi="Calibri" w:cs="Calibri"/>
          <w:sz w:val="22"/>
        </w:rPr>
        <w:t xml:space="preserve">. </w:t>
      </w:r>
      <w:r w:rsidR="0020488B">
        <w:rPr>
          <w:rFonts w:ascii="Calibri" w:hAnsi="Calibri" w:cs="Calibri"/>
          <w:sz w:val="22"/>
        </w:rPr>
        <w:t xml:space="preserve">a) Impacts on </w:t>
      </w:r>
      <w:r w:rsidR="004611CB">
        <w:rPr>
          <w:rFonts w:ascii="Calibri" w:hAnsi="Calibri" w:cs="Calibri"/>
          <w:sz w:val="22"/>
        </w:rPr>
        <w:t>Malaysia</w:t>
      </w:r>
      <w:r w:rsidR="0020488B">
        <w:rPr>
          <w:rFonts w:ascii="Calibri" w:hAnsi="Calibri" w:cs="Calibri"/>
          <w:sz w:val="22"/>
        </w:rPr>
        <w:t xml:space="preserve">, b) impacts on </w:t>
      </w:r>
      <w:r w:rsidR="004611CB">
        <w:rPr>
          <w:rFonts w:ascii="Calibri" w:hAnsi="Calibri" w:cs="Calibri"/>
          <w:sz w:val="22"/>
        </w:rPr>
        <w:t>Mexico</w:t>
      </w:r>
      <w:r w:rsidR="0020488B">
        <w:rPr>
          <w:rFonts w:ascii="Calibri" w:hAnsi="Calibri" w:cs="Calibri"/>
          <w:sz w:val="22"/>
        </w:rPr>
        <w:t xml:space="preserve">, c) impacts on </w:t>
      </w:r>
      <w:r w:rsidR="004611CB">
        <w:rPr>
          <w:rFonts w:ascii="Calibri" w:hAnsi="Calibri" w:cs="Calibri"/>
          <w:sz w:val="22"/>
        </w:rPr>
        <w:t>Turkey</w:t>
      </w:r>
      <w:r w:rsidR="0020488B">
        <w:rPr>
          <w:rFonts w:ascii="Calibri" w:hAnsi="Calibri" w:cs="Calibri"/>
          <w:sz w:val="22"/>
        </w:rPr>
        <w:t xml:space="preserve">. </w:t>
      </w:r>
      <w:r w:rsidR="0020488B" w:rsidRPr="00AD0382">
        <w:rPr>
          <w:rFonts w:ascii="Calibri" w:hAnsi="Calibri" w:cs="Calibri"/>
          <w:sz w:val="22"/>
        </w:rPr>
        <w:t xml:space="preserve">The horizontal axis represents percentage change in value added and the y-axis represents percentage change in indicator. Triangles, rhombus, and circles refer to effects driven by structural change in trade during 2004-2007, 2007-2011, and 2011-2014, respectively. The red line indicates </w:t>
      </w:r>
      <w:r w:rsidR="0020488B" w:rsidRPr="00AD0382">
        <w:rPr>
          <w:rFonts w:ascii="Calibri" w:hAnsi="Calibri" w:cs="Calibri"/>
          <w:sz w:val="22"/>
        </w:rPr>
        <w:lastRenderedPageBreak/>
        <w:t>percentage change in value added equals the percentage change in an SDG indicator and represents the boundary between coupling and decoupling. Considering social and economic SDG indicators were not sensitive to structural change in global trade based on the previous analysis, only nine environment and resource related SDG indicators are included in this figure.</w:t>
      </w:r>
    </w:p>
    <w:p w14:paraId="760AD1D9" w14:textId="18217290" w:rsidR="009B14C0" w:rsidRDefault="009B14C0" w:rsidP="00987600">
      <w:pPr>
        <w:spacing w:afterLines="50" w:after="156" w:line="360" w:lineRule="auto"/>
        <w:rPr>
          <w:rFonts w:ascii="Calibri" w:hAnsi="Calibri" w:cs="Calibri"/>
          <w:sz w:val="24"/>
          <w:szCs w:val="24"/>
        </w:rPr>
      </w:pPr>
    </w:p>
    <w:p w14:paraId="5634B42F" w14:textId="1745BD80" w:rsidR="009B14C0" w:rsidRDefault="00F2136C" w:rsidP="00987600">
      <w:pPr>
        <w:spacing w:afterLines="50" w:after="156" w:line="360" w:lineRule="auto"/>
        <w:rPr>
          <w:rFonts w:ascii="Calibri" w:hAnsi="Calibri" w:cs="Calibri"/>
          <w:sz w:val="24"/>
          <w:szCs w:val="24"/>
        </w:rPr>
      </w:pPr>
      <w:r>
        <w:rPr>
          <w:rFonts w:ascii="Calibri" w:hAnsi="Calibri" w:cs="Calibri"/>
          <w:noProof/>
          <w:sz w:val="24"/>
          <w:szCs w:val="24"/>
        </w:rPr>
        <w:drawing>
          <wp:inline distT="0" distB="0" distL="0" distR="0" wp14:anchorId="3860E16D" wp14:editId="1C522AEE">
            <wp:extent cx="6111791" cy="1835150"/>
            <wp:effectExtent l="0" t="0" r="381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668" r="1903" b="68958"/>
                    <a:stretch/>
                  </pic:blipFill>
                  <pic:spPr bwMode="auto">
                    <a:xfrm>
                      <a:off x="0" y="0"/>
                      <a:ext cx="6112893" cy="1835481"/>
                    </a:xfrm>
                    <a:prstGeom prst="rect">
                      <a:avLst/>
                    </a:prstGeom>
                    <a:noFill/>
                    <a:ln>
                      <a:noFill/>
                    </a:ln>
                    <a:extLst>
                      <a:ext uri="{53640926-AAD7-44D8-BBD7-CCE9431645EC}">
                        <a14:shadowObscured xmlns:a14="http://schemas.microsoft.com/office/drawing/2010/main"/>
                      </a:ext>
                    </a:extLst>
                  </pic:spPr>
                </pic:pic>
              </a:graphicData>
            </a:graphic>
          </wp:inline>
        </w:drawing>
      </w:r>
    </w:p>
    <w:p w14:paraId="70F65122" w14:textId="2E375727" w:rsidR="004611CB" w:rsidRDefault="00F2136C" w:rsidP="004611CB">
      <w:pPr>
        <w:spacing w:afterLines="50" w:after="156" w:line="360" w:lineRule="auto"/>
        <w:rPr>
          <w:rFonts w:ascii="Calibri" w:hAnsi="Calibri" w:cs="Calibri"/>
          <w:sz w:val="24"/>
          <w:szCs w:val="24"/>
        </w:rPr>
      </w:pPr>
      <w:r w:rsidRPr="004611CB">
        <w:rPr>
          <w:rFonts w:ascii="Calibri" w:hAnsi="Calibri" w:cs="Calibri"/>
          <w:b/>
          <w:bCs/>
          <w:sz w:val="24"/>
          <w:szCs w:val="24"/>
        </w:rPr>
        <w:t>Figure S5</w:t>
      </w:r>
      <w:r w:rsidR="004611CB" w:rsidRPr="004611CB">
        <w:rPr>
          <w:rFonts w:ascii="Calibri" w:hAnsi="Calibri" w:cs="Calibri" w:hint="eastAsia"/>
          <w:b/>
          <w:bCs/>
          <w:sz w:val="24"/>
          <w:szCs w:val="24"/>
        </w:rPr>
        <w:t xml:space="preserve"> </w:t>
      </w:r>
      <w:r w:rsidR="004611CB" w:rsidRPr="00AD0382">
        <w:rPr>
          <w:rFonts w:ascii="Calibri" w:hAnsi="Calibri" w:cs="Calibri"/>
          <w:sz w:val="22"/>
        </w:rPr>
        <w:t xml:space="preserve">Coupling versus decoupling effects of structural change in global trade for each resource and environmental SDG indicators and </w:t>
      </w:r>
      <w:r w:rsidR="004611CB">
        <w:rPr>
          <w:rFonts w:ascii="Calibri" w:hAnsi="Calibri" w:cs="Calibri"/>
          <w:sz w:val="22"/>
        </w:rPr>
        <w:t>three lower-middle-income</w:t>
      </w:r>
      <w:r w:rsidR="004611CB" w:rsidRPr="00AD0382">
        <w:rPr>
          <w:rFonts w:ascii="Calibri" w:hAnsi="Calibri" w:cs="Calibri"/>
          <w:sz w:val="22"/>
        </w:rPr>
        <w:t xml:space="preserve"> </w:t>
      </w:r>
      <w:r w:rsidR="004611CB">
        <w:rPr>
          <w:rFonts w:ascii="Calibri" w:hAnsi="Calibri" w:cs="Calibri"/>
          <w:sz w:val="22"/>
        </w:rPr>
        <w:t>countries</w:t>
      </w:r>
      <w:r w:rsidR="004611CB" w:rsidRPr="00AD0382">
        <w:rPr>
          <w:rFonts w:ascii="Calibri" w:hAnsi="Calibri" w:cs="Calibri"/>
          <w:sz w:val="22"/>
        </w:rPr>
        <w:t xml:space="preserve">. </w:t>
      </w:r>
      <w:r w:rsidR="004611CB">
        <w:rPr>
          <w:rFonts w:ascii="Calibri" w:hAnsi="Calibri" w:cs="Calibri"/>
          <w:sz w:val="22"/>
        </w:rPr>
        <w:t xml:space="preserve">a) Impacts on Indonesia, b) impacts on Ukraine, c) impacts on Egypt. </w:t>
      </w:r>
      <w:r w:rsidR="004611CB" w:rsidRPr="00AD0382">
        <w:rPr>
          <w:rFonts w:ascii="Calibri" w:hAnsi="Calibri" w:cs="Calibri"/>
          <w:sz w:val="22"/>
        </w:rPr>
        <w:t>The horizontal axis represents percentage change in value added and the y-axis represents percentage change in indicator. Triangles, rhombus, and circles refer to effects driven by structural change in trade during 2004-2007, 2007-2011, and 2011-2014, respectively. The red line indicates percentage change in value added equals the percentage change in an SDG indicator and represents the boundary between coupling and decoupling. Considering social and economic SDG indicators were not sensitive to structural change in global trade based on the previous analysis, only nine environment and resource related SDG indicators are included in this figure.</w:t>
      </w:r>
    </w:p>
    <w:p w14:paraId="20F58271" w14:textId="0599FAE0" w:rsidR="00F2136C" w:rsidRDefault="00F2136C" w:rsidP="00987600">
      <w:pPr>
        <w:spacing w:afterLines="50" w:after="156" w:line="360" w:lineRule="auto"/>
        <w:rPr>
          <w:rFonts w:ascii="Calibri" w:hAnsi="Calibri" w:cs="Calibri"/>
          <w:sz w:val="24"/>
          <w:szCs w:val="24"/>
        </w:rPr>
      </w:pPr>
    </w:p>
    <w:p w14:paraId="7F3A2456" w14:textId="690CE0C4" w:rsidR="00F2136C" w:rsidRDefault="00F2136C" w:rsidP="00987600">
      <w:pPr>
        <w:spacing w:afterLines="50" w:after="156" w:line="360" w:lineRule="auto"/>
        <w:rPr>
          <w:rFonts w:ascii="Calibri" w:hAnsi="Calibri" w:cs="Calibri"/>
          <w:sz w:val="24"/>
          <w:szCs w:val="24"/>
        </w:rPr>
      </w:pPr>
      <w:r>
        <w:rPr>
          <w:rFonts w:ascii="Calibri" w:hAnsi="Calibri" w:cs="Calibri"/>
          <w:noProof/>
          <w:sz w:val="24"/>
          <w:szCs w:val="24"/>
        </w:rPr>
        <w:lastRenderedPageBreak/>
        <w:drawing>
          <wp:inline distT="0" distB="0" distL="0" distR="0" wp14:anchorId="1BD9CED3" wp14:editId="5426A175">
            <wp:extent cx="6167945" cy="1879600"/>
            <wp:effectExtent l="0" t="0" r="444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772" r="1542" b="68412"/>
                    <a:stretch/>
                  </pic:blipFill>
                  <pic:spPr bwMode="auto">
                    <a:xfrm>
                      <a:off x="0" y="0"/>
                      <a:ext cx="6179987" cy="1883270"/>
                    </a:xfrm>
                    <a:prstGeom prst="rect">
                      <a:avLst/>
                    </a:prstGeom>
                    <a:noFill/>
                    <a:ln>
                      <a:noFill/>
                    </a:ln>
                    <a:extLst>
                      <a:ext uri="{53640926-AAD7-44D8-BBD7-CCE9431645EC}">
                        <a14:shadowObscured xmlns:a14="http://schemas.microsoft.com/office/drawing/2010/main"/>
                      </a:ext>
                    </a:extLst>
                  </pic:spPr>
                </pic:pic>
              </a:graphicData>
            </a:graphic>
          </wp:inline>
        </w:drawing>
      </w:r>
    </w:p>
    <w:p w14:paraId="1C174A76" w14:textId="1EDA8A92" w:rsidR="004611CB" w:rsidRDefault="00F2136C" w:rsidP="004611CB">
      <w:pPr>
        <w:spacing w:afterLines="50" w:after="156" w:line="360" w:lineRule="auto"/>
        <w:rPr>
          <w:rFonts w:ascii="Calibri" w:hAnsi="Calibri" w:cs="Calibri"/>
          <w:sz w:val="24"/>
          <w:szCs w:val="24"/>
        </w:rPr>
      </w:pPr>
      <w:r w:rsidRPr="004611CB">
        <w:rPr>
          <w:rFonts w:ascii="Calibri" w:hAnsi="Calibri" w:cs="Calibri"/>
          <w:b/>
          <w:bCs/>
          <w:sz w:val="24"/>
          <w:szCs w:val="24"/>
        </w:rPr>
        <w:t>Figure S6</w:t>
      </w:r>
      <w:r>
        <w:rPr>
          <w:rFonts w:ascii="Calibri" w:hAnsi="Calibri" w:cs="Calibri"/>
          <w:sz w:val="24"/>
          <w:szCs w:val="24"/>
        </w:rPr>
        <w:t xml:space="preserve"> </w:t>
      </w:r>
      <w:r w:rsidR="004611CB" w:rsidRPr="00AD0382">
        <w:rPr>
          <w:rFonts w:ascii="Calibri" w:hAnsi="Calibri" w:cs="Calibri"/>
          <w:sz w:val="22"/>
        </w:rPr>
        <w:t xml:space="preserve">Coupling versus decoupling effects of structural change in global trade for each resource and environmental SDG indicators and </w:t>
      </w:r>
      <w:r w:rsidR="004611CB">
        <w:rPr>
          <w:rFonts w:ascii="Calibri" w:hAnsi="Calibri" w:cs="Calibri"/>
          <w:sz w:val="22"/>
        </w:rPr>
        <w:t>three low-income</w:t>
      </w:r>
      <w:r w:rsidR="004611CB" w:rsidRPr="00AD0382">
        <w:rPr>
          <w:rFonts w:ascii="Calibri" w:hAnsi="Calibri" w:cs="Calibri"/>
          <w:sz w:val="22"/>
        </w:rPr>
        <w:t xml:space="preserve"> </w:t>
      </w:r>
      <w:r w:rsidR="004611CB">
        <w:rPr>
          <w:rFonts w:ascii="Calibri" w:hAnsi="Calibri" w:cs="Calibri"/>
          <w:sz w:val="22"/>
        </w:rPr>
        <w:t>countries</w:t>
      </w:r>
      <w:r w:rsidR="004611CB" w:rsidRPr="00AD0382">
        <w:rPr>
          <w:rFonts w:ascii="Calibri" w:hAnsi="Calibri" w:cs="Calibri"/>
          <w:sz w:val="22"/>
        </w:rPr>
        <w:t xml:space="preserve">. </w:t>
      </w:r>
      <w:r w:rsidR="004611CB">
        <w:rPr>
          <w:rFonts w:ascii="Calibri" w:hAnsi="Calibri" w:cs="Calibri"/>
          <w:sz w:val="22"/>
        </w:rPr>
        <w:t xml:space="preserve">a) Impacts on Nepal, b) impacts on Uganda, c) impacts on Zimbabwe. </w:t>
      </w:r>
      <w:r w:rsidR="004611CB" w:rsidRPr="00AD0382">
        <w:rPr>
          <w:rFonts w:ascii="Calibri" w:hAnsi="Calibri" w:cs="Calibri"/>
          <w:sz w:val="22"/>
        </w:rPr>
        <w:t>The horizontal axis represents percentage change in value added and the y-axis represents percentage change in indicator. Triangles, rhombus, and circles refer to effects driven by structural change in trade during 2004-2007, 2007-2011, and 2011-2014, respectively. The red line indicates percentage change in value added equals the percentage change in an SDG indicator and represents the boundary between coupling and decoupling. Considering social and economic SDG indicators were not sensitive to structural change in global trade based on the previous analysis, only nine environment and resource related SDG indicators are included in this figure.</w:t>
      </w:r>
    </w:p>
    <w:p w14:paraId="2E17A22F" w14:textId="44905BCC" w:rsidR="00F2136C" w:rsidRPr="004611CB" w:rsidRDefault="00F2136C" w:rsidP="00987600">
      <w:pPr>
        <w:spacing w:afterLines="50" w:after="156" w:line="360" w:lineRule="auto"/>
        <w:rPr>
          <w:rFonts w:ascii="Calibri" w:hAnsi="Calibri" w:cs="Calibri"/>
          <w:sz w:val="24"/>
          <w:szCs w:val="24"/>
        </w:rPr>
      </w:pPr>
    </w:p>
    <w:p w14:paraId="679C5522" w14:textId="3504A7A8" w:rsidR="00F2136C" w:rsidRDefault="00F2136C">
      <w:pPr>
        <w:widowControl/>
        <w:jc w:val="left"/>
        <w:rPr>
          <w:rFonts w:ascii="Calibri" w:hAnsi="Calibri" w:cs="Calibri"/>
          <w:sz w:val="24"/>
          <w:szCs w:val="24"/>
        </w:rPr>
      </w:pPr>
      <w:r>
        <w:rPr>
          <w:rFonts w:ascii="Calibri" w:hAnsi="Calibri" w:cs="Calibri"/>
          <w:sz w:val="24"/>
          <w:szCs w:val="24"/>
        </w:rPr>
        <w:br w:type="page"/>
      </w:r>
    </w:p>
    <w:p w14:paraId="7C6B3024" w14:textId="4A430F85" w:rsidR="00E817FD" w:rsidRPr="001F04FB" w:rsidRDefault="00E817FD">
      <w:pPr>
        <w:rPr>
          <w:rFonts w:ascii="Calibri" w:hAnsi="Calibri" w:cs="Calibri"/>
          <w:b/>
          <w:bCs/>
          <w:sz w:val="22"/>
        </w:rPr>
      </w:pPr>
      <w:r w:rsidRPr="001F04FB">
        <w:rPr>
          <w:rFonts w:ascii="Calibri" w:hAnsi="Calibri" w:cs="Calibri"/>
          <w:b/>
          <w:bCs/>
          <w:sz w:val="22"/>
        </w:rPr>
        <w:lastRenderedPageBreak/>
        <w:t>Derivation process of the currency conversion</w:t>
      </w:r>
    </w:p>
    <w:p w14:paraId="465FB296" w14:textId="2EC359AC" w:rsidR="00E817FD" w:rsidRPr="001F04FB" w:rsidRDefault="00E817FD" w:rsidP="00E817FD">
      <w:pPr>
        <w:pStyle w:val="a5"/>
        <w:rPr>
          <w:rFonts w:ascii="Calibri" w:hAnsi="Calibri" w:cs="Calibri"/>
          <w:sz w:val="22"/>
        </w:rPr>
      </w:pPr>
      <w:r w:rsidRPr="001F04FB">
        <w:rPr>
          <w:rFonts w:ascii="Calibri" w:hAnsi="Calibri" w:cs="Calibri"/>
          <w:position w:val="-30"/>
          <w:sz w:val="22"/>
        </w:rPr>
        <w:object w:dxaOrig="5720" w:dyaOrig="680" w14:anchorId="6552AE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75pt;height:33.75pt" o:ole="">
            <v:imagedata r:id="rId13" o:title=""/>
          </v:shape>
          <o:OLEObject Type="Embed" ProgID="Equation.DSMT4" ShapeID="_x0000_i1025" DrawAspect="Content" ObjectID="_1688538987" r:id="rId14"/>
        </w:object>
      </w:r>
      <w:r w:rsidR="005321AE" w:rsidRPr="001F04FB">
        <w:rPr>
          <w:rFonts w:ascii="Calibri" w:hAnsi="Calibri" w:cs="Calibri"/>
          <w:sz w:val="22"/>
        </w:rPr>
        <w:t xml:space="preserve"> (1)</w:t>
      </w:r>
    </w:p>
    <w:p w14:paraId="1753EAD6" w14:textId="77777777" w:rsidR="005321AE" w:rsidRPr="001F04FB" w:rsidRDefault="005321AE" w:rsidP="00E817FD">
      <w:pPr>
        <w:pStyle w:val="a5"/>
        <w:rPr>
          <w:rFonts w:ascii="Calibri" w:hAnsi="Calibri" w:cs="Calibri"/>
          <w:sz w:val="22"/>
        </w:rPr>
      </w:pPr>
    </w:p>
    <w:p w14:paraId="6B0513C6" w14:textId="0964D4EF" w:rsidR="00E817FD" w:rsidRPr="001F04FB" w:rsidRDefault="00E817FD" w:rsidP="00E817FD">
      <w:pPr>
        <w:pStyle w:val="a5"/>
        <w:rPr>
          <w:rFonts w:ascii="Calibri" w:hAnsi="Calibri" w:cs="Calibri"/>
          <w:sz w:val="22"/>
        </w:rPr>
      </w:pPr>
      <w:r w:rsidRPr="001F04FB">
        <w:rPr>
          <w:rFonts w:ascii="Calibri" w:hAnsi="Calibri" w:cs="Calibri"/>
          <w:position w:val="-100"/>
          <w:sz w:val="22"/>
        </w:rPr>
        <w:object w:dxaOrig="7080" w:dyaOrig="1760" w14:anchorId="2FF3235E">
          <v:shape id="_x0000_i1026" type="#_x0000_t75" style="width:354pt;height:87.75pt" o:ole="">
            <v:imagedata r:id="rId15" o:title=""/>
          </v:shape>
          <o:OLEObject Type="Embed" ProgID="Equation.DSMT4" ShapeID="_x0000_i1026" DrawAspect="Content" ObjectID="_1688538988" r:id="rId16"/>
        </w:object>
      </w:r>
      <w:r w:rsidR="005321AE" w:rsidRPr="001F04FB">
        <w:rPr>
          <w:rFonts w:ascii="Calibri" w:hAnsi="Calibri" w:cs="Calibri"/>
          <w:sz w:val="22"/>
        </w:rPr>
        <w:t xml:space="preserve"> (2)</w:t>
      </w:r>
    </w:p>
    <w:p w14:paraId="7C498958" w14:textId="77777777" w:rsidR="005321AE" w:rsidRPr="001F04FB" w:rsidRDefault="005321AE" w:rsidP="00E817FD">
      <w:pPr>
        <w:pStyle w:val="a5"/>
        <w:rPr>
          <w:rFonts w:ascii="Calibri" w:hAnsi="Calibri" w:cs="Calibri"/>
          <w:sz w:val="22"/>
        </w:rPr>
      </w:pPr>
    </w:p>
    <w:p w14:paraId="3CD479F5" w14:textId="2C2701D6" w:rsidR="00E817FD" w:rsidRPr="001F04FB" w:rsidRDefault="00E817FD" w:rsidP="00E817FD">
      <w:pPr>
        <w:pStyle w:val="a5"/>
        <w:jc w:val="both"/>
        <w:rPr>
          <w:rFonts w:ascii="Calibri" w:hAnsi="Calibri" w:cs="Calibri"/>
          <w:sz w:val="22"/>
        </w:rPr>
      </w:pPr>
      <w:r w:rsidRPr="001F04FB">
        <w:rPr>
          <w:rFonts w:ascii="Calibri" w:hAnsi="Calibri" w:cs="Calibri"/>
          <w:position w:val="-100"/>
          <w:sz w:val="22"/>
        </w:rPr>
        <w:object w:dxaOrig="10540" w:dyaOrig="2100" w14:anchorId="1DA09262">
          <v:shape id="_x0000_i1027" type="#_x0000_t75" style="width:527.25pt;height:105pt" o:ole="">
            <v:imagedata r:id="rId17" o:title=""/>
          </v:shape>
          <o:OLEObject Type="Embed" ProgID="Equation.DSMT4" ShapeID="_x0000_i1027" DrawAspect="Content" ObjectID="_1688538989" r:id="rId18"/>
        </w:object>
      </w:r>
    </w:p>
    <w:p w14:paraId="3E577C8D" w14:textId="4A99F418" w:rsidR="00E817FD" w:rsidRPr="001F04FB" w:rsidRDefault="005321AE" w:rsidP="00CB3206">
      <w:pPr>
        <w:pStyle w:val="a5"/>
        <w:jc w:val="right"/>
        <w:rPr>
          <w:rFonts w:ascii="Calibri" w:hAnsi="Calibri" w:cs="Calibri"/>
          <w:sz w:val="22"/>
        </w:rPr>
      </w:pPr>
      <w:r w:rsidRPr="001F04FB">
        <w:rPr>
          <w:rFonts w:ascii="Calibri" w:hAnsi="Calibri" w:cs="Calibri"/>
          <w:sz w:val="22"/>
        </w:rPr>
        <w:t>(3)</w:t>
      </w:r>
    </w:p>
    <w:p w14:paraId="5A01F3CB" w14:textId="2BC4E39E" w:rsidR="005321AE" w:rsidRPr="001F04FB" w:rsidRDefault="005321AE" w:rsidP="007F7D14">
      <w:pPr>
        <w:pStyle w:val="a5"/>
        <w:spacing w:line="288" w:lineRule="auto"/>
        <w:jc w:val="both"/>
        <w:rPr>
          <w:rFonts w:ascii="Calibri" w:hAnsi="Calibri" w:cs="Calibri"/>
          <w:sz w:val="22"/>
        </w:rPr>
      </w:pPr>
      <w:r w:rsidRPr="001F04FB">
        <w:rPr>
          <w:rFonts w:ascii="Calibri" w:hAnsi="Calibri" w:cs="Calibri"/>
          <w:sz w:val="22"/>
        </w:rPr>
        <w:t>Symbols in the above three equations are interpreted as follows:</w:t>
      </w:r>
    </w:p>
    <w:p w14:paraId="595BCE81" w14:textId="106DD1CB" w:rsidR="00A27FEE" w:rsidRPr="001F04FB" w:rsidRDefault="00A27FEE" w:rsidP="007F7D14">
      <w:pPr>
        <w:pStyle w:val="a5"/>
        <w:spacing w:line="288" w:lineRule="auto"/>
        <w:jc w:val="both"/>
        <w:rPr>
          <w:rFonts w:ascii="Calibri" w:hAnsi="Calibri" w:cs="Calibri"/>
          <w:sz w:val="22"/>
        </w:rPr>
      </w:pPr>
      <w:r w:rsidRPr="001F04FB">
        <w:rPr>
          <w:rFonts w:ascii="Calibri" w:hAnsi="Calibri" w:cs="Calibri"/>
          <w:sz w:val="22"/>
        </w:rPr>
        <w:t>PI</w:t>
      </w:r>
      <w:r w:rsidR="00CB3206" w:rsidRPr="001F04FB">
        <w:rPr>
          <w:rFonts w:ascii="Calibri" w:hAnsi="Calibri" w:cs="Calibri"/>
          <w:sz w:val="22"/>
        </w:rPr>
        <w:t xml:space="preserve"> </w:t>
      </w:r>
      <w:r w:rsidRPr="001F04FB">
        <w:rPr>
          <w:rFonts w:ascii="Calibri" w:hAnsi="Calibri" w:cs="Calibri"/>
          <w:sz w:val="22"/>
        </w:rPr>
        <w:t>(t,</w:t>
      </w:r>
      <w:r w:rsidR="00CB3206" w:rsidRPr="001F04FB">
        <w:rPr>
          <w:rFonts w:ascii="Calibri" w:hAnsi="Calibri" w:cs="Calibri"/>
          <w:sz w:val="22"/>
        </w:rPr>
        <w:t xml:space="preserve"> </w:t>
      </w:r>
      <w:r w:rsidRPr="001F04FB">
        <w:rPr>
          <w:rFonts w:ascii="Calibri" w:hAnsi="Calibri" w:cs="Calibri"/>
          <w:sz w:val="22"/>
        </w:rPr>
        <w:t>t</w:t>
      </w:r>
      <w:r w:rsidR="000B25F0" w:rsidRPr="001F04FB">
        <w:rPr>
          <w:rFonts w:ascii="Calibri" w:hAnsi="Calibri" w:cs="Calibri"/>
          <w:sz w:val="22"/>
        </w:rPr>
        <w:t>-1</w:t>
      </w:r>
      <w:r w:rsidRPr="001F04FB">
        <w:rPr>
          <w:rFonts w:ascii="Calibri" w:hAnsi="Calibri" w:cs="Calibri"/>
          <w:sz w:val="22"/>
        </w:rPr>
        <w:t>)</w:t>
      </w:r>
      <w:r w:rsidR="000B25F0" w:rsidRPr="001F04FB">
        <w:rPr>
          <w:rFonts w:ascii="Calibri" w:hAnsi="Calibri" w:cs="Calibri"/>
          <w:sz w:val="22"/>
        </w:rPr>
        <w:t xml:space="preserve">: </w:t>
      </w:r>
      <w:r w:rsidR="00CB3206" w:rsidRPr="001F04FB">
        <w:rPr>
          <w:rFonts w:ascii="Calibri" w:hAnsi="Calibri" w:cs="Calibri"/>
          <w:sz w:val="22"/>
        </w:rPr>
        <w:t xml:space="preserve">annual price index showing the price change between the year </w:t>
      </w:r>
      <w:r w:rsidR="00CB3206" w:rsidRPr="001F04FB">
        <w:rPr>
          <w:rFonts w:ascii="Calibri" w:hAnsi="Calibri" w:cs="Calibri"/>
          <w:i/>
          <w:iCs/>
          <w:sz w:val="22"/>
        </w:rPr>
        <w:t>t</w:t>
      </w:r>
      <w:r w:rsidR="00CB3206" w:rsidRPr="001F04FB">
        <w:rPr>
          <w:rFonts w:ascii="Calibri" w:hAnsi="Calibri" w:cs="Calibri"/>
          <w:sz w:val="22"/>
        </w:rPr>
        <w:t xml:space="preserve"> and the previous year;</w:t>
      </w:r>
    </w:p>
    <w:p w14:paraId="3B5CE8BC" w14:textId="6016258C" w:rsidR="005321AE" w:rsidRPr="001F04FB" w:rsidRDefault="00A27FEE" w:rsidP="007F7D14">
      <w:pPr>
        <w:pStyle w:val="a5"/>
        <w:spacing w:line="288" w:lineRule="auto"/>
        <w:jc w:val="both"/>
        <w:rPr>
          <w:rFonts w:ascii="Calibri" w:hAnsi="Calibri" w:cs="Calibri"/>
          <w:sz w:val="22"/>
        </w:rPr>
      </w:pPr>
      <w:r w:rsidRPr="001F04FB">
        <w:rPr>
          <w:rFonts w:ascii="Calibri" w:hAnsi="Calibri" w:cs="Calibri"/>
          <w:sz w:val="22"/>
        </w:rPr>
        <w:t>PI</w:t>
      </w:r>
      <w:r w:rsidR="00CB3206" w:rsidRPr="001F04FB">
        <w:rPr>
          <w:rFonts w:ascii="Calibri" w:hAnsi="Calibri" w:cs="Calibri"/>
          <w:sz w:val="22"/>
        </w:rPr>
        <w:t xml:space="preserve"> </w:t>
      </w:r>
      <w:r w:rsidRPr="001F04FB">
        <w:rPr>
          <w:rFonts w:ascii="Calibri" w:hAnsi="Calibri" w:cs="Calibri"/>
          <w:sz w:val="22"/>
        </w:rPr>
        <w:t>(t,</w:t>
      </w:r>
      <w:r w:rsidR="00CB3206" w:rsidRPr="001F04FB">
        <w:rPr>
          <w:rFonts w:ascii="Calibri" w:hAnsi="Calibri" w:cs="Calibri"/>
          <w:sz w:val="22"/>
        </w:rPr>
        <w:t xml:space="preserve"> </w:t>
      </w:r>
      <w:r w:rsidRPr="001F04FB">
        <w:rPr>
          <w:rFonts w:ascii="Calibri" w:hAnsi="Calibri" w:cs="Calibri"/>
          <w:sz w:val="22"/>
        </w:rPr>
        <w:t>t-n)</w:t>
      </w:r>
      <w:r w:rsidR="00CB3206" w:rsidRPr="001F04FB">
        <w:rPr>
          <w:rFonts w:ascii="Calibri" w:hAnsi="Calibri" w:cs="Calibri"/>
          <w:sz w:val="22"/>
        </w:rPr>
        <w:t xml:space="preserve">: chained price index showing the price change during year </w:t>
      </w:r>
      <w:r w:rsidR="00CB3206" w:rsidRPr="001F04FB">
        <w:rPr>
          <w:rFonts w:ascii="Calibri" w:hAnsi="Calibri" w:cs="Calibri"/>
          <w:i/>
          <w:iCs/>
          <w:sz w:val="22"/>
        </w:rPr>
        <w:t>t-n</w:t>
      </w:r>
      <w:r w:rsidR="00CB3206" w:rsidRPr="001F04FB">
        <w:rPr>
          <w:rFonts w:ascii="Calibri" w:hAnsi="Calibri" w:cs="Calibri"/>
          <w:sz w:val="22"/>
        </w:rPr>
        <w:t xml:space="preserve"> to year </w:t>
      </w:r>
      <w:r w:rsidR="00CB3206" w:rsidRPr="001F04FB">
        <w:rPr>
          <w:rFonts w:ascii="Calibri" w:hAnsi="Calibri" w:cs="Calibri"/>
          <w:i/>
          <w:iCs/>
          <w:sz w:val="22"/>
        </w:rPr>
        <w:t>t</w:t>
      </w:r>
      <w:r w:rsidR="00CB3206" w:rsidRPr="001F04FB">
        <w:rPr>
          <w:rFonts w:ascii="Calibri" w:hAnsi="Calibri" w:cs="Calibri"/>
          <w:sz w:val="22"/>
        </w:rPr>
        <w:t>;</w:t>
      </w:r>
    </w:p>
    <w:p w14:paraId="69C7024C" w14:textId="4CAB4CAB" w:rsidR="00A27FEE" w:rsidRPr="001F04FB" w:rsidRDefault="00A27FEE" w:rsidP="007F7D14">
      <w:pPr>
        <w:pStyle w:val="a5"/>
        <w:spacing w:line="288" w:lineRule="auto"/>
        <w:jc w:val="both"/>
        <w:rPr>
          <w:rFonts w:ascii="Calibri" w:hAnsi="Calibri" w:cs="Calibri"/>
          <w:sz w:val="22"/>
        </w:rPr>
      </w:pPr>
      <w:r w:rsidRPr="001F04FB">
        <w:rPr>
          <w:rFonts w:ascii="Calibri" w:hAnsi="Calibri" w:cs="Calibri"/>
          <w:sz w:val="22"/>
        </w:rPr>
        <w:t>P</w:t>
      </w:r>
      <w:r w:rsidR="00CB3206" w:rsidRPr="001F04FB">
        <w:rPr>
          <w:rFonts w:ascii="Calibri" w:hAnsi="Calibri" w:cs="Calibri"/>
          <w:sz w:val="22"/>
        </w:rPr>
        <w:t xml:space="preserve"> </w:t>
      </w:r>
      <w:r w:rsidRPr="001F04FB">
        <w:rPr>
          <w:rFonts w:ascii="Calibri" w:hAnsi="Calibri" w:cs="Calibri"/>
          <w:sz w:val="22"/>
        </w:rPr>
        <w:t>(t)</w:t>
      </w:r>
      <w:r w:rsidR="00CB3206" w:rsidRPr="001F04FB">
        <w:rPr>
          <w:rFonts w:ascii="Calibri" w:hAnsi="Calibri" w:cs="Calibri"/>
          <w:sz w:val="22"/>
        </w:rPr>
        <w:t xml:space="preserve">: production price in year </w:t>
      </w:r>
      <w:r w:rsidR="00CB3206" w:rsidRPr="001F04FB">
        <w:rPr>
          <w:rFonts w:ascii="Calibri" w:hAnsi="Calibri" w:cs="Calibri"/>
          <w:i/>
          <w:iCs/>
          <w:sz w:val="22"/>
        </w:rPr>
        <w:t>t</w:t>
      </w:r>
      <w:r w:rsidR="00CB3206" w:rsidRPr="001F04FB">
        <w:rPr>
          <w:rFonts w:ascii="Calibri" w:hAnsi="Calibri" w:cs="Calibri"/>
          <w:sz w:val="22"/>
        </w:rPr>
        <w:t>;</w:t>
      </w:r>
    </w:p>
    <w:p w14:paraId="28F985A9" w14:textId="62A909AC" w:rsidR="00A27FEE" w:rsidRPr="001F04FB" w:rsidRDefault="00A27FEE" w:rsidP="007F7D14">
      <w:pPr>
        <w:pStyle w:val="a5"/>
        <w:spacing w:line="288" w:lineRule="auto"/>
        <w:jc w:val="both"/>
        <w:rPr>
          <w:rFonts w:ascii="Calibri" w:hAnsi="Calibri" w:cs="Calibri"/>
          <w:sz w:val="22"/>
        </w:rPr>
      </w:pPr>
      <w:r w:rsidRPr="001F04FB">
        <w:rPr>
          <w:rFonts w:ascii="Calibri" w:hAnsi="Calibri" w:cs="Calibri"/>
          <w:sz w:val="22"/>
        </w:rPr>
        <w:t>P</w:t>
      </w:r>
      <w:r w:rsidR="00CB3206" w:rsidRPr="001F04FB">
        <w:rPr>
          <w:rFonts w:ascii="Calibri" w:hAnsi="Calibri" w:cs="Calibri"/>
          <w:sz w:val="22"/>
        </w:rPr>
        <w:t xml:space="preserve"> </w:t>
      </w:r>
      <w:r w:rsidRPr="001F04FB">
        <w:rPr>
          <w:rFonts w:ascii="Calibri" w:hAnsi="Calibri" w:cs="Calibri"/>
          <w:sz w:val="22"/>
        </w:rPr>
        <w:t>(t-n)</w:t>
      </w:r>
      <w:r w:rsidR="00CB3206" w:rsidRPr="001F04FB">
        <w:rPr>
          <w:rFonts w:ascii="Calibri" w:hAnsi="Calibri" w:cs="Calibri"/>
          <w:sz w:val="22"/>
        </w:rPr>
        <w:t xml:space="preserve">: production price in year </w:t>
      </w:r>
      <w:r w:rsidR="00CB3206" w:rsidRPr="001F04FB">
        <w:rPr>
          <w:rFonts w:ascii="Calibri" w:hAnsi="Calibri" w:cs="Calibri"/>
          <w:i/>
          <w:iCs/>
          <w:sz w:val="22"/>
        </w:rPr>
        <w:t>t-n</w:t>
      </w:r>
      <w:r w:rsidR="00CB3206" w:rsidRPr="001F04FB">
        <w:rPr>
          <w:rFonts w:ascii="Calibri" w:hAnsi="Calibri" w:cs="Calibri"/>
          <w:sz w:val="22"/>
        </w:rPr>
        <w:t>;</w:t>
      </w:r>
    </w:p>
    <w:p w14:paraId="6D8D1013" w14:textId="61B71517" w:rsidR="00CB3206" w:rsidRPr="001F04FB" w:rsidRDefault="00CB3206" w:rsidP="007F7D14">
      <w:pPr>
        <w:pStyle w:val="a5"/>
        <w:spacing w:line="288" w:lineRule="auto"/>
        <w:jc w:val="both"/>
        <w:rPr>
          <w:rFonts w:ascii="Calibri" w:hAnsi="Calibri" w:cs="Calibri"/>
          <w:sz w:val="22"/>
        </w:rPr>
      </w:pPr>
      <w:r w:rsidRPr="001F04FB">
        <w:rPr>
          <w:rFonts w:ascii="Calibri" w:hAnsi="Calibri" w:cs="Calibri"/>
          <w:sz w:val="22"/>
        </w:rPr>
        <w:t xml:space="preserve">q </w:t>
      </w:r>
      <w:r w:rsidR="00A27FEE" w:rsidRPr="001F04FB">
        <w:rPr>
          <w:rFonts w:ascii="Calibri" w:hAnsi="Calibri" w:cs="Calibri"/>
          <w:sz w:val="22"/>
        </w:rPr>
        <w:t>(t)</w:t>
      </w:r>
      <w:r w:rsidRPr="001F04FB">
        <w:rPr>
          <w:rFonts w:ascii="Calibri" w:hAnsi="Calibri" w:cs="Calibri"/>
          <w:sz w:val="22"/>
        </w:rPr>
        <w:t xml:space="preserve">: production volume measured in physical unit of year </w:t>
      </w:r>
      <w:r w:rsidRPr="001F04FB">
        <w:rPr>
          <w:rFonts w:ascii="Calibri" w:hAnsi="Calibri" w:cs="Calibri"/>
          <w:i/>
          <w:iCs/>
          <w:sz w:val="22"/>
        </w:rPr>
        <w:t>t</w:t>
      </w:r>
      <w:r w:rsidRPr="001F04FB">
        <w:rPr>
          <w:rFonts w:ascii="Calibri" w:hAnsi="Calibri" w:cs="Calibri"/>
          <w:sz w:val="22"/>
        </w:rPr>
        <w:t>;</w:t>
      </w:r>
    </w:p>
    <w:p w14:paraId="5F3EBA68" w14:textId="47B0F3F0" w:rsidR="00A27FEE" w:rsidRPr="001F04FB" w:rsidRDefault="00A27FEE" w:rsidP="007F7D14">
      <w:pPr>
        <w:pStyle w:val="a5"/>
        <w:spacing w:line="288" w:lineRule="auto"/>
        <w:jc w:val="both"/>
        <w:rPr>
          <w:rFonts w:ascii="Calibri" w:hAnsi="Calibri" w:cs="Calibri"/>
          <w:sz w:val="22"/>
        </w:rPr>
      </w:pPr>
      <w:r w:rsidRPr="001F04FB">
        <w:rPr>
          <w:rFonts w:ascii="Calibri" w:hAnsi="Calibri" w:cs="Calibri"/>
          <w:sz w:val="22"/>
        </w:rPr>
        <w:t>q</w:t>
      </w:r>
      <w:r w:rsidR="00CB3206" w:rsidRPr="001F04FB">
        <w:rPr>
          <w:rFonts w:ascii="Calibri" w:hAnsi="Calibri" w:cs="Calibri"/>
          <w:sz w:val="22"/>
        </w:rPr>
        <w:t xml:space="preserve"> </w:t>
      </w:r>
      <w:r w:rsidRPr="001F04FB">
        <w:rPr>
          <w:rFonts w:ascii="Calibri" w:hAnsi="Calibri" w:cs="Calibri"/>
          <w:sz w:val="22"/>
        </w:rPr>
        <w:t>(t-n)</w:t>
      </w:r>
      <w:r w:rsidR="00CB3206" w:rsidRPr="001F04FB">
        <w:rPr>
          <w:rFonts w:ascii="Calibri" w:hAnsi="Calibri" w:cs="Calibri"/>
          <w:sz w:val="22"/>
        </w:rPr>
        <w:t xml:space="preserve">: production volume measured in physical unit of year </w:t>
      </w:r>
      <w:r w:rsidR="00CB3206" w:rsidRPr="001F04FB">
        <w:rPr>
          <w:rFonts w:ascii="Calibri" w:hAnsi="Calibri" w:cs="Calibri"/>
          <w:i/>
          <w:iCs/>
          <w:sz w:val="22"/>
        </w:rPr>
        <w:t>t-n</w:t>
      </w:r>
      <w:r w:rsidR="00CB3206" w:rsidRPr="001F04FB">
        <w:rPr>
          <w:rFonts w:ascii="Calibri" w:hAnsi="Calibri" w:cs="Calibri"/>
          <w:sz w:val="22"/>
        </w:rPr>
        <w:t>;</w:t>
      </w:r>
    </w:p>
    <w:p w14:paraId="3D4DABCF" w14:textId="27A8C3D7" w:rsidR="00A27FEE" w:rsidRPr="001F04FB" w:rsidRDefault="00A27FEE" w:rsidP="007F7D14">
      <w:pPr>
        <w:pStyle w:val="a5"/>
        <w:spacing w:line="288" w:lineRule="auto"/>
        <w:jc w:val="both"/>
        <w:rPr>
          <w:rFonts w:ascii="Calibri" w:hAnsi="Calibri" w:cs="Calibri"/>
          <w:sz w:val="22"/>
        </w:rPr>
      </w:pPr>
      <w:r w:rsidRPr="001F04FB">
        <w:rPr>
          <w:rFonts w:ascii="Calibri" w:hAnsi="Calibri" w:cs="Calibri"/>
          <w:sz w:val="22"/>
        </w:rPr>
        <w:t>X</w:t>
      </w:r>
      <w:r w:rsidR="00CB3206" w:rsidRPr="001F04FB">
        <w:rPr>
          <w:rFonts w:ascii="Calibri" w:hAnsi="Calibri" w:cs="Calibri"/>
          <w:sz w:val="22"/>
        </w:rPr>
        <w:t xml:space="preserve"> </w:t>
      </w:r>
      <w:r w:rsidRPr="001F04FB">
        <w:rPr>
          <w:rFonts w:ascii="Calibri" w:hAnsi="Calibri" w:cs="Calibri"/>
          <w:sz w:val="22"/>
        </w:rPr>
        <w:t>(t,</w:t>
      </w:r>
      <w:r w:rsidR="00CB3206" w:rsidRPr="001F04FB">
        <w:rPr>
          <w:rFonts w:ascii="Calibri" w:hAnsi="Calibri" w:cs="Calibri"/>
          <w:sz w:val="22"/>
        </w:rPr>
        <w:t xml:space="preserve"> </w:t>
      </w:r>
      <w:r w:rsidRPr="001F04FB">
        <w:rPr>
          <w:rFonts w:ascii="Calibri" w:hAnsi="Calibri" w:cs="Calibri"/>
          <w:sz w:val="22"/>
        </w:rPr>
        <w:t>t)</w:t>
      </w:r>
      <w:r w:rsidR="00CB3206" w:rsidRPr="001F04FB">
        <w:rPr>
          <w:rFonts w:ascii="Calibri" w:hAnsi="Calibri" w:cs="Calibri"/>
          <w:sz w:val="22"/>
        </w:rPr>
        <w:t xml:space="preserve">: production volume measure in monetary unit (namely total output in MRIO table) and current-year price of year </w:t>
      </w:r>
      <w:r w:rsidR="00CB3206" w:rsidRPr="001F04FB">
        <w:rPr>
          <w:rFonts w:ascii="Calibri" w:hAnsi="Calibri" w:cs="Calibri"/>
          <w:i/>
          <w:iCs/>
          <w:sz w:val="22"/>
        </w:rPr>
        <w:t>t</w:t>
      </w:r>
      <w:r w:rsidR="00CB3206" w:rsidRPr="001F04FB">
        <w:rPr>
          <w:rFonts w:ascii="Calibri" w:hAnsi="Calibri" w:cs="Calibri"/>
          <w:sz w:val="22"/>
        </w:rPr>
        <w:t>;</w:t>
      </w:r>
    </w:p>
    <w:p w14:paraId="68090013" w14:textId="7EB4C200" w:rsidR="00A27FEE" w:rsidRPr="001F04FB" w:rsidRDefault="00A27FEE" w:rsidP="007F7D14">
      <w:pPr>
        <w:pStyle w:val="a5"/>
        <w:spacing w:line="288" w:lineRule="auto"/>
        <w:jc w:val="both"/>
        <w:rPr>
          <w:rFonts w:ascii="Calibri" w:hAnsi="Calibri" w:cs="Calibri"/>
          <w:sz w:val="22"/>
        </w:rPr>
      </w:pPr>
      <w:r w:rsidRPr="001F04FB">
        <w:rPr>
          <w:rFonts w:ascii="Calibri" w:hAnsi="Calibri" w:cs="Calibri"/>
          <w:sz w:val="22"/>
        </w:rPr>
        <w:t>X</w:t>
      </w:r>
      <w:r w:rsidR="00CB3206" w:rsidRPr="001F04FB">
        <w:rPr>
          <w:rFonts w:ascii="Calibri" w:hAnsi="Calibri" w:cs="Calibri"/>
          <w:sz w:val="22"/>
        </w:rPr>
        <w:t xml:space="preserve"> </w:t>
      </w:r>
      <w:r w:rsidRPr="001F04FB">
        <w:rPr>
          <w:rFonts w:ascii="Calibri" w:hAnsi="Calibri" w:cs="Calibri"/>
          <w:sz w:val="22"/>
        </w:rPr>
        <w:t>(t,</w:t>
      </w:r>
      <w:r w:rsidR="00CB3206" w:rsidRPr="001F04FB">
        <w:rPr>
          <w:rFonts w:ascii="Calibri" w:hAnsi="Calibri" w:cs="Calibri"/>
          <w:sz w:val="22"/>
        </w:rPr>
        <w:t xml:space="preserve"> </w:t>
      </w:r>
      <w:r w:rsidRPr="001F04FB">
        <w:rPr>
          <w:rFonts w:ascii="Calibri" w:hAnsi="Calibri" w:cs="Calibri"/>
          <w:sz w:val="22"/>
        </w:rPr>
        <w:t>t-n)</w:t>
      </w:r>
      <w:r w:rsidR="00CB3206" w:rsidRPr="001F04FB">
        <w:rPr>
          <w:rFonts w:ascii="Calibri" w:hAnsi="Calibri" w:cs="Calibri"/>
          <w:sz w:val="22"/>
        </w:rPr>
        <w:t xml:space="preserve">: production volume measure in monetary unit (namely total output in MRIO table) and “t-n”-year price of year </w:t>
      </w:r>
      <w:r w:rsidR="00CB3206" w:rsidRPr="001F04FB">
        <w:rPr>
          <w:rFonts w:ascii="Calibri" w:hAnsi="Calibri" w:cs="Calibri"/>
          <w:i/>
          <w:iCs/>
          <w:sz w:val="22"/>
        </w:rPr>
        <w:t>t</w:t>
      </w:r>
      <w:r w:rsidR="00CB3206" w:rsidRPr="001F04FB">
        <w:rPr>
          <w:rFonts w:ascii="Calibri" w:hAnsi="Calibri" w:cs="Calibri"/>
          <w:sz w:val="22"/>
        </w:rPr>
        <w:t>;</w:t>
      </w:r>
    </w:p>
    <w:p w14:paraId="30CB700E" w14:textId="00EE0ACA" w:rsidR="00A27FEE" w:rsidRPr="001F04FB" w:rsidRDefault="00A27FEE" w:rsidP="007F7D14">
      <w:pPr>
        <w:pStyle w:val="a5"/>
        <w:spacing w:line="288" w:lineRule="auto"/>
        <w:jc w:val="both"/>
        <w:rPr>
          <w:rFonts w:ascii="Calibri" w:hAnsi="Calibri" w:cs="Calibri"/>
          <w:sz w:val="22"/>
        </w:rPr>
      </w:pPr>
      <w:r w:rsidRPr="001F04FB">
        <w:rPr>
          <w:rFonts w:ascii="Calibri" w:hAnsi="Calibri" w:cs="Calibri"/>
          <w:sz w:val="22"/>
        </w:rPr>
        <w:t>ER</w:t>
      </w:r>
      <w:r w:rsidR="00CB3206" w:rsidRPr="001F04FB">
        <w:rPr>
          <w:rFonts w:ascii="Calibri" w:hAnsi="Calibri" w:cs="Calibri"/>
          <w:sz w:val="22"/>
        </w:rPr>
        <w:t xml:space="preserve"> </w:t>
      </w:r>
      <w:r w:rsidRPr="001F04FB">
        <w:rPr>
          <w:rFonts w:ascii="Calibri" w:hAnsi="Calibri" w:cs="Calibri"/>
          <w:sz w:val="22"/>
        </w:rPr>
        <w:t>(t)</w:t>
      </w:r>
      <w:r w:rsidR="00CB3206" w:rsidRPr="001F04FB">
        <w:rPr>
          <w:rFonts w:ascii="Calibri" w:hAnsi="Calibri" w:cs="Calibri"/>
          <w:sz w:val="22"/>
        </w:rPr>
        <w:t xml:space="preserve">: exchange rates between USD and EUR in year </w:t>
      </w:r>
      <w:r w:rsidR="00CB3206" w:rsidRPr="001F04FB">
        <w:rPr>
          <w:rFonts w:ascii="Calibri" w:hAnsi="Calibri" w:cs="Calibri"/>
          <w:i/>
          <w:iCs/>
          <w:sz w:val="22"/>
        </w:rPr>
        <w:t>t</w:t>
      </w:r>
      <w:r w:rsidR="00CB3206" w:rsidRPr="001F04FB">
        <w:rPr>
          <w:rFonts w:ascii="Calibri" w:hAnsi="Calibri" w:cs="Calibri"/>
          <w:sz w:val="22"/>
        </w:rPr>
        <w:t>;</w:t>
      </w:r>
    </w:p>
    <w:p w14:paraId="4B7E5830" w14:textId="46A888EE" w:rsidR="00A27FEE" w:rsidRPr="001F04FB" w:rsidRDefault="00A27FEE" w:rsidP="007F7D14">
      <w:pPr>
        <w:pStyle w:val="a5"/>
        <w:spacing w:line="288" w:lineRule="auto"/>
        <w:jc w:val="both"/>
        <w:rPr>
          <w:rFonts w:ascii="Calibri" w:hAnsi="Calibri" w:cs="Calibri"/>
          <w:sz w:val="22"/>
        </w:rPr>
      </w:pPr>
      <w:r w:rsidRPr="001F04FB">
        <w:rPr>
          <w:rFonts w:ascii="Calibri" w:hAnsi="Calibri" w:cs="Calibri"/>
          <w:sz w:val="22"/>
        </w:rPr>
        <w:t>ER</w:t>
      </w:r>
      <w:r w:rsidR="00CB3206" w:rsidRPr="001F04FB">
        <w:rPr>
          <w:rFonts w:ascii="Calibri" w:hAnsi="Calibri" w:cs="Calibri"/>
          <w:sz w:val="22"/>
        </w:rPr>
        <w:t xml:space="preserve"> </w:t>
      </w:r>
      <w:r w:rsidRPr="001F04FB">
        <w:rPr>
          <w:rFonts w:ascii="Calibri" w:hAnsi="Calibri" w:cs="Calibri"/>
          <w:sz w:val="22"/>
        </w:rPr>
        <w:t>(t-n)</w:t>
      </w:r>
      <w:r w:rsidR="00CB3206" w:rsidRPr="001F04FB">
        <w:rPr>
          <w:rFonts w:ascii="Calibri" w:hAnsi="Calibri" w:cs="Calibri"/>
          <w:sz w:val="22"/>
        </w:rPr>
        <w:t xml:space="preserve">: exchange rates between USD and EUR in year </w:t>
      </w:r>
      <w:r w:rsidR="00CB3206" w:rsidRPr="001F04FB">
        <w:rPr>
          <w:rFonts w:ascii="Calibri" w:hAnsi="Calibri" w:cs="Calibri"/>
          <w:i/>
          <w:iCs/>
          <w:sz w:val="22"/>
        </w:rPr>
        <w:t>t-n</w:t>
      </w:r>
      <w:r w:rsidR="00CB3206" w:rsidRPr="001F04FB">
        <w:rPr>
          <w:rFonts w:ascii="Calibri" w:hAnsi="Calibri" w:cs="Calibri"/>
          <w:sz w:val="22"/>
        </w:rPr>
        <w:t>;</w:t>
      </w:r>
    </w:p>
    <w:p w14:paraId="1F6553A5" w14:textId="2271B78F" w:rsidR="005B4EFD" w:rsidRPr="001F04FB" w:rsidRDefault="00A27FEE" w:rsidP="001F04FB">
      <w:pPr>
        <w:pStyle w:val="a5"/>
        <w:spacing w:line="288" w:lineRule="auto"/>
        <w:jc w:val="both"/>
        <w:rPr>
          <w:rFonts w:ascii="Calibri" w:hAnsi="Calibri" w:cs="Calibri"/>
          <w:sz w:val="22"/>
        </w:rPr>
      </w:pPr>
      <w:r w:rsidRPr="001F04FB">
        <w:rPr>
          <w:rFonts w:ascii="Calibri" w:hAnsi="Calibri" w:cs="Calibri"/>
          <w:sz w:val="22"/>
        </w:rPr>
        <w:t>Note that symbols with subscript “USD” and “EUR” were measured in US dollar and Euro, respectively.</w:t>
      </w:r>
    </w:p>
    <w:sectPr w:rsidR="005B4EFD" w:rsidRPr="001F04FB" w:rsidSect="005B4EFD">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490597" w14:textId="77777777" w:rsidR="00FC71AA" w:rsidRDefault="00FC71AA" w:rsidP="005B4EFD">
      <w:r>
        <w:separator/>
      </w:r>
    </w:p>
  </w:endnote>
  <w:endnote w:type="continuationSeparator" w:id="0">
    <w:p w14:paraId="0F48CE02" w14:textId="77777777" w:rsidR="00FC71AA" w:rsidRDefault="00FC71AA" w:rsidP="005B4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F83784" w14:textId="77777777" w:rsidR="00FC71AA" w:rsidRDefault="00FC71AA" w:rsidP="005B4EFD">
      <w:r>
        <w:separator/>
      </w:r>
    </w:p>
  </w:footnote>
  <w:footnote w:type="continuationSeparator" w:id="0">
    <w:p w14:paraId="1986A821" w14:textId="77777777" w:rsidR="00FC71AA" w:rsidRDefault="00FC71AA" w:rsidP="005B4E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6D4"/>
    <w:rsid w:val="00007ACB"/>
    <w:rsid w:val="00026385"/>
    <w:rsid w:val="0005645B"/>
    <w:rsid w:val="000B25F0"/>
    <w:rsid w:val="001C467A"/>
    <w:rsid w:val="001E2ED5"/>
    <w:rsid w:val="001F04FB"/>
    <w:rsid w:val="0020488B"/>
    <w:rsid w:val="00301698"/>
    <w:rsid w:val="0031457A"/>
    <w:rsid w:val="00315303"/>
    <w:rsid w:val="00325290"/>
    <w:rsid w:val="0033620B"/>
    <w:rsid w:val="00342A94"/>
    <w:rsid w:val="0037670D"/>
    <w:rsid w:val="003E0A19"/>
    <w:rsid w:val="00436E83"/>
    <w:rsid w:val="00452548"/>
    <w:rsid w:val="004611CB"/>
    <w:rsid w:val="00474F31"/>
    <w:rsid w:val="00524618"/>
    <w:rsid w:val="005321AE"/>
    <w:rsid w:val="00550DF2"/>
    <w:rsid w:val="00561108"/>
    <w:rsid w:val="00573F15"/>
    <w:rsid w:val="005A105D"/>
    <w:rsid w:val="005B4EFD"/>
    <w:rsid w:val="005C19C4"/>
    <w:rsid w:val="006A3A6E"/>
    <w:rsid w:val="006C3DC6"/>
    <w:rsid w:val="006E1FB5"/>
    <w:rsid w:val="007B7AC4"/>
    <w:rsid w:val="007E5F60"/>
    <w:rsid w:val="007F7D14"/>
    <w:rsid w:val="00841FCA"/>
    <w:rsid w:val="00861D25"/>
    <w:rsid w:val="0087103D"/>
    <w:rsid w:val="008A7031"/>
    <w:rsid w:val="009304D0"/>
    <w:rsid w:val="009430B2"/>
    <w:rsid w:val="0098217F"/>
    <w:rsid w:val="00987600"/>
    <w:rsid w:val="009B14C0"/>
    <w:rsid w:val="00A27FEE"/>
    <w:rsid w:val="00A32116"/>
    <w:rsid w:val="00A82353"/>
    <w:rsid w:val="00A86813"/>
    <w:rsid w:val="00A914C0"/>
    <w:rsid w:val="00B043C9"/>
    <w:rsid w:val="00B64057"/>
    <w:rsid w:val="00B9063A"/>
    <w:rsid w:val="00BF4EAC"/>
    <w:rsid w:val="00CB3206"/>
    <w:rsid w:val="00E136D4"/>
    <w:rsid w:val="00E75800"/>
    <w:rsid w:val="00E817FD"/>
    <w:rsid w:val="00E835B1"/>
    <w:rsid w:val="00E86AA0"/>
    <w:rsid w:val="00EF08A0"/>
    <w:rsid w:val="00F2136C"/>
    <w:rsid w:val="00F22D7D"/>
    <w:rsid w:val="00F75336"/>
    <w:rsid w:val="00F94674"/>
    <w:rsid w:val="00FC7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2B6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E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4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B4EFD"/>
    <w:rPr>
      <w:sz w:val="18"/>
      <w:szCs w:val="18"/>
    </w:rPr>
  </w:style>
  <w:style w:type="paragraph" w:styleId="a4">
    <w:name w:val="footer"/>
    <w:basedOn w:val="a"/>
    <w:link w:val="Char0"/>
    <w:uiPriority w:val="99"/>
    <w:unhideWhenUsed/>
    <w:rsid w:val="005B4EFD"/>
    <w:pPr>
      <w:tabs>
        <w:tab w:val="center" w:pos="4153"/>
        <w:tab w:val="right" w:pos="8306"/>
      </w:tabs>
      <w:snapToGrid w:val="0"/>
      <w:jc w:val="left"/>
    </w:pPr>
    <w:rPr>
      <w:sz w:val="18"/>
      <w:szCs w:val="18"/>
    </w:rPr>
  </w:style>
  <w:style w:type="character" w:customStyle="1" w:styleId="Char0">
    <w:name w:val="页脚 Char"/>
    <w:basedOn w:val="a0"/>
    <w:link w:val="a4"/>
    <w:uiPriority w:val="99"/>
    <w:rsid w:val="005B4EFD"/>
    <w:rPr>
      <w:sz w:val="18"/>
      <w:szCs w:val="18"/>
    </w:rPr>
  </w:style>
  <w:style w:type="paragraph" w:styleId="a5">
    <w:name w:val="endnote text"/>
    <w:basedOn w:val="a"/>
    <w:link w:val="Char1"/>
    <w:uiPriority w:val="99"/>
    <w:unhideWhenUsed/>
    <w:rsid w:val="00E817FD"/>
    <w:pPr>
      <w:snapToGrid w:val="0"/>
      <w:jc w:val="left"/>
    </w:pPr>
  </w:style>
  <w:style w:type="character" w:customStyle="1" w:styleId="Char1">
    <w:name w:val="尾注文本 Char"/>
    <w:basedOn w:val="a0"/>
    <w:link w:val="a5"/>
    <w:uiPriority w:val="99"/>
    <w:rsid w:val="00E817FD"/>
  </w:style>
  <w:style w:type="table" w:styleId="a6">
    <w:name w:val="Table Grid"/>
    <w:basedOn w:val="a1"/>
    <w:uiPriority w:val="39"/>
    <w:rsid w:val="000263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semiHidden/>
    <w:unhideWhenUsed/>
    <w:rsid w:val="00026385"/>
    <w:rPr>
      <w:sz w:val="21"/>
      <w:szCs w:val="21"/>
    </w:rPr>
  </w:style>
  <w:style w:type="paragraph" w:styleId="a8">
    <w:name w:val="annotation text"/>
    <w:basedOn w:val="a"/>
    <w:link w:val="Char2"/>
    <w:uiPriority w:val="99"/>
    <w:unhideWhenUsed/>
    <w:rsid w:val="00026385"/>
    <w:pPr>
      <w:jc w:val="left"/>
    </w:pPr>
  </w:style>
  <w:style w:type="character" w:customStyle="1" w:styleId="Char2">
    <w:name w:val="批注文字 Char"/>
    <w:basedOn w:val="a0"/>
    <w:link w:val="a8"/>
    <w:uiPriority w:val="99"/>
    <w:rsid w:val="000263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E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4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B4EFD"/>
    <w:rPr>
      <w:sz w:val="18"/>
      <w:szCs w:val="18"/>
    </w:rPr>
  </w:style>
  <w:style w:type="paragraph" w:styleId="a4">
    <w:name w:val="footer"/>
    <w:basedOn w:val="a"/>
    <w:link w:val="Char0"/>
    <w:uiPriority w:val="99"/>
    <w:unhideWhenUsed/>
    <w:rsid w:val="005B4EFD"/>
    <w:pPr>
      <w:tabs>
        <w:tab w:val="center" w:pos="4153"/>
        <w:tab w:val="right" w:pos="8306"/>
      </w:tabs>
      <w:snapToGrid w:val="0"/>
      <w:jc w:val="left"/>
    </w:pPr>
    <w:rPr>
      <w:sz w:val="18"/>
      <w:szCs w:val="18"/>
    </w:rPr>
  </w:style>
  <w:style w:type="character" w:customStyle="1" w:styleId="Char0">
    <w:name w:val="页脚 Char"/>
    <w:basedOn w:val="a0"/>
    <w:link w:val="a4"/>
    <w:uiPriority w:val="99"/>
    <w:rsid w:val="005B4EFD"/>
    <w:rPr>
      <w:sz w:val="18"/>
      <w:szCs w:val="18"/>
    </w:rPr>
  </w:style>
  <w:style w:type="paragraph" w:styleId="a5">
    <w:name w:val="endnote text"/>
    <w:basedOn w:val="a"/>
    <w:link w:val="Char1"/>
    <w:uiPriority w:val="99"/>
    <w:unhideWhenUsed/>
    <w:rsid w:val="00E817FD"/>
    <w:pPr>
      <w:snapToGrid w:val="0"/>
      <w:jc w:val="left"/>
    </w:pPr>
  </w:style>
  <w:style w:type="character" w:customStyle="1" w:styleId="Char1">
    <w:name w:val="尾注文本 Char"/>
    <w:basedOn w:val="a0"/>
    <w:link w:val="a5"/>
    <w:uiPriority w:val="99"/>
    <w:rsid w:val="00E817FD"/>
  </w:style>
  <w:style w:type="table" w:styleId="a6">
    <w:name w:val="Table Grid"/>
    <w:basedOn w:val="a1"/>
    <w:uiPriority w:val="39"/>
    <w:rsid w:val="000263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semiHidden/>
    <w:unhideWhenUsed/>
    <w:rsid w:val="00026385"/>
    <w:rPr>
      <w:sz w:val="21"/>
      <w:szCs w:val="21"/>
    </w:rPr>
  </w:style>
  <w:style w:type="paragraph" w:styleId="a8">
    <w:name w:val="annotation text"/>
    <w:basedOn w:val="a"/>
    <w:link w:val="Char2"/>
    <w:uiPriority w:val="99"/>
    <w:unhideWhenUsed/>
    <w:rsid w:val="00026385"/>
    <w:pPr>
      <w:jc w:val="left"/>
    </w:pPr>
  </w:style>
  <w:style w:type="character" w:customStyle="1" w:styleId="Char2">
    <w:name w:val="批注文字 Char"/>
    <w:basedOn w:val="a0"/>
    <w:link w:val="a8"/>
    <w:uiPriority w:val="99"/>
    <w:rsid w:val="000263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wmf"/><Relationship Id="rId18"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9.wmf"/><Relationship Id="rId2" Type="http://schemas.microsoft.com/office/2007/relationships/stylesWithEffects" Target="stylesWithEffects.xml"/><Relationship Id="rId16" Type="http://schemas.openxmlformats.org/officeDocument/2006/relationships/oleObject" Target="embeddings/oleObject2.bin"/><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8.wmf"/><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323</TotalTime>
  <Pages>9</Pages>
  <Words>1400</Words>
  <Characters>7981</Characters>
  <Application>Microsoft Office Word</Application>
  <DocSecurity>0</DocSecurity>
  <Lines>66</Lines>
  <Paragraphs>18</Paragraphs>
  <ScaleCrop>false</ScaleCrop>
  <Company/>
  <LinksUpToDate>false</LinksUpToDate>
  <CharactersWithSpaces>9363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家钰</dc:creator>
  <cp:keywords/>
  <dc:description/>
  <cp:lastModifiedBy>KW</cp:lastModifiedBy>
  <cp:revision>36</cp:revision>
  <dcterms:created xsi:type="dcterms:W3CDTF">2021-03-19T09:10:00Z</dcterms:created>
  <dcterms:modified xsi:type="dcterms:W3CDTF">2021-07-23T01:50:00Z</dcterms:modified>
</cp:coreProperties>
</file>