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E9A44" w14:textId="77777777" w:rsidR="003F172C" w:rsidRPr="00CC7D5E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DengXian" w:hAnsi="Arial" w:cs="Arial"/>
          <w:b/>
          <w:bCs/>
          <w:kern w:val="2"/>
          <w:sz w:val="22"/>
          <w:szCs w:val="22"/>
        </w:rPr>
      </w:pP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>Extended Data</w:t>
      </w:r>
    </w:p>
    <w:p w14:paraId="718112A5" w14:textId="77777777" w:rsidR="003F172C" w:rsidRPr="00CC7D5E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DengXian" w:hAnsi="Arial" w:cs="Arial"/>
          <w:kern w:val="2"/>
          <w:sz w:val="22"/>
          <w:szCs w:val="22"/>
        </w:rPr>
      </w:pPr>
      <w:r w:rsidRPr="00A80E1E">
        <w:rPr>
          <w:rFonts w:ascii="Arial" w:eastAsia="DengXian" w:hAnsi="Arial" w:cs="Arial"/>
          <w:b/>
          <w:bCs/>
          <w:kern w:val="2"/>
          <w:sz w:val="22"/>
          <w:szCs w:val="22"/>
        </w:rPr>
        <w:t>Extended Data Figure</w:t>
      </w: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1 | </w:t>
      </w:r>
      <w:r w:rsidRPr="00CC7D5E">
        <w:rPr>
          <w:rFonts w:ascii="Arial" w:eastAsia="DengXian" w:hAnsi="Arial" w:cs="Arial"/>
          <w:kern w:val="2"/>
          <w:sz w:val="22"/>
          <w:szCs w:val="22"/>
        </w:rPr>
        <w:t xml:space="preserve">Additional Evaluation Metrics for PanPep, DlpTCR, and ERGO-II on the Peptide-TCRβ Binding Data Provided by PanPep. </w:t>
      </w:r>
    </w:p>
    <w:p w14:paraId="7FB52C03" w14:textId="77777777" w:rsidR="003F172C" w:rsidRPr="00CC7D5E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DengXian" w:hAnsi="Arial" w:cs="Arial"/>
          <w:kern w:val="2"/>
          <w:sz w:val="22"/>
          <w:szCs w:val="22"/>
        </w:rPr>
      </w:pP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Extended Data Figure 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>2</w:t>
      </w: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|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</w:t>
      </w:r>
      <w:r w:rsidRPr="00CC7D5E">
        <w:rPr>
          <w:rFonts w:ascii="Arial" w:eastAsia="DengXian" w:hAnsi="Arial" w:cs="Arial"/>
          <w:kern w:val="2"/>
          <w:sz w:val="22"/>
          <w:szCs w:val="22"/>
        </w:rPr>
        <w:t xml:space="preserve">Benchmarking PanPep, DlpTCR, and ERGO-II using </w:t>
      </w:r>
      <w:r>
        <w:rPr>
          <w:rFonts w:ascii="Arial" w:eastAsia="DengXian" w:hAnsi="Arial" w:cs="Arial"/>
          <w:kern w:val="2"/>
          <w:sz w:val="22"/>
          <w:szCs w:val="22"/>
        </w:rPr>
        <w:t>t</w:t>
      </w:r>
      <w:r w:rsidRPr="00CC7D5E">
        <w:rPr>
          <w:rFonts w:ascii="Arial" w:eastAsia="DengXian" w:hAnsi="Arial" w:cs="Arial"/>
          <w:kern w:val="2"/>
          <w:sz w:val="22"/>
          <w:szCs w:val="22"/>
        </w:rPr>
        <w:t xml:space="preserve">he Original Test Datasets from </w:t>
      </w:r>
      <w:r>
        <w:rPr>
          <w:rFonts w:ascii="Arial" w:eastAsia="DengXian" w:hAnsi="Arial" w:cs="Arial"/>
          <w:kern w:val="2"/>
          <w:sz w:val="22"/>
          <w:szCs w:val="22"/>
        </w:rPr>
        <w:t>t</w:t>
      </w:r>
      <w:r w:rsidRPr="00CC7D5E">
        <w:rPr>
          <w:rFonts w:ascii="Arial" w:eastAsia="DengXian" w:hAnsi="Arial" w:cs="Arial"/>
          <w:kern w:val="2"/>
          <w:sz w:val="22"/>
          <w:szCs w:val="22"/>
        </w:rPr>
        <w:t>he Respective Control Studies.</w:t>
      </w:r>
    </w:p>
    <w:p w14:paraId="64667AD4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DengXian" w:hAnsi="Arial" w:cs="Arial"/>
          <w:kern w:val="2"/>
          <w:sz w:val="22"/>
          <w:szCs w:val="22"/>
        </w:rPr>
      </w:pP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Extended Data Figure 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>3</w:t>
      </w: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|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</w:t>
      </w:r>
      <w:r w:rsidRPr="002D574C">
        <w:rPr>
          <w:rFonts w:ascii="Arial" w:eastAsia="DengXian" w:hAnsi="Arial" w:cs="Arial"/>
          <w:kern w:val="2"/>
          <w:sz w:val="22"/>
          <w:szCs w:val="22"/>
        </w:rPr>
        <w:t>Confusion Matrices of the Two Negative Sampling Strategies in Majority and Few-Shot Groups.</w:t>
      </w:r>
    </w:p>
    <w:p w14:paraId="4A830E14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DengXian" w:hAnsi="Arial" w:cs="Arial"/>
          <w:b/>
          <w:bCs/>
          <w:kern w:val="2"/>
          <w:sz w:val="22"/>
          <w:szCs w:val="22"/>
        </w:rPr>
      </w:pP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Extended Data Figure 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>4</w:t>
      </w: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|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</w:t>
      </w:r>
      <w:r w:rsidRPr="009C1A2B">
        <w:rPr>
          <w:rFonts w:ascii="Arial" w:eastAsia="DengXian" w:hAnsi="Arial" w:cs="Arial"/>
          <w:kern w:val="2"/>
          <w:sz w:val="22"/>
          <w:szCs w:val="22"/>
        </w:rPr>
        <w:t>Additional Evaluation Metrics of PanPep, DlpTCR, and ERGO-II on the Newly Curated Independent Dataset</w:t>
      </w:r>
      <w:r>
        <w:rPr>
          <w:rFonts w:ascii="Arial" w:eastAsia="DengXian" w:hAnsi="Arial" w:cs="Arial"/>
          <w:kern w:val="2"/>
          <w:sz w:val="22"/>
          <w:szCs w:val="22"/>
        </w:rPr>
        <w:t>.</w:t>
      </w:r>
    </w:p>
    <w:p w14:paraId="20BFE0CC" w14:textId="77777777" w:rsidR="003F172C" w:rsidRPr="004D1267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DengXian" w:hAnsi="Arial" w:cs="Arial"/>
          <w:kern w:val="2"/>
          <w:sz w:val="22"/>
          <w:szCs w:val="22"/>
        </w:rPr>
      </w:pP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Extended Data Figure 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>5</w:t>
      </w: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|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</w:t>
      </w:r>
      <w:r w:rsidRPr="004D1267">
        <w:rPr>
          <w:rFonts w:ascii="Arial" w:eastAsia="DengXian" w:hAnsi="Arial" w:cs="Arial"/>
          <w:kern w:val="2"/>
          <w:sz w:val="22"/>
          <w:szCs w:val="22"/>
        </w:rPr>
        <w:t>Additional Evaluation Metrics of Reproduced PanPep on the Independent Dataset</w:t>
      </w:r>
      <w:r>
        <w:rPr>
          <w:rFonts w:ascii="Arial" w:eastAsia="DengXian" w:hAnsi="Arial" w:cs="Arial"/>
          <w:kern w:val="2"/>
          <w:sz w:val="22"/>
          <w:szCs w:val="22"/>
        </w:rPr>
        <w:t>.</w:t>
      </w:r>
    </w:p>
    <w:p w14:paraId="7C1FA92E" w14:textId="77777777" w:rsidR="003F172C" w:rsidRPr="004D1267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DengXian" w:hAnsi="Arial" w:cs="Arial"/>
          <w:kern w:val="2"/>
          <w:sz w:val="22"/>
          <w:szCs w:val="22"/>
        </w:rPr>
      </w:pP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Extended Data Figure 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>6</w:t>
      </w: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|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</w:t>
      </w:r>
      <w:r w:rsidRPr="004D1267">
        <w:rPr>
          <w:rFonts w:ascii="Arial" w:eastAsia="DengXian" w:hAnsi="Arial" w:cs="Arial"/>
          <w:kern w:val="2"/>
          <w:sz w:val="22"/>
          <w:szCs w:val="22"/>
        </w:rPr>
        <w:t>Additional Evaluation Metrics of 10-fold Reproduced PanPep on the Peptide-TCRα Binding Scenario</w:t>
      </w:r>
      <w:r>
        <w:rPr>
          <w:rFonts w:ascii="Arial" w:eastAsia="DengXian" w:hAnsi="Arial" w:cs="Arial"/>
          <w:kern w:val="2"/>
          <w:sz w:val="22"/>
          <w:szCs w:val="22"/>
        </w:rPr>
        <w:t>.</w:t>
      </w:r>
    </w:p>
    <w:p w14:paraId="65AA36F4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DengXian" w:hAnsi="Arial" w:cs="Arial"/>
          <w:kern w:val="2"/>
          <w:sz w:val="22"/>
          <w:szCs w:val="22"/>
        </w:rPr>
      </w:pP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Extended Data Figure 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>7</w:t>
      </w:r>
      <w:r w:rsidRPr="00CC7D5E"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|</w:t>
      </w:r>
      <w:r>
        <w:rPr>
          <w:rFonts w:ascii="Arial" w:eastAsia="DengXian" w:hAnsi="Arial" w:cs="Arial"/>
          <w:b/>
          <w:bCs/>
          <w:kern w:val="2"/>
          <w:sz w:val="22"/>
          <w:szCs w:val="22"/>
        </w:rPr>
        <w:t xml:space="preserve"> </w:t>
      </w:r>
      <w:r w:rsidRPr="00B37C1A">
        <w:rPr>
          <w:rFonts w:ascii="Arial" w:eastAsia="DengXian" w:hAnsi="Arial" w:cs="Arial"/>
          <w:kern w:val="2"/>
          <w:sz w:val="22"/>
          <w:szCs w:val="22"/>
        </w:rPr>
        <w:t>Additional Evaluation Metrics of 10-fold Reproduced PanPep on the Peptide-TCRαβ Binding Scenario.</w:t>
      </w:r>
    </w:p>
    <w:p w14:paraId="4E0B288C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center"/>
        <w:rPr>
          <w:rFonts w:ascii="Arial" w:eastAsia="DengXian" w:hAnsi="Arial" w:cs="Arial"/>
          <w:b/>
          <w:bCs/>
          <w:kern w:val="2"/>
          <w:sz w:val="22"/>
          <w:szCs w:val="22"/>
        </w:rPr>
      </w:pPr>
      <w:r>
        <w:rPr>
          <w:rFonts w:ascii="Arial" w:eastAsia="DengXian" w:hAnsi="Arial" w:cs="Arial"/>
          <w:b/>
          <w:bCs/>
          <w:noProof/>
          <w:kern w:val="2"/>
          <w:sz w:val="22"/>
          <w:szCs w:val="22"/>
        </w:rPr>
        <w:drawing>
          <wp:inline distT="0" distB="0" distL="0" distR="0" wp14:anchorId="5436F1C5" wp14:editId="4F12F2AB">
            <wp:extent cx="6375400" cy="5588000"/>
            <wp:effectExtent l="0" t="0" r="0" b="0"/>
            <wp:docPr id="1888075904" name="Picture 7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075904" name="Picture 7" descr="A screenshot of a graph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5400" cy="55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F7102" w14:textId="77777777" w:rsidR="003F172C" w:rsidRDefault="003F172C" w:rsidP="003F172C">
      <w:pPr>
        <w:widowControl/>
        <w:ind w:left="10" w:hanging="10"/>
        <w:rPr>
          <w:rFonts w:ascii="Arial" w:eastAsia="DengXian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color w:val="0070C0"/>
          <w:sz w:val="20"/>
          <w:szCs w:val="20"/>
        </w:rPr>
        <w:lastRenderedPageBreak/>
        <w:t>Extended Data</w:t>
      </w:r>
      <w:r w:rsidRPr="00A763B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Fig. 1 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|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Additional Evaluation Metrics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for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PanPep, DlpTCR, and ERGO-II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on the Peptide-</w:t>
      </w:r>
      <w:r w:rsidRPr="00490055">
        <w:rPr>
          <w:rFonts w:ascii="Arial" w:eastAsia="Arial" w:hAnsi="Arial" w:cs="Arial" w:hint="eastAsia"/>
          <w:b/>
          <w:bCs/>
          <w:color w:val="0070C0"/>
          <w:sz w:val="20"/>
          <w:szCs w:val="20"/>
        </w:rPr>
        <w:t>TCR</w:t>
      </w:r>
      <w:r w:rsidRPr="00490055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β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B</w:t>
      </w:r>
      <w:r w:rsidRPr="00490055">
        <w:rPr>
          <w:rFonts w:ascii="Arial" w:eastAsia="Arial" w:hAnsi="Arial" w:cs="Arial"/>
          <w:b/>
          <w:bCs/>
          <w:color w:val="0070C0"/>
          <w:sz w:val="20"/>
          <w:szCs w:val="20"/>
        </w:rPr>
        <w:t>inding</w:t>
      </w:r>
      <w:r w:rsidRPr="00490055">
        <w:rPr>
          <w:rFonts w:ascii="Arial" w:eastAsia="Arial" w:hAnsi="Arial" w:cs="Arial" w:hint="eastAsia"/>
          <w:b/>
          <w:bCs/>
          <w:color w:val="0070C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Data Provided by PanPep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. 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>(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>a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>c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>)</w:t>
      </w:r>
      <w:r>
        <w:rPr>
          <w:rFonts w:ascii="Arial" w:eastAsia="Arial" w:hAnsi="Arial" w:cs="Arial"/>
          <w:color w:val="0070C0"/>
          <w:sz w:val="20"/>
          <w:szCs w:val="20"/>
        </w:rPr>
        <w:t xml:space="preserve"> PR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>-AUC</w:t>
      </w:r>
      <w:r>
        <w:rPr>
          <w:rFonts w:ascii="Arial" w:eastAsia="Arial" w:hAnsi="Arial" w:cs="Arial"/>
          <w:color w:val="0070C0"/>
          <w:sz w:val="20"/>
          <w:szCs w:val="20"/>
        </w:rPr>
        <w:t>s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 xml:space="preserve"> from balanced classification evaluations </w:t>
      </w:r>
      <w:r>
        <w:rPr>
          <w:rFonts w:ascii="Arial" w:eastAsia="Arial" w:hAnsi="Arial" w:cs="Arial"/>
          <w:color w:val="0070C0"/>
          <w:sz w:val="20"/>
          <w:szCs w:val="20"/>
        </w:rPr>
        <w:t>with background-drawing negatives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 xml:space="preserve"> under 100-fold cross-validation in the majority, few-shot, and zero-shot settings.</w:t>
      </w:r>
      <w:r>
        <w:rPr>
          <w:rFonts w:ascii="Arial" w:eastAsia="Arial" w:hAnsi="Arial" w:cs="Arial"/>
          <w:color w:val="0070C0"/>
          <w:sz w:val="20"/>
          <w:szCs w:val="20"/>
        </w:rPr>
        <w:t xml:space="preserve"> 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>(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>d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>f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 xml:space="preserve">) </w:t>
      </w:r>
      <w:r>
        <w:rPr>
          <w:rFonts w:ascii="Arial" w:eastAsia="Arial" w:hAnsi="Arial" w:cs="Arial"/>
          <w:color w:val="0070C0"/>
          <w:sz w:val="20"/>
          <w:szCs w:val="20"/>
        </w:rPr>
        <w:t>PR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>-AUC</w:t>
      </w:r>
      <w:r>
        <w:rPr>
          <w:rFonts w:ascii="Arial" w:eastAsia="Arial" w:hAnsi="Arial" w:cs="Arial"/>
          <w:color w:val="0070C0"/>
          <w:sz w:val="20"/>
          <w:szCs w:val="20"/>
        </w:rPr>
        <w:t>s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 xml:space="preserve"> from balanced classification evaluations </w:t>
      </w:r>
      <w:r>
        <w:rPr>
          <w:rFonts w:ascii="Arial" w:eastAsia="Arial" w:hAnsi="Arial" w:cs="Arial"/>
          <w:color w:val="0070C0"/>
          <w:sz w:val="20"/>
          <w:szCs w:val="20"/>
        </w:rPr>
        <w:t>with background-drawing negatives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 xml:space="preserve"> under 100-fold cross-validation.</w:t>
      </w:r>
      <w:r>
        <w:rPr>
          <w:rFonts w:ascii="Arial" w:eastAsia="Arial" w:hAnsi="Arial" w:cs="Arial"/>
          <w:color w:val="0070C0"/>
          <w:sz w:val="20"/>
          <w:szCs w:val="20"/>
        </w:rPr>
        <w:t xml:space="preserve"> 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>(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>g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>i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 xml:space="preserve">) </w:t>
      </w:r>
      <w:r>
        <w:rPr>
          <w:rFonts w:ascii="Arial" w:eastAsia="Arial" w:hAnsi="Arial" w:cs="Arial"/>
          <w:color w:val="0070C0"/>
          <w:sz w:val="20"/>
          <w:szCs w:val="20"/>
        </w:rPr>
        <w:t>Hit rates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 xml:space="preserve"> evaluating virtual screening </w:t>
      </w:r>
      <w:r>
        <w:rPr>
          <w:rFonts w:ascii="Arial" w:eastAsia="Arial" w:hAnsi="Arial" w:cs="Arial"/>
          <w:color w:val="0070C0"/>
          <w:sz w:val="20"/>
          <w:szCs w:val="20"/>
        </w:rPr>
        <w:t xml:space="preserve">efficiency </w:t>
      </w:r>
      <w:r w:rsidRPr="003A0475">
        <w:rPr>
          <w:rFonts w:ascii="Arial" w:eastAsia="Arial" w:hAnsi="Arial" w:cs="Arial"/>
          <w:color w:val="0070C0"/>
          <w:sz w:val="20"/>
          <w:szCs w:val="20"/>
        </w:rPr>
        <w:t xml:space="preserve">in ranking true </w:t>
      </w:r>
      <w:r>
        <w:rPr>
          <w:rFonts w:ascii="Arial" w:eastAsia="Arial" w:hAnsi="Arial" w:cs="Arial"/>
          <w:color w:val="0070C0"/>
          <w:sz w:val="20"/>
          <w:szCs w:val="20"/>
        </w:rPr>
        <w:t>TCR</w:t>
      </w:r>
      <w:r w:rsidRPr="003A0475">
        <w:rPr>
          <w:rFonts w:ascii="Arial" w:eastAsia="Arial" w:hAnsi="Arial" w:cs="Arial"/>
          <w:color w:val="0070C0"/>
          <w:sz w:val="20"/>
          <w:szCs w:val="20"/>
        </w:rPr>
        <w:t>β</w:t>
      </w:r>
      <w:r>
        <w:rPr>
          <w:rFonts w:ascii="Arial" w:eastAsia="Arial" w:hAnsi="Arial" w:cs="Arial"/>
          <w:color w:val="0070C0"/>
          <w:sz w:val="20"/>
          <w:szCs w:val="20"/>
        </w:rPr>
        <w:t xml:space="preserve"> </w:t>
      </w:r>
      <w:r w:rsidRPr="003A0475">
        <w:rPr>
          <w:rFonts w:ascii="Arial" w:eastAsia="Arial" w:hAnsi="Arial" w:cs="Arial"/>
          <w:color w:val="0070C0"/>
          <w:sz w:val="20"/>
          <w:szCs w:val="20"/>
        </w:rPr>
        <w:t>binders.</w:t>
      </w:r>
    </w:p>
    <w:p w14:paraId="5A3F0DA7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center"/>
        <w:rPr>
          <w:rFonts w:ascii="Arial" w:eastAsia="DengXian" w:hAnsi="Arial" w:cs="Arial"/>
          <w:b/>
          <w:bCs/>
          <w:kern w:val="2"/>
          <w:sz w:val="22"/>
          <w:szCs w:val="22"/>
        </w:rPr>
      </w:pPr>
      <w:r>
        <w:rPr>
          <w:rFonts w:ascii="Arial" w:eastAsia="DengXian" w:hAnsi="Arial" w:cs="Arial"/>
          <w:b/>
          <w:bCs/>
          <w:noProof/>
          <w:kern w:val="2"/>
          <w:sz w:val="22"/>
          <w:szCs w:val="22"/>
        </w:rPr>
        <w:drawing>
          <wp:inline distT="0" distB="0" distL="0" distR="0" wp14:anchorId="41EA609C" wp14:editId="3745ACFD">
            <wp:extent cx="5803900" cy="5118100"/>
            <wp:effectExtent l="0" t="0" r="0" b="0"/>
            <wp:docPr id="1390522419" name="Picture 6" descr="A comparison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522419" name="Picture 6" descr="A comparison of different colored bar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511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B94C9" w14:textId="77777777" w:rsidR="003F172C" w:rsidRPr="00167E19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Arial" w:hAnsi="Arial" w:cs="Arial"/>
          <w:color w:val="0070C0"/>
          <w:sz w:val="20"/>
          <w:szCs w:val="20"/>
        </w:rPr>
        <w:sectPr w:rsidR="003F172C" w:rsidRPr="00167E19" w:rsidSect="003F172C">
          <w:footerReference w:type="even" r:id="rId6"/>
          <w:footerReference w:type="default" r:id="rId7"/>
          <w:pgSz w:w="11906" w:h="16838"/>
          <w:pgMar w:top="720" w:right="720" w:bottom="720" w:left="720" w:header="851" w:footer="992" w:gutter="0"/>
          <w:cols w:space="720"/>
          <w:docGrid w:type="lines" w:linePitch="312"/>
        </w:sectPr>
      </w:pP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Extended Data Fig. 2 | </w:t>
      </w:r>
      <w:r w:rsidRPr="00D732E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Benchmarking PanPep, DlpTCR, and ERGO-II using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t</w:t>
      </w:r>
      <w:r w:rsidRPr="00D732E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he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O</w:t>
      </w:r>
      <w:r w:rsidRPr="00D732E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riginal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T</w:t>
      </w:r>
      <w:r w:rsidRPr="00D732E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est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D</w:t>
      </w:r>
      <w:r w:rsidRPr="00D732E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atasets from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t</w:t>
      </w:r>
      <w:r w:rsidRPr="00D732E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he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R</w:t>
      </w:r>
      <w:r w:rsidRPr="00D732E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espective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C</w:t>
      </w:r>
      <w:r w:rsidRPr="00D732E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ontrol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S</w:t>
      </w:r>
      <w:r w:rsidRPr="00D732E8">
        <w:rPr>
          <w:rFonts w:ascii="Arial" w:eastAsia="Arial" w:hAnsi="Arial" w:cs="Arial"/>
          <w:b/>
          <w:bCs/>
          <w:color w:val="0070C0"/>
          <w:sz w:val="20"/>
          <w:szCs w:val="20"/>
        </w:rPr>
        <w:t>tudies</w:t>
      </w:r>
      <w:r w:rsidRPr="008A1E92">
        <w:rPr>
          <w:rFonts w:ascii="Arial" w:eastAsia="Arial" w:hAnsi="Arial" w:cs="Arial"/>
          <w:color w:val="0070C0"/>
          <w:sz w:val="20"/>
          <w:szCs w:val="20"/>
        </w:rPr>
        <w:t xml:space="preserve">. </w:t>
      </w:r>
      <w:r>
        <w:rPr>
          <w:rFonts w:ascii="Arial" w:eastAsia="Arial" w:hAnsi="Arial" w:cs="Arial"/>
          <w:color w:val="0070C0"/>
          <w:sz w:val="20"/>
          <w:szCs w:val="20"/>
        </w:rPr>
        <w:t>(</w:t>
      </w:r>
      <w:r w:rsidRPr="008A1E92">
        <w:rPr>
          <w:rFonts w:ascii="Arial" w:eastAsia="Arial" w:hAnsi="Arial" w:cs="Arial"/>
          <w:b/>
          <w:bCs/>
          <w:color w:val="0070C0"/>
          <w:sz w:val="20"/>
          <w:szCs w:val="20"/>
        </w:rPr>
        <w:t>a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8A1E92">
        <w:rPr>
          <w:rFonts w:ascii="Arial" w:eastAsia="Arial" w:hAnsi="Arial" w:cs="Arial"/>
          <w:b/>
          <w:bCs/>
          <w:color w:val="0070C0"/>
          <w:sz w:val="20"/>
          <w:szCs w:val="20"/>
        </w:rPr>
        <w:t>b</w:t>
      </w:r>
      <w:r>
        <w:rPr>
          <w:rFonts w:ascii="Arial" w:eastAsia="Arial" w:hAnsi="Arial" w:cs="Arial"/>
          <w:color w:val="0070C0"/>
          <w:sz w:val="20"/>
          <w:szCs w:val="20"/>
        </w:rPr>
        <w:t xml:space="preserve">) </w:t>
      </w:r>
      <w:r w:rsidRPr="008A1E92">
        <w:rPr>
          <w:rFonts w:ascii="Arial" w:eastAsia="Arial" w:hAnsi="Arial" w:cs="Arial"/>
          <w:color w:val="0070C0"/>
          <w:sz w:val="20"/>
          <w:szCs w:val="20"/>
        </w:rPr>
        <w:t xml:space="preserve">ROC-AUC and PR-AUC scores of PanPep, DlpTCR, and ERGO-II evaluated on the test dataset provided in the DlpTCR study. </w:t>
      </w:r>
      <w:r>
        <w:rPr>
          <w:rFonts w:ascii="Arial" w:eastAsia="Arial" w:hAnsi="Arial" w:cs="Arial"/>
          <w:color w:val="0070C0"/>
          <w:sz w:val="20"/>
          <w:szCs w:val="20"/>
        </w:rPr>
        <w:t>(</w:t>
      </w:r>
      <w:r w:rsidRPr="008A1E92">
        <w:rPr>
          <w:rFonts w:ascii="Arial" w:eastAsia="Arial" w:hAnsi="Arial" w:cs="Arial"/>
          <w:b/>
          <w:bCs/>
          <w:color w:val="0070C0"/>
          <w:sz w:val="20"/>
          <w:szCs w:val="20"/>
        </w:rPr>
        <w:t>c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8A1E92">
        <w:rPr>
          <w:rFonts w:ascii="Arial" w:eastAsia="Arial" w:hAnsi="Arial" w:cs="Arial"/>
          <w:b/>
          <w:bCs/>
          <w:color w:val="0070C0"/>
          <w:sz w:val="20"/>
          <w:szCs w:val="20"/>
        </w:rPr>
        <w:t>d</w:t>
      </w:r>
      <w:r>
        <w:rPr>
          <w:rFonts w:ascii="Arial" w:eastAsia="Arial" w:hAnsi="Arial" w:cs="Arial"/>
          <w:color w:val="0070C0"/>
          <w:sz w:val="20"/>
          <w:szCs w:val="20"/>
        </w:rPr>
        <w:t xml:space="preserve">) </w:t>
      </w:r>
      <w:r w:rsidRPr="008A1E92">
        <w:rPr>
          <w:rFonts w:ascii="Arial" w:eastAsia="Arial" w:hAnsi="Arial" w:cs="Arial"/>
          <w:color w:val="0070C0"/>
          <w:sz w:val="20"/>
          <w:szCs w:val="20"/>
        </w:rPr>
        <w:t>Corresponding evaluation results on the test dataset provided in the ERGO-II study.</w:t>
      </w:r>
      <w:r>
        <w:rPr>
          <w:rFonts w:ascii="Arial" w:eastAsia="Arial" w:hAnsi="Arial" w:cs="Arial"/>
          <w:color w:val="0070C0"/>
          <w:sz w:val="20"/>
          <w:szCs w:val="20"/>
        </w:rPr>
        <w:t xml:space="preserve"> </w:t>
      </w:r>
    </w:p>
    <w:p w14:paraId="3187CA0C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center"/>
        <w:rPr>
          <w:rFonts w:ascii="Arial" w:eastAsia="DengXian" w:hAnsi="Arial" w:cs="Arial"/>
          <w:b/>
          <w:bCs/>
          <w:kern w:val="2"/>
          <w:sz w:val="22"/>
          <w:szCs w:val="22"/>
        </w:rPr>
      </w:pPr>
      <w:r>
        <w:rPr>
          <w:rFonts w:ascii="Arial" w:eastAsia="DengXian" w:hAnsi="Arial" w:cs="Arial"/>
          <w:b/>
          <w:bCs/>
          <w:noProof/>
          <w:kern w:val="2"/>
          <w:sz w:val="22"/>
          <w:szCs w:val="22"/>
        </w:rPr>
        <w:lastRenderedPageBreak/>
        <w:drawing>
          <wp:inline distT="0" distB="0" distL="0" distR="0" wp14:anchorId="3FA2FE18" wp14:editId="070A3710">
            <wp:extent cx="5181600" cy="6146800"/>
            <wp:effectExtent l="0" t="0" r="0" b="0"/>
            <wp:docPr id="1135466102" name="Picture 5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466102" name="Picture 5" descr="A screenshot of a graph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EFED5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Arial" w:hAnsi="Arial" w:cs="Arial"/>
          <w:color w:val="EE0000"/>
          <w:sz w:val="20"/>
          <w:szCs w:val="20"/>
        </w:rPr>
      </w:pP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>Extended Data Fig. 3</w:t>
      </w:r>
      <w:r w:rsidRPr="00CC7D5E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| 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Confusion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M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atrices of the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T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wo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N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egative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S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ampling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S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trategies in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M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ajority and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F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>ew-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S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hot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G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>roups. (a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b) </w:t>
      </w:r>
      <w:r w:rsidRPr="002D574C">
        <w:rPr>
          <w:rFonts w:ascii="Arial" w:eastAsia="Arial" w:hAnsi="Arial" w:cs="Arial"/>
          <w:color w:val="0070C0"/>
          <w:sz w:val="20"/>
          <w:szCs w:val="20"/>
        </w:rPr>
        <w:t xml:space="preserve">Confusion matrices with corresponding ROC-AUC and PR-AUC scores for the majority group from one representative fold of 100-fold cross-validation under background-drawing and reshuffling strategies. 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>(c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2D574C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d) </w:t>
      </w:r>
      <w:r w:rsidRPr="002D574C">
        <w:rPr>
          <w:rFonts w:ascii="Arial" w:eastAsia="Arial" w:hAnsi="Arial" w:cs="Arial"/>
          <w:color w:val="0070C0"/>
          <w:sz w:val="20"/>
          <w:szCs w:val="20"/>
        </w:rPr>
        <w:t>Corresponding confusion matrices and scores for the few-shot group.</w:t>
      </w:r>
    </w:p>
    <w:p w14:paraId="74630E5D" w14:textId="77777777" w:rsidR="003F172C" w:rsidRPr="009933C6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rPr>
          <w:rFonts w:ascii="Arial" w:eastAsia="Arial" w:hAnsi="Arial" w:cs="Arial"/>
          <w:color w:val="0070C0"/>
          <w:sz w:val="20"/>
          <w:szCs w:val="20"/>
        </w:rPr>
      </w:pPr>
    </w:p>
    <w:p w14:paraId="172AEF96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center"/>
        <w:rPr>
          <w:rFonts w:ascii="Arial" w:eastAsia="DengXian" w:hAnsi="Arial" w:cs="Arial"/>
          <w:b/>
          <w:bCs/>
          <w:kern w:val="2"/>
          <w:sz w:val="22"/>
          <w:szCs w:val="22"/>
        </w:rPr>
      </w:pPr>
      <w:r>
        <w:rPr>
          <w:rFonts w:ascii="Arial" w:eastAsia="DengXian" w:hAnsi="Arial" w:cs="Arial"/>
          <w:b/>
          <w:bCs/>
          <w:noProof/>
          <w:kern w:val="2"/>
          <w:sz w:val="22"/>
          <w:szCs w:val="22"/>
        </w:rPr>
        <w:lastRenderedPageBreak/>
        <w:drawing>
          <wp:inline distT="0" distB="0" distL="0" distR="0" wp14:anchorId="2D4DF13B" wp14:editId="2DEF14E4">
            <wp:extent cx="6645910" cy="5474970"/>
            <wp:effectExtent l="0" t="0" r="0" b="0"/>
            <wp:docPr id="1048990948" name="Picture 4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990948" name="Picture 4" descr="A screenshot of a graph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7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61340" w14:textId="77777777" w:rsidR="003F172C" w:rsidRDefault="003F172C" w:rsidP="003F172C">
      <w:pPr>
        <w:widowControl/>
        <w:ind w:left="10" w:hanging="10"/>
        <w:rPr>
          <w:rFonts w:ascii="Arial" w:eastAsia="Arial" w:hAnsi="Arial" w:cs="Arial"/>
          <w:color w:val="0070C0"/>
          <w:sz w:val="20"/>
          <w:szCs w:val="20"/>
        </w:rPr>
      </w:pPr>
      <w:r>
        <w:rPr>
          <w:rFonts w:ascii="Arial" w:eastAsia="Arial" w:hAnsi="Arial" w:cs="Arial"/>
          <w:b/>
          <w:bCs/>
          <w:color w:val="0070C0"/>
          <w:sz w:val="20"/>
          <w:szCs w:val="20"/>
        </w:rPr>
        <w:t>Extended Data</w:t>
      </w:r>
      <w:r w:rsidRPr="00A763B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Fig.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4</w:t>
      </w:r>
      <w:r w:rsidRPr="00A763B8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|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Additional Evaluation Metrics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of PanPep, DlpTCR, and ERGO-II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on the Newly Curated Independent Dataset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. 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>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a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c</w:t>
      </w:r>
      <w:r w:rsidRPr="008B4563">
        <w:rPr>
          <w:rFonts w:ascii="Arial" w:eastAsia="Arial" w:hAnsi="Arial" w:cs="Arial"/>
          <w:color w:val="0070C0"/>
          <w:sz w:val="20"/>
          <w:szCs w:val="20"/>
        </w:rPr>
        <w:t>)</w:t>
      </w:r>
      <w:r>
        <w:rPr>
          <w:rFonts w:ascii="Arial" w:eastAsia="Arial" w:hAnsi="Arial" w:cs="Arial"/>
          <w:color w:val="0070C0"/>
          <w:sz w:val="20"/>
          <w:szCs w:val="20"/>
        </w:rPr>
        <w:t xml:space="preserve"> 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>Hit rates from virtual screening evaluations and PR-AUC scores from classification evaluations using background-</w:t>
      </w:r>
      <w:r>
        <w:rPr>
          <w:rFonts w:ascii="Arial" w:eastAsia="Arial" w:hAnsi="Arial" w:cs="Arial"/>
          <w:color w:val="0070C0"/>
          <w:sz w:val="20"/>
          <w:szCs w:val="20"/>
        </w:rPr>
        <w:t>drawing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 xml:space="preserve"> and </w:t>
      </w:r>
      <w:r>
        <w:rPr>
          <w:rFonts w:ascii="Arial" w:eastAsia="Arial" w:hAnsi="Arial" w:cs="Arial"/>
          <w:color w:val="0070C0"/>
          <w:sz w:val="20"/>
          <w:szCs w:val="20"/>
        </w:rPr>
        <w:t>reshuffling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 xml:space="preserve"> strategies in the zero-shot setting on the entire dataset</w:t>
      </w:r>
      <w:r>
        <w:rPr>
          <w:rFonts w:ascii="Arial" w:eastAsia="Arial" w:hAnsi="Arial" w:cs="Arial"/>
          <w:color w:val="0070C0"/>
          <w:sz w:val="20"/>
          <w:szCs w:val="20"/>
        </w:rPr>
        <w:t>. 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d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f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for the majority group in the majority setting. 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g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i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for the few-shot group in the few-shot setting. 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j-l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for the zero-shot group in the zero-shot setting.</w:t>
      </w:r>
    </w:p>
    <w:p w14:paraId="668D5C35" w14:textId="77777777" w:rsidR="003F172C" w:rsidRDefault="003F172C" w:rsidP="003F172C">
      <w:pPr>
        <w:widowControl/>
        <w:ind w:left="10" w:hanging="10"/>
        <w:rPr>
          <w:rFonts w:ascii="Arial" w:eastAsia="Arial" w:hAnsi="Arial" w:cs="Arial"/>
          <w:color w:val="0070C0"/>
          <w:sz w:val="20"/>
          <w:szCs w:val="20"/>
        </w:rPr>
      </w:pPr>
    </w:p>
    <w:p w14:paraId="581754EA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center"/>
        <w:rPr>
          <w:rFonts w:ascii="Arial" w:eastAsia="DengXian" w:hAnsi="Arial" w:cs="Arial"/>
          <w:b/>
          <w:bCs/>
          <w:kern w:val="2"/>
          <w:sz w:val="22"/>
          <w:szCs w:val="22"/>
        </w:rPr>
      </w:pPr>
      <w:r>
        <w:rPr>
          <w:rFonts w:ascii="Arial" w:eastAsia="DengXian" w:hAnsi="Arial" w:cs="Arial"/>
          <w:b/>
          <w:bCs/>
          <w:noProof/>
          <w:kern w:val="2"/>
          <w:sz w:val="22"/>
          <w:szCs w:val="22"/>
        </w:rPr>
        <w:lastRenderedPageBreak/>
        <w:drawing>
          <wp:inline distT="0" distB="0" distL="0" distR="0" wp14:anchorId="12198640" wp14:editId="48012B85">
            <wp:extent cx="6645910" cy="7249795"/>
            <wp:effectExtent l="0" t="0" r="0" b="1905"/>
            <wp:docPr id="1655327862" name="Picture 3" descr="A char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327862" name="Picture 3" descr="A chart of a graph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4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171EC" w14:textId="77777777" w:rsidR="003F172C" w:rsidRDefault="003F172C" w:rsidP="003F172C">
      <w:pPr>
        <w:widowControl/>
        <w:ind w:left="10" w:hanging="10"/>
        <w:rPr>
          <w:rFonts w:ascii="Arial" w:eastAsia="Arial" w:hAnsi="Arial" w:cs="Arial"/>
          <w:color w:val="0070C0"/>
          <w:sz w:val="20"/>
          <w:szCs w:val="20"/>
        </w:rPr>
      </w:pPr>
      <w:r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Extended Data 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Fig.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5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|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Additional Evaluation Metrics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of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Reproduced 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PanPep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on the Independent Dataset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. </w:t>
      </w:r>
      <w:r w:rsidRPr="00844BC9">
        <w:rPr>
          <w:rFonts w:ascii="Arial" w:eastAsia="Arial" w:hAnsi="Arial" w:cs="Arial"/>
          <w:color w:val="0070C0"/>
          <w:sz w:val="20"/>
          <w:szCs w:val="20"/>
        </w:rPr>
        <w:t>(</w:t>
      </w:r>
      <w:r w:rsidRPr="00844BC9">
        <w:rPr>
          <w:rFonts w:ascii="Arial" w:eastAsia="Arial" w:hAnsi="Arial" w:cs="Arial"/>
          <w:b/>
          <w:bCs/>
          <w:color w:val="0070C0"/>
          <w:sz w:val="20"/>
          <w:szCs w:val="20"/>
        </w:rPr>
        <w:t>a-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c</w:t>
      </w:r>
      <w:r w:rsidRPr="00844BC9">
        <w:rPr>
          <w:rFonts w:ascii="Arial" w:eastAsia="Arial" w:hAnsi="Arial" w:cs="Arial"/>
          <w:color w:val="0070C0"/>
          <w:sz w:val="20"/>
          <w:szCs w:val="20"/>
        </w:rPr>
        <w:t xml:space="preserve">) 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>Hit rates from virtual screening evaluations and PR-AUC scores from classification evaluations using background-</w:t>
      </w:r>
      <w:r>
        <w:rPr>
          <w:rFonts w:ascii="Arial" w:eastAsia="Arial" w:hAnsi="Arial" w:cs="Arial"/>
          <w:color w:val="0070C0"/>
          <w:sz w:val="20"/>
          <w:szCs w:val="20"/>
        </w:rPr>
        <w:t>drawing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 xml:space="preserve"> and </w:t>
      </w:r>
      <w:r>
        <w:rPr>
          <w:rFonts w:ascii="Arial" w:eastAsia="Arial" w:hAnsi="Arial" w:cs="Arial"/>
          <w:color w:val="0070C0"/>
          <w:sz w:val="20"/>
          <w:szCs w:val="20"/>
        </w:rPr>
        <w:t>reshuffling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 xml:space="preserve"> strategies in the zero-shot setting on the entire dataset</w:t>
      </w:r>
      <w:r>
        <w:rPr>
          <w:rFonts w:ascii="Arial" w:eastAsia="Arial" w:hAnsi="Arial" w:cs="Arial"/>
          <w:color w:val="0070C0"/>
          <w:sz w:val="20"/>
          <w:szCs w:val="20"/>
        </w:rPr>
        <w:t>. 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d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f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for the majority group in the majority setting. 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g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i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for the few-shot group in the few-shot setting. 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j-l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for the zero-shot group in the zero-shot setting.</w:t>
      </w:r>
    </w:p>
    <w:p w14:paraId="281C2734" w14:textId="77777777" w:rsidR="003F172C" w:rsidRDefault="003F172C" w:rsidP="003F172C">
      <w:pPr>
        <w:widowControl/>
        <w:ind w:left="10" w:hanging="10"/>
        <w:rPr>
          <w:rFonts w:ascii="Arial" w:eastAsia="DengXian" w:hAnsi="Arial" w:cs="Arial"/>
          <w:b/>
          <w:bCs/>
          <w:sz w:val="22"/>
          <w:szCs w:val="22"/>
        </w:rPr>
      </w:pPr>
      <w:r>
        <w:rPr>
          <w:rFonts w:ascii="Arial" w:eastAsia="DengXian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481C15EA" wp14:editId="6FEF6C19">
            <wp:extent cx="6591300" cy="6527800"/>
            <wp:effectExtent l="0" t="0" r="0" b="0"/>
            <wp:docPr id="1252936597" name="Picture 2" descr="A screenshot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936597" name="Picture 2" descr="A screenshot of a diagram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652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8BFC5" w14:textId="77777777" w:rsidR="003F172C" w:rsidRDefault="003F172C" w:rsidP="003F172C">
      <w:pPr>
        <w:widowControl/>
        <w:ind w:left="10" w:hanging="10"/>
        <w:rPr>
          <w:rFonts w:ascii="Arial" w:eastAsia="Arial" w:hAnsi="Arial" w:cs="Arial"/>
          <w:color w:val="0070C0"/>
          <w:sz w:val="20"/>
          <w:szCs w:val="20"/>
        </w:rPr>
      </w:pPr>
      <w:r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Extended Data 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Fig.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6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|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Additional Evaluation Metrics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of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10-fold Reproduced 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PanPep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on the Peptide-TCR</w:t>
      </w:r>
      <w:r w:rsidRPr="009F1C7B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α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B</w:t>
      </w:r>
      <w:r w:rsidRPr="009F1C7B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inding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Scenario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. </w:t>
      </w:r>
      <w:r w:rsidRPr="00844BC9">
        <w:rPr>
          <w:rFonts w:ascii="Arial" w:eastAsia="Arial" w:hAnsi="Arial" w:cs="Arial"/>
          <w:color w:val="0070C0"/>
          <w:sz w:val="20"/>
          <w:szCs w:val="20"/>
        </w:rPr>
        <w:t>(</w:t>
      </w:r>
      <w:r w:rsidRPr="00844BC9">
        <w:rPr>
          <w:rFonts w:ascii="Arial" w:eastAsia="Arial" w:hAnsi="Arial" w:cs="Arial"/>
          <w:b/>
          <w:bCs/>
          <w:color w:val="0070C0"/>
          <w:sz w:val="20"/>
          <w:szCs w:val="20"/>
        </w:rPr>
        <w:t>a-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c</w:t>
      </w:r>
      <w:r w:rsidRPr="00844BC9">
        <w:rPr>
          <w:rFonts w:ascii="Arial" w:eastAsia="Arial" w:hAnsi="Arial" w:cs="Arial"/>
          <w:color w:val="0070C0"/>
          <w:sz w:val="20"/>
          <w:szCs w:val="20"/>
        </w:rPr>
        <w:t xml:space="preserve">) 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>Hit rates from virtual screening evaluations and PR-AUC scores from classification evaluations using background-</w:t>
      </w:r>
      <w:r>
        <w:rPr>
          <w:rFonts w:ascii="Arial" w:eastAsia="Arial" w:hAnsi="Arial" w:cs="Arial"/>
          <w:color w:val="0070C0"/>
          <w:sz w:val="20"/>
          <w:szCs w:val="20"/>
        </w:rPr>
        <w:t>drawing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 xml:space="preserve"> and </w:t>
      </w:r>
      <w:r>
        <w:rPr>
          <w:rFonts w:ascii="Arial" w:eastAsia="Arial" w:hAnsi="Arial" w:cs="Arial"/>
          <w:color w:val="0070C0"/>
          <w:sz w:val="20"/>
          <w:szCs w:val="20"/>
        </w:rPr>
        <w:t>reshuffling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 xml:space="preserve"> strategies in </w:t>
      </w:r>
      <w:r>
        <w:rPr>
          <w:rFonts w:ascii="Arial" w:eastAsia="Arial" w:hAnsi="Arial" w:cs="Arial"/>
          <w:color w:val="0070C0"/>
          <w:sz w:val="20"/>
          <w:szCs w:val="20"/>
        </w:rPr>
        <w:t>the majority setting. (</w:t>
      </w:r>
      <w:r>
        <w:rPr>
          <w:rFonts w:ascii="Cambria" w:eastAsia="Arial" w:hAnsi="Cambria" w:cs="Apple Color Emoji"/>
          <w:b/>
          <w:bCs/>
          <w:color w:val="0070C0"/>
          <w:sz w:val="20"/>
          <w:szCs w:val="20"/>
        </w:rPr>
        <w:t>d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-f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in the few-shot setting. (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g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i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in the zero-shot setting.</w:t>
      </w:r>
    </w:p>
    <w:p w14:paraId="5F81C626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center"/>
        <w:rPr>
          <w:rFonts w:ascii="Arial" w:eastAsia="DengXian" w:hAnsi="Arial" w:cs="Arial"/>
          <w:b/>
          <w:bCs/>
          <w:kern w:val="2"/>
          <w:sz w:val="22"/>
          <w:szCs w:val="22"/>
        </w:rPr>
      </w:pPr>
      <w:r>
        <w:rPr>
          <w:rFonts w:ascii="Arial" w:eastAsia="DengXian" w:hAnsi="Arial" w:cs="Arial"/>
          <w:b/>
          <w:bCs/>
          <w:noProof/>
          <w:kern w:val="2"/>
          <w:sz w:val="22"/>
          <w:szCs w:val="22"/>
        </w:rPr>
        <w:lastRenderedPageBreak/>
        <w:drawing>
          <wp:inline distT="0" distB="0" distL="0" distR="0" wp14:anchorId="1FD5B35D" wp14:editId="644EC289">
            <wp:extent cx="6645910" cy="6873240"/>
            <wp:effectExtent l="0" t="0" r="0" b="0"/>
            <wp:docPr id="875425470" name="Picture 1" descr="A screenshot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425470" name="Picture 1" descr="A screenshot of a diagram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7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B9AFD" w14:textId="77777777" w:rsidR="003F172C" w:rsidRDefault="003F172C" w:rsidP="003F172C">
      <w:pPr>
        <w:widowControl/>
        <w:ind w:left="10" w:hanging="10"/>
        <w:rPr>
          <w:rFonts w:ascii="Arial" w:eastAsia="Arial" w:hAnsi="Arial" w:cs="Arial"/>
          <w:color w:val="0070C0"/>
          <w:sz w:val="20"/>
          <w:szCs w:val="20"/>
        </w:rPr>
      </w:pPr>
      <w:r>
        <w:rPr>
          <w:rFonts w:ascii="Arial" w:eastAsia="Arial" w:hAnsi="Arial" w:cs="Arial"/>
          <w:b/>
          <w:bCs/>
          <w:color w:val="0070C0"/>
          <w:sz w:val="20"/>
          <w:szCs w:val="20"/>
        </w:rPr>
        <w:t>Extended Data</w:t>
      </w:r>
      <w:r w:rsidRPr="00B0300B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Fig. 7 |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Additional Evaluation Metrics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of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10-fold Reproduced 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PanPep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on the Peptide-TCR</w:t>
      </w:r>
      <w:r w:rsidRPr="009F1C7B">
        <w:rPr>
          <w:rFonts w:ascii="Arial" w:eastAsia="Arial" w:hAnsi="Arial" w:cs="Arial"/>
          <w:b/>
          <w:bCs/>
          <w:color w:val="0070C0"/>
          <w:sz w:val="20"/>
          <w:szCs w:val="20"/>
        </w:rPr>
        <w:t>α</w:t>
      </w:r>
      <w:r w:rsidRPr="00EA0E4D">
        <w:rPr>
          <w:rFonts w:ascii="Arial" w:eastAsia="Arial" w:hAnsi="Arial" w:cs="Arial"/>
          <w:b/>
          <w:bCs/>
          <w:color w:val="0070C0"/>
          <w:sz w:val="20"/>
          <w:szCs w:val="20"/>
        </w:rPr>
        <w:t>β</w:t>
      </w:r>
      <w:r w:rsidRPr="009F1C7B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B</w:t>
      </w:r>
      <w:r w:rsidRPr="009F1C7B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inding 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Scenario</w:t>
      </w:r>
      <w:r w:rsidRPr="008B4563">
        <w:rPr>
          <w:rFonts w:ascii="Arial" w:eastAsia="Arial" w:hAnsi="Arial" w:cs="Arial"/>
          <w:b/>
          <w:bCs/>
          <w:color w:val="0070C0"/>
          <w:sz w:val="20"/>
          <w:szCs w:val="20"/>
        </w:rPr>
        <w:t xml:space="preserve">. </w:t>
      </w:r>
      <w:r w:rsidRPr="00844BC9">
        <w:rPr>
          <w:rFonts w:ascii="Arial" w:eastAsia="Arial" w:hAnsi="Arial" w:cs="Arial"/>
          <w:color w:val="0070C0"/>
          <w:sz w:val="20"/>
          <w:szCs w:val="20"/>
        </w:rPr>
        <w:t>(</w:t>
      </w:r>
      <w:r w:rsidRPr="00844BC9">
        <w:rPr>
          <w:rFonts w:ascii="Arial" w:eastAsia="Arial" w:hAnsi="Arial" w:cs="Arial"/>
          <w:b/>
          <w:bCs/>
          <w:color w:val="0070C0"/>
          <w:sz w:val="20"/>
          <w:szCs w:val="20"/>
        </w:rPr>
        <w:t>a-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c</w:t>
      </w:r>
      <w:r w:rsidRPr="00844BC9">
        <w:rPr>
          <w:rFonts w:ascii="Arial" w:eastAsia="Arial" w:hAnsi="Arial" w:cs="Arial"/>
          <w:color w:val="0070C0"/>
          <w:sz w:val="20"/>
          <w:szCs w:val="20"/>
        </w:rPr>
        <w:t xml:space="preserve">) 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>Hit rates from virtual screening evaluations and PR-AUC scores from classification evaluations using background-</w:t>
      </w:r>
      <w:r>
        <w:rPr>
          <w:rFonts w:ascii="Arial" w:eastAsia="Arial" w:hAnsi="Arial" w:cs="Arial"/>
          <w:color w:val="0070C0"/>
          <w:sz w:val="20"/>
          <w:szCs w:val="20"/>
        </w:rPr>
        <w:t>drawing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 xml:space="preserve"> and </w:t>
      </w:r>
      <w:r>
        <w:rPr>
          <w:rFonts w:ascii="Arial" w:eastAsia="Arial" w:hAnsi="Arial" w:cs="Arial"/>
          <w:color w:val="0070C0"/>
          <w:sz w:val="20"/>
          <w:szCs w:val="20"/>
        </w:rPr>
        <w:t>reshuffling</w:t>
      </w:r>
      <w:r w:rsidRPr="00D10683">
        <w:rPr>
          <w:rFonts w:ascii="Arial" w:eastAsia="Arial" w:hAnsi="Arial" w:cs="Arial"/>
          <w:color w:val="0070C0"/>
          <w:sz w:val="20"/>
          <w:szCs w:val="20"/>
        </w:rPr>
        <w:t xml:space="preserve"> strategies in the zero-shot setting on the entire dataset</w:t>
      </w:r>
      <w:r>
        <w:rPr>
          <w:rFonts w:ascii="Arial" w:eastAsia="Arial" w:hAnsi="Arial" w:cs="Arial"/>
          <w:color w:val="0070C0"/>
          <w:sz w:val="20"/>
          <w:szCs w:val="20"/>
        </w:rPr>
        <w:t>. 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d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f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for the majority group in the majority setting. 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g</w:t>
      </w:r>
      <w:r>
        <w:rPr>
          <w:rFonts w:ascii="Arial" w:eastAsia="Arial" w:hAnsi="Arial" w:cs="Arial"/>
          <w:b/>
          <w:bCs/>
          <w:color w:val="0070C0"/>
          <w:sz w:val="20"/>
          <w:szCs w:val="20"/>
        </w:rPr>
        <w:t>-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i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for the few-shot group in the few-shot setting. (</w:t>
      </w:r>
      <w:r w:rsidRPr="00D10683">
        <w:rPr>
          <w:rFonts w:ascii="Arial" w:eastAsia="Arial" w:hAnsi="Arial" w:cs="Arial"/>
          <w:b/>
          <w:bCs/>
          <w:color w:val="0070C0"/>
          <w:sz w:val="20"/>
          <w:szCs w:val="20"/>
        </w:rPr>
        <w:t>j-l</w:t>
      </w:r>
      <w:r>
        <w:rPr>
          <w:rFonts w:ascii="Arial" w:eastAsia="Arial" w:hAnsi="Arial" w:cs="Arial"/>
          <w:color w:val="0070C0"/>
          <w:sz w:val="20"/>
          <w:szCs w:val="20"/>
        </w:rPr>
        <w:t>) Corresponding evaluations for the zero-shot group in the zero-shot setting.</w:t>
      </w:r>
    </w:p>
    <w:p w14:paraId="3C95A710" w14:textId="77777777" w:rsidR="003F172C" w:rsidRDefault="003F172C" w:rsidP="003F172C">
      <w:pPr>
        <w:pStyle w:val="NormalWeb"/>
        <w:widowControl/>
        <w:shd w:val="clear" w:color="auto" w:fill="FFFFFF"/>
        <w:spacing w:before="0" w:beforeAutospacing="0" w:after="120" w:afterAutospacing="0"/>
        <w:jc w:val="both"/>
        <w:rPr>
          <w:rFonts w:ascii="Arial" w:eastAsia="DengXian" w:hAnsi="Arial" w:cs="Arial"/>
          <w:kern w:val="2"/>
          <w:sz w:val="22"/>
          <w:szCs w:val="22"/>
        </w:rPr>
      </w:pPr>
    </w:p>
    <w:p w14:paraId="17F66D57" w14:textId="77777777" w:rsidR="004E780C" w:rsidRDefault="004E780C"/>
    <w:sectPr w:rsidR="004E780C" w:rsidSect="003F172C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 Color Emoji"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9F41C" w14:textId="77777777" w:rsidR="003F172C" w:rsidRDefault="003F172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1366B70F" w14:textId="77777777" w:rsidR="003F172C" w:rsidRDefault="003F172C" w:rsidP="00C1512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ED7F4" w14:textId="77777777" w:rsidR="003F172C" w:rsidRDefault="003F172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D2F76B8" w14:textId="77777777" w:rsidR="003F172C" w:rsidRDefault="003F172C" w:rsidP="00C15122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72C"/>
    <w:rsid w:val="002978F5"/>
    <w:rsid w:val="003852CF"/>
    <w:rsid w:val="003F172C"/>
    <w:rsid w:val="004E780C"/>
    <w:rsid w:val="009651A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13A8C"/>
  <w15:chartTrackingRefBased/>
  <w15:docId w15:val="{931892EF-EA0F-478A-8F47-2BBAA52A8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72C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172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172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172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172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172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172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172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172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172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17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17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17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17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17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17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17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17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17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172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17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172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17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172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17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172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17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172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17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172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qFormat/>
    <w:rsid w:val="003F172C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Footer">
    <w:name w:val="footer"/>
    <w:basedOn w:val="Normal"/>
    <w:link w:val="FooterChar"/>
    <w:rsid w:val="003F17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F172C"/>
    <w:rPr>
      <w:rFonts w:ascii="Calibri" w:eastAsia="SimSun" w:hAnsi="Calibri" w:cs="Times New Roman"/>
      <w:sz w:val="21"/>
      <w:lang w:eastAsia="zh-CN"/>
      <w14:ligatures w14:val="none"/>
    </w:rPr>
  </w:style>
  <w:style w:type="character" w:styleId="PageNumber">
    <w:name w:val="page number"/>
    <w:basedOn w:val="DefaultParagraphFont"/>
    <w:rsid w:val="003F17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0" Type="http://schemas.openxmlformats.org/officeDocument/2006/relationships/image" Target="media/image5.jpeg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634</Words>
  <Characters>3619</Characters>
  <Application>Microsoft Office Word</Application>
  <DocSecurity>0</DocSecurity>
  <Lines>30</Lines>
  <Paragraphs>8</Paragraphs>
  <ScaleCrop>false</ScaleCrop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2025-09-19T06:50:00Z</dcterms:created>
  <dcterms:modified xsi:type="dcterms:W3CDTF">2025-09-19T06:50:00Z</dcterms:modified>
</cp:coreProperties>
</file>