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2577" w14:textId="2D790324" w:rsidR="00DC6AF3" w:rsidRDefault="00DC6AF3" w:rsidP="00DC6AF3">
      <w:pPr>
        <w:pStyle w:val="TableTitle"/>
      </w:pPr>
      <w:r w:rsidRPr="00781FF8">
        <w:t xml:space="preserve">Table </w:t>
      </w:r>
      <w:r>
        <w:rPr>
          <w:rFonts w:hint="eastAsia"/>
        </w:rPr>
        <w:t>S1</w:t>
      </w:r>
      <w:r w:rsidRPr="00781FF8">
        <w:t xml:space="preserve">. </w:t>
      </w:r>
      <w:r w:rsidRPr="00391240">
        <w:t>Overview of Data Quality Assessment Frameworks Categorized by Development Methodology</w:t>
      </w:r>
    </w:p>
    <w:tbl>
      <w:tblPr>
        <w:tblStyle w:val="TableTex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4454"/>
        <w:gridCol w:w="4967"/>
      </w:tblGrid>
      <w:tr w:rsidR="004A6CD6" w:rsidRPr="00B01284" w14:paraId="00E32977" w14:textId="77777777" w:rsidTr="004A6CD6">
        <w:trPr>
          <w:trHeight w:val="405"/>
          <w:jc w:val="center"/>
        </w:trPr>
        <w:tc>
          <w:tcPr>
            <w:tcW w:w="1985" w:type="dxa"/>
            <w:tcBorders>
              <w:bottom w:val="single" w:sz="8" w:space="0" w:color="auto"/>
            </w:tcBorders>
            <w:noWrap/>
            <w:hideMark/>
          </w:tcPr>
          <w:p w14:paraId="100FCE11" w14:textId="77777777" w:rsidR="004A6CD6" w:rsidRPr="00B01284" w:rsidRDefault="004A6CD6" w:rsidP="004A6CD6">
            <w:pPr>
              <w:jc w:val="center"/>
            </w:pPr>
            <w:r w:rsidRPr="00B01284">
              <w:t>Reference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noWrap/>
            <w:hideMark/>
          </w:tcPr>
          <w:p w14:paraId="496111E8" w14:textId="77777777" w:rsidR="004A6CD6" w:rsidRPr="00B01284" w:rsidRDefault="004A6CD6" w:rsidP="004A6CD6">
            <w:pPr>
              <w:jc w:val="center"/>
            </w:pPr>
            <w:r w:rsidRPr="00B01284">
              <w:t>Broad Category of Data Evaluated</w:t>
            </w:r>
          </w:p>
        </w:tc>
        <w:tc>
          <w:tcPr>
            <w:tcW w:w="9421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2BF8BFCF" w14:textId="77777777" w:rsidR="004A6CD6" w:rsidRPr="00B01284" w:rsidRDefault="004A6CD6" w:rsidP="004A6CD6">
            <w:pPr>
              <w:jc w:val="center"/>
            </w:pPr>
            <w:r w:rsidRPr="00B01284">
              <w:t>Framework Development Methodology</w:t>
            </w:r>
          </w:p>
        </w:tc>
      </w:tr>
      <w:tr w:rsidR="004A6CD6" w:rsidRPr="00B01284" w14:paraId="7D431C96" w14:textId="77777777" w:rsidTr="004A6CD6">
        <w:trPr>
          <w:gridAfter w:val="1"/>
          <w:wAfter w:w="4967" w:type="dxa"/>
          <w:trHeight w:val="945"/>
          <w:jc w:val="center"/>
        </w:trPr>
        <w:tc>
          <w:tcPr>
            <w:tcW w:w="8990" w:type="dxa"/>
            <w:gridSpan w:val="3"/>
            <w:tcBorders>
              <w:top w:val="single" w:sz="8" w:space="0" w:color="auto"/>
              <w:bottom w:val="nil"/>
            </w:tcBorders>
            <w:noWrap/>
            <w:hideMark/>
          </w:tcPr>
          <w:p w14:paraId="25BA75BA" w14:textId="77777777" w:rsidR="004A6CD6" w:rsidRPr="00B01284" w:rsidRDefault="004A6CD6" w:rsidP="004A6CD6">
            <w:pPr>
              <w:jc w:val="left"/>
              <w:rPr>
                <w:b/>
                <w:bCs/>
              </w:rPr>
            </w:pPr>
            <w:r w:rsidRPr="00B01284">
              <w:rPr>
                <w:b/>
                <w:bCs/>
              </w:rPr>
              <w:t>Category 1: Induction and Synthesis from Systematic Literature Reviews</w:t>
            </w:r>
          </w:p>
        </w:tc>
      </w:tr>
      <w:tr w:rsidR="004A6CD6" w:rsidRPr="00B01284" w14:paraId="6DADB4A1" w14:textId="77777777" w:rsidTr="004A6CD6">
        <w:trPr>
          <w:trHeight w:val="945"/>
          <w:jc w:val="center"/>
        </w:trPr>
        <w:tc>
          <w:tcPr>
            <w:tcW w:w="1985" w:type="dxa"/>
            <w:tcBorders>
              <w:top w:val="nil"/>
            </w:tcBorders>
            <w:noWrap/>
            <w:hideMark/>
          </w:tcPr>
          <w:p w14:paraId="12AC9ECB" w14:textId="01CFD1E9" w:rsidR="004A6CD6" w:rsidRPr="00B01284" w:rsidRDefault="004A6CD6" w:rsidP="004A6CD6">
            <w:pPr>
              <w:jc w:val="center"/>
            </w:pPr>
            <w:r w:rsidRPr="00B01284">
              <w:t>Schwabe et al.</w:t>
            </w: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14:paraId="03548A05" w14:textId="77777777" w:rsidR="004A6CD6" w:rsidRPr="00B01284" w:rsidRDefault="004A6CD6" w:rsidP="004A6CD6">
            <w:pPr>
              <w:jc w:val="center"/>
            </w:pPr>
            <w:r w:rsidRPr="00B01284">
              <w:t>Medical data for model training</w:t>
            </w:r>
          </w:p>
        </w:tc>
        <w:tc>
          <w:tcPr>
            <w:tcW w:w="9421" w:type="dxa"/>
            <w:gridSpan w:val="2"/>
            <w:tcBorders>
              <w:top w:val="nil"/>
            </w:tcBorders>
            <w:noWrap/>
            <w:hideMark/>
          </w:tcPr>
          <w:p w14:paraId="5D3FA51A" w14:textId="77777777" w:rsidR="004A6CD6" w:rsidRPr="00B01284" w:rsidRDefault="004A6CD6" w:rsidP="004A6CD6">
            <w:pPr>
              <w:jc w:val="center"/>
            </w:pPr>
            <w:r w:rsidRPr="00B01284">
              <w:t>The METRIC framework, developed from a systematic review of 120 articles, combined with requirements for medical machine learning, and referencing the Wang &amp; Strong framework and EHR/big data frameworks.</w:t>
            </w:r>
          </w:p>
        </w:tc>
      </w:tr>
      <w:tr w:rsidR="004A6CD6" w:rsidRPr="00B01284" w14:paraId="75E9FCD6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3BF781B2" w14:textId="3723E3D7" w:rsidR="004A6CD6" w:rsidRPr="00B01284" w:rsidRDefault="004A6CD6" w:rsidP="004A6CD6">
            <w:pPr>
              <w:jc w:val="center"/>
            </w:pPr>
            <w:r w:rsidRPr="00B01284">
              <w:t>Fadahunsi et al.</w:t>
            </w:r>
          </w:p>
        </w:tc>
        <w:tc>
          <w:tcPr>
            <w:tcW w:w="2551" w:type="dxa"/>
            <w:noWrap/>
            <w:hideMark/>
          </w:tcPr>
          <w:p w14:paraId="21375139" w14:textId="77777777" w:rsidR="004A6CD6" w:rsidRPr="00B01284" w:rsidRDefault="004A6CD6" w:rsidP="004A6CD6">
            <w:pPr>
              <w:jc w:val="center"/>
            </w:pPr>
            <w:r w:rsidRPr="00B01284">
              <w:t>Electronic health information</w:t>
            </w:r>
          </w:p>
        </w:tc>
        <w:tc>
          <w:tcPr>
            <w:tcW w:w="9421" w:type="dxa"/>
            <w:gridSpan w:val="2"/>
            <w:noWrap/>
            <w:hideMark/>
          </w:tcPr>
          <w:p w14:paraId="6233BD17" w14:textId="77777777" w:rsidR="004A6CD6" w:rsidRPr="00B01284" w:rsidRDefault="004A6CD6" w:rsidP="004A6CD6">
            <w:pPr>
              <w:jc w:val="center"/>
            </w:pPr>
            <w:r w:rsidRPr="00B01284">
              <w:t>A novel Information Quality (IQ) framework, derived from a systematic review and thematic synthesis to identify IQ dimensions in the eHealth domain.</w:t>
            </w:r>
          </w:p>
        </w:tc>
      </w:tr>
      <w:tr w:rsidR="004A6CD6" w:rsidRPr="00B01284" w14:paraId="19526A4F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2C9583A5" w14:textId="463AEFBD" w:rsidR="004A6CD6" w:rsidRPr="00B01284" w:rsidRDefault="004A6CD6" w:rsidP="004A6CD6">
            <w:pPr>
              <w:jc w:val="center"/>
            </w:pPr>
            <w:proofErr w:type="spellStart"/>
            <w:r w:rsidRPr="00B01284">
              <w:t>Patone</w:t>
            </w:r>
            <w:proofErr w:type="spellEnd"/>
            <w:r w:rsidRPr="00B01284">
              <w:t xml:space="preserve"> &amp; Zhang </w:t>
            </w:r>
          </w:p>
        </w:tc>
        <w:tc>
          <w:tcPr>
            <w:tcW w:w="2551" w:type="dxa"/>
            <w:noWrap/>
            <w:hideMark/>
          </w:tcPr>
          <w:p w14:paraId="7EE82BFA" w14:textId="77777777" w:rsidR="004A6CD6" w:rsidRPr="00B01284" w:rsidRDefault="004A6CD6" w:rsidP="004A6CD6">
            <w:pPr>
              <w:jc w:val="center"/>
            </w:pPr>
            <w:r w:rsidRPr="00B01284">
              <w:t>Social media data</w:t>
            </w:r>
          </w:p>
        </w:tc>
        <w:tc>
          <w:tcPr>
            <w:tcW w:w="9421" w:type="dxa"/>
            <w:gridSpan w:val="2"/>
            <w:noWrap/>
            <w:hideMark/>
          </w:tcPr>
          <w:p w14:paraId="2BEC0A43" w14:textId="77777777" w:rsidR="004A6CD6" w:rsidRPr="00B01284" w:rsidRDefault="004A6CD6" w:rsidP="004A6CD6">
            <w:pPr>
              <w:jc w:val="center"/>
            </w:pPr>
            <w:r w:rsidRPr="00B01284">
              <w:t>A data quality framework based on a systematic summary of two statistical analysis methods for social media data.</w:t>
            </w:r>
          </w:p>
        </w:tc>
      </w:tr>
      <w:tr w:rsidR="004A6CD6" w:rsidRPr="00B01284" w14:paraId="0BB766FD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09C5147F" w14:textId="13FE48CC" w:rsidR="004A6CD6" w:rsidRPr="00B01284" w:rsidRDefault="004A6CD6" w:rsidP="004A6CD6">
            <w:pPr>
              <w:jc w:val="center"/>
            </w:pPr>
            <w:r w:rsidRPr="00B01284">
              <w:t xml:space="preserve">Fadahunsi et al. </w:t>
            </w:r>
          </w:p>
        </w:tc>
        <w:tc>
          <w:tcPr>
            <w:tcW w:w="2551" w:type="dxa"/>
            <w:noWrap/>
            <w:hideMark/>
          </w:tcPr>
          <w:p w14:paraId="68AFFDAA" w14:textId="77777777" w:rsidR="004A6CD6" w:rsidRPr="00B01284" w:rsidRDefault="004A6CD6" w:rsidP="004A6CD6">
            <w:pPr>
              <w:jc w:val="center"/>
            </w:pPr>
            <w:r w:rsidRPr="00B01284">
              <w:t>Digital health technology data</w:t>
            </w:r>
          </w:p>
        </w:tc>
        <w:tc>
          <w:tcPr>
            <w:tcW w:w="9421" w:type="dxa"/>
            <w:gridSpan w:val="2"/>
            <w:noWrap/>
            <w:hideMark/>
          </w:tcPr>
          <w:p w14:paraId="42A33F12" w14:textId="77777777" w:rsidR="004A6CD6" w:rsidRPr="00B01284" w:rsidRDefault="004A6CD6" w:rsidP="004A6CD6">
            <w:pPr>
              <w:jc w:val="center"/>
            </w:pPr>
            <w:r w:rsidRPr="00B01284">
              <w:t>A review of existing information quality frameworks, based on information science theories, data quality models, and ISO standards.</w:t>
            </w:r>
          </w:p>
        </w:tc>
      </w:tr>
      <w:tr w:rsidR="004A6CD6" w:rsidRPr="00B01284" w14:paraId="4D280A90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15F6BC66" w14:textId="298EA13D" w:rsidR="004A6CD6" w:rsidRPr="00B01284" w:rsidRDefault="004A6CD6" w:rsidP="004A6CD6">
            <w:pPr>
              <w:jc w:val="center"/>
            </w:pPr>
            <w:r w:rsidRPr="00B01284">
              <w:lastRenderedPageBreak/>
              <w:t xml:space="preserve">Declerck et al. </w:t>
            </w:r>
          </w:p>
        </w:tc>
        <w:tc>
          <w:tcPr>
            <w:tcW w:w="2551" w:type="dxa"/>
            <w:noWrap/>
            <w:hideMark/>
          </w:tcPr>
          <w:p w14:paraId="35A64948" w14:textId="77777777" w:rsidR="004A6CD6" w:rsidRPr="00B01284" w:rsidRDefault="004A6CD6" w:rsidP="004A6CD6">
            <w:pPr>
              <w:jc w:val="center"/>
            </w:pPr>
            <w:r w:rsidRPr="00B01284">
              <w:t>Health data (for secondary use)</w:t>
            </w:r>
          </w:p>
        </w:tc>
        <w:tc>
          <w:tcPr>
            <w:tcW w:w="9421" w:type="dxa"/>
            <w:gridSpan w:val="2"/>
            <w:noWrap/>
            <w:hideMark/>
          </w:tcPr>
          <w:p w14:paraId="475619C9" w14:textId="77777777" w:rsidR="004A6CD6" w:rsidRPr="00B01284" w:rsidRDefault="004A6CD6" w:rsidP="004A6CD6">
            <w:pPr>
              <w:jc w:val="center"/>
            </w:pPr>
            <w:r w:rsidRPr="00B01284">
              <w:t>A review of existing frameworks, based on a systematic analysis of quality assessment methods for the secondary use of health data.</w:t>
            </w:r>
          </w:p>
        </w:tc>
      </w:tr>
      <w:tr w:rsidR="004A6CD6" w:rsidRPr="00B01284" w14:paraId="61761F12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142A0849" w14:textId="63A01C13" w:rsidR="004A6CD6" w:rsidRPr="00B01284" w:rsidRDefault="004A6CD6" w:rsidP="004A6CD6">
            <w:pPr>
              <w:jc w:val="center"/>
            </w:pPr>
            <w:r w:rsidRPr="00B01284">
              <w:t xml:space="preserve">Schmidt et al. </w:t>
            </w:r>
          </w:p>
        </w:tc>
        <w:tc>
          <w:tcPr>
            <w:tcW w:w="2551" w:type="dxa"/>
            <w:noWrap/>
            <w:hideMark/>
          </w:tcPr>
          <w:p w14:paraId="2B8CA76C" w14:textId="77777777" w:rsidR="004A6CD6" w:rsidRPr="00B01284" w:rsidRDefault="004A6CD6" w:rsidP="004A6CD6">
            <w:pPr>
              <w:jc w:val="center"/>
            </w:pPr>
            <w:r w:rsidRPr="00B01284">
              <w:t>Observational health research data</w:t>
            </w:r>
          </w:p>
        </w:tc>
        <w:tc>
          <w:tcPr>
            <w:tcW w:w="9421" w:type="dxa"/>
            <w:gridSpan w:val="2"/>
            <w:noWrap/>
            <w:hideMark/>
          </w:tcPr>
          <w:p w14:paraId="4DFF97FA" w14:textId="77777777" w:rsidR="004A6CD6" w:rsidRPr="00B01284" w:rsidRDefault="004A6CD6" w:rsidP="004A6CD6">
            <w:pPr>
              <w:jc w:val="center"/>
            </w:pPr>
            <w:r w:rsidRPr="00B01284">
              <w:t>A data quality framework developed from the evaluation of existing frameworks and a literature review, with an accompanying R software package.</w:t>
            </w:r>
          </w:p>
        </w:tc>
      </w:tr>
      <w:tr w:rsidR="004A6CD6" w:rsidRPr="00B01284" w14:paraId="05719CAF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0B92D9CC" w14:textId="20A18D6D" w:rsidR="004A6CD6" w:rsidRPr="00B01284" w:rsidRDefault="004A6CD6" w:rsidP="004A6CD6">
            <w:pPr>
              <w:jc w:val="center"/>
            </w:pPr>
            <w:r w:rsidRPr="00B01284">
              <w:t xml:space="preserve">Zhang et al. </w:t>
            </w:r>
          </w:p>
        </w:tc>
        <w:tc>
          <w:tcPr>
            <w:tcW w:w="2551" w:type="dxa"/>
            <w:noWrap/>
            <w:hideMark/>
          </w:tcPr>
          <w:p w14:paraId="1BBA1BF0" w14:textId="77777777" w:rsidR="004A6CD6" w:rsidRPr="00B01284" w:rsidRDefault="004A6CD6" w:rsidP="004A6CD6">
            <w:pPr>
              <w:jc w:val="center"/>
            </w:pPr>
            <w:r w:rsidRPr="00B01284">
              <w:t>Internet of Things (IoT) data</w:t>
            </w:r>
          </w:p>
        </w:tc>
        <w:tc>
          <w:tcPr>
            <w:tcW w:w="9421" w:type="dxa"/>
            <w:gridSpan w:val="2"/>
            <w:noWrap/>
            <w:hideMark/>
          </w:tcPr>
          <w:p w14:paraId="4DCE7BD6" w14:textId="77777777" w:rsidR="004A6CD6" w:rsidRPr="00B01284" w:rsidRDefault="004A6CD6" w:rsidP="004A6CD6">
            <w:pPr>
              <w:jc w:val="center"/>
            </w:pPr>
            <w:r w:rsidRPr="00B01284">
              <w:t>A review of existing frameworks based on ISO/IEC 25012/25024 standards and the requirements of IoT applications.</w:t>
            </w:r>
          </w:p>
        </w:tc>
      </w:tr>
      <w:tr w:rsidR="004A6CD6" w:rsidRPr="00B01284" w14:paraId="15FFE38C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7294942D" w14:textId="6D2CD9A8" w:rsidR="004A6CD6" w:rsidRPr="00B01284" w:rsidRDefault="004A6CD6" w:rsidP="004A6CD6">
            <w:pPr>
              <w:jc w:val="center"/>
            </w:pPr>
            <w:proofErr w:type="spellStart"/>
            <w:r w:rsidRPr="00B01284">
              <w:t>Ijab</w:t>
            </w:r>
            <w:proofErr w:type="spellEnd"/>
            <w:r w:rsidRPr="00B01284">
              <w:t xml:space="preserve"> et al. </w:t>
            </w:r>
          </w:p>
        </w:tc>
        <w:tc>
          <w:tcPr>
            <w:tcW w:w="2551" w:type="dxa"/>
            <w:noWrap/>
            <w:hideMark/>
          </w:tcPr>
          <w:p w14:paraId="490581CD" w14:textId="77777777" w:rsidR="004A6CD6" w:rsidRPr="00B01284" w:rsidRDefault="004A6CD6" w:rsidP="004A6CD6">
            <w:pPr>
              <w:jc w:val="center"/>
            </w:pPr>
            <w:r w:rsidRPr="00B01284">
              <w:t>Big data (in the public sector)</w:t>
            </w:r>
          </w:p>
        </w:tc>
        <w:tc>
          <w:tcPr>
            <w:tcW w:w="9421" w:type="dxa"/>
            <w:gridSpan w:val="2"/>
            <w:noWrap/>
            <w:hideMark/>
          </w:tcPr>
          <w:p w14:paraId="73516E43" w14:textId="77777777" w:rsidR="004A6CD6" w:rsidRPr="00B01284" w:rsidRDefault="004A6CD6" w:rsidP="004A6CD6">
            <w:pPr>
              <w:jc w:val="center"/>
            </w:pPr>
            <w:r w:rsidRPr="00B01284">
              <w:t xml:space="preserve">The </w:t>
            </w:r>
            <w:proofErr w:type="spellStart"/>
            <w:r w:rsidRPr="00B01284">
              <w:t>MyPS</w:t>
            </w:r>
            <w:proofErr w:type="spellEnd"/>
            <w:r w:rsidRPr="00B01284">
              <w:t>-ODI framework, based on a systematic literature review and the specific needs of the Malaysian public sector.</w:t>
            </w:r>
          </w:p>
        </w:tc>
      </w:tr>
      <w:tr w:rsidR="004A6CD6" w:rsidRPr="00B01284" w14:paraId="70471960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14C93838" w14:textId="190CC314" w:rsidR="004A6CD6" w:rsidRPr="00B01284" w:rsidRDefault="004A6CD6" w:rsidP="004A6CD6">
            <w:pPr>
              <w:jc w:val="center"/>
            </w:pPr>
            <w:r w:rsidRPr="00B01284">
              <w:t xml:space="preserve">Daikeler et al. </w:t>
            </w:r>
          </w:p>
        </w:tc>
        <w:tc>
          <w:tcPr>
            <w:tcW w:w="2551" w:type="dxa"/>
            <w:noWrap/>
            <w:hideMark/>
          </w:tcPr>
          <w:p w14:paraId="067E8554" w14:textId="77777777" w:rsidR="004A6CD6" w:rsidRPr="00B01284" w:rsidRDefault="004A6CD6" w:rsidP="004A6CD6">
            <w:pPr>
              <w:jc w:val="center"/>
            </w:pPr>
            <w:r w:rsidRPr="00B01284">
              <w:t>Digital social science research data</w:t>
            </w:r>
          </w:p>
        </w:tc>
        <w:tc>
          <w:tcPr>
            <w:tcW w:w="9421" w:type="dxa"/>
            <w:gridSpan w:val="2"/>
            <w:noWrap/>
            <w:hideMark/>
          </w:tcPr>
          <w:p w14:paraId="3ECD97D8" w14:textId="77777777" w:rsidR="004A6CD6" w:rsidRPr="00B01284" w:rsidRDefault="004A6CD6" w:rsidP="004A6CD6">
            <w:pPr>
              <w:jc w:val="center"/>
            </w:pPr>
            <w:r w:rsidRPr="00B01284">
              <w:t>A review of existing frameworks and a decision tree, based on traditional error models (e.g., Total Survey Error, TSE).</w:t>
            </w:r>
          </w:p>
        </w:tc>
      </w:tr>
      <w:tr w:rsidR="004A6CD6" w:rsidRPr="00B01284" w14:paraId="63AD49D8" w14:textId="77777777" w:rsidTr="004A6CD6">
        <w:trPr>
          <w:trHeight w:val="675"/>
          <w:jc w:val="center"/>
        </w:trPr>
        <w:tc>
          <w:tcPr>
            <w:tcW w:w="1985" w:type="dxa"/>
            <w:tcBorders>
              <w:bottom w:val="single" w:sz="8" w:space="0" w:color="auto"/>
            </w:tcBorders>
            <w:noWrap/>
            <w:hideMark/>
          </w:tcPr>
          <w:p w14:paraId="72A564E5" w14:textId="23575278" w:rsidR="004A6CD6" w:rsidRPr="00B01284" w:rsidRDefault="004A6CD6" w:rsidP="004A6CD6">
            <w:pPr>
              <w:jc w:val="center"/>
            </w:pPr>
            <w:r w:rsidRPr="00B01284">
              <w:t xml:space="preserve">Cichy &amp; Rass 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noWrap/>
            <w:hideMark/>
          </w:tcPr>
          <w:p w14:paraId="4E1C8A1F" w14:textId="77777777" w:rsidR="004A6CD6" w:rsidRPr="00B01284" w:rsidRDefault="004A6CD6" w:rsidP="004A6CD6">
            <w:pPr>
              <w:jc w:val="center"/>
            </w:pPr>
            <w:r w:rsidRPr="00B01284">
              <w:t>General business data</w:t>
            </w:r>
          </w:p>
        </w:tc>
        <w:tc>
          <w:tcPr>
            <w:tcW w:w="9421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37EB9483" w14:textId="77777777" w:rsidR="004A6CD6" w:rsidRPr="00B01284" w:rsidRDefault="004A6CD6" w:rsidP="004A6CD6">
            <w:pPr>
              <w:jc w:val="center"/>
            </w:pPr>
            <w:r w:rsidRPr="00B01284">
              <w:t>A review of existing frameworks, focusing on data quality techniques applicable to business environments.</w:t>
            </w:r>
          </w:p>
        </w:tc>
      </w:tr>
      <w:tr w:rsidR="004A6CD6" w:rsidRPr="00B01284" w14:paraId="59FD0F0B" w14:textId="77777777" w:rsidTr="004A6CD6">
        <w:trPr>
          <w:gridAfter w:val="1"/>
          <w:wAfter w:w="4967" w:type="dxa"/>
          <w:trHeight w:val="405"/>
          <w:jc w:val="center"/>
        </w:trPr>
        <w:tc>
          <w:tcPr>
            <w:tcW w:w="8990" w:type="dxa"/>
            <w:gridSpan w:val="3"/>
            <w:tcBorders>
              <w:top w:val="single" w:sz="8" w:space="0" w:color="auto"/>
              <w:bottom w:val="nil"/>
            </w:tcBorders>
            <w:noWrap/>
            <w:hideMark/>
          </w:tcPr>
          <w:p w14:paraId="09F6BEA9" w14:textId="77777777" w:rsidR="004A6CD6" w:rsidRPr="00B01284" w:rsidRDefault="004A6CD6" w:rsidP="004A6CD6">
            <w:pPr>
              <w:jc w:val="left"/>
              <w:rPr>
                <w:b/>
                <w:bCs/>
              </w:rPr>
            </w:pPr>
            <w:bookmarkStart w:id="0" w:name="_Hlk206506863"/>
            <w:r w:rsidRPr="00B01284">
              <w:rPr>
                <w:b/>
                <w:bCs/>
              </w:rPr>
              <w:t>Category 2: Extension and Contextualization of Existing Authoritative Frameworks</w:t>
            </w:r>
            <w:bookmarkEnd w:id="0"/>
          </w:p>
        </w:tc>
      </w:tr>
      <w:tr w:rsidR="004A6CD6" w:rsidRPr="00B01284" w14:paraId="1BB1EF76" w14:textId="77777777" w:rsidTr="004A6CD6">
        <w:trPr>
          <w:trHeight w:val="675"/>
          <w:jc w:val="center"/>
        </w:trPr>
        <w:tc>
          <w:tcPr>
            <w:tcW w:w="1985" w:type="dxa"/>
            <w:tcBorders>
              <w:top w:val="nil"/>
            </w:tcBorders>
            <w:noWrap/>
            <w:hideMark/>
          </w:tcPr>
          <w:p w14:paraId="5C36F4EF" w14:textId="115A68E1" w:rsidR="004A6CD6" w:rsidRPr="00B01284" w:rsidRDefault="004A6CD6" w:rsidP="004A6CD6">
            <w:pPr>
              <w:jc w:val="center"/>
            </w:pPr>
            <w:r w:rsidRPr="00B01284">
              <w:t>Bhana et al.</w:t>
            </w: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14:paraId="435F49CB" w14:textId="77777777" w:rsidR="004A6CD6" w:rsidRPr="00B01284" w:rsidRDefault="004A6CD6" w:rsidP="004A6CD6">
            <w:pPr>
              <w:jc w:val="center"/>
            </w:pPr>
            <w:r w:rsidRPr="00B01284">
              <w:t>Public safety data</w:t>
            </w:r>
          </w:p>
        </w:tc>
        <w:tc>
          <w:tcPr>
            <w:tcW w:w="9421" w:type="dxa"/>
            <w:gridSpan w:val="2"/>
            <w:tcBorders>
              <w:top w:val="nil"/>
            </w:tcBorders>
            <w:noWrap/>
            <w:hideMark/>
          </w:tcPr>
          <w:p w14:paraId="399EC9D6" w14:textId="77777777" w:rsidR="004A6CD6" w:rsidRPr="00B01284" w:rsidRDefault="004A6CD6" w:rsidP="004A6CD6">
            <w:pPr>
              <w:jc w:val="center"/>
            </w:pPr>
            <w:r w:rsidRPr="00B01284">
              <w:t xml:space="preserve">A public safety data quality standard based on Design Science methodology, the DIKAR </w:t>
            </w:r>
            <w:r w:rsidRPr="00B01284">
              <w:lastRenderedPageBreak/>
              <w:t>model, smart city characteristics, and the Wang &amp; Strong data quality framework.</w:t>
            </w:r>
          </w:p>
        </w:tc>
      </w:tr>
      <w:tr w:rsidR="004A6CD6" w:rsidRPr="00B01284" w14:paraId="46190CCF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143C37BE" w14:textId="3772723C" w:rsidR="004A6CD6" w:rsidRPr="00B01284" w:rsidRDefault="004A6CD6" w:rsidP="004A6CD6">
            <w:pPr>
              <w:jc w:val="center"/>
            </w:pPr>
            <w:r w:rsidRPr="00B01284">
              <w:lastRenderedPageBreak/>
              <w:t>Zou &amp; Berger</w:t>
            </w:r>
          </w:p>
        </w:tc>
        <w:tc>
          <w:tcPr>
            <w:tcW w:w="2551" w:type="dxa"/>
            <w:noWrap/>
            <w:hideMark/>
          </w:tcPr>
          <w:p w14:paraId="65333E80" w14:textId="77777777" w:rsidR="004A6CD6" w:rsidRPr="00B01284" w:rsidRDefault="004A6CD6" w:rsidP="004A6CD6">
            <w:pPr>
              <w:jc w:val="center"/>
            </w:pPr>
            <w:r w:rsidRPr="00B01284">
              <w:t>Real-World Data (RWD) (in healthcare)</w:t>
            </w:r>
          </w:p>
        </w:tc>
        <w:tc>
          <w:tcPr>
            <w:tcW w:w="9421" w:type="dxa"/>
            <w:gridSpan w:val="2"/>
            <w:noWrap/>
            <w:hideMark/>
          </w:tcPr>
          <w:p w14:paraId="79F1A377" w14:textId="77777777" w:rsidR="004A6CD6" w:rsidRPr="00B01284" w:rsidRDefault="004A6CD6" w:rsidP="004A6CD6">
            <w:pPr>
              <w:jc w:val="center"/>
            </w:pPr>
            <w:r w:rsidRPr="00B01284">
              <w:t>The ATRACTR screening criteria, based on FDA/EMA data quality frameworks and the FAIR principles.</w:t>
            </w:r>
          </w:p>
        </w:tc>
      </w:tr>
      <w:tr w:rsidR="004A6CD6" w:rsidRPr="00B01284" w14:paraId="3D4C533D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4A0D2F59" w14:textId="0D294470" w:rsidR="004A6CD6" w:rsidRPr="00B01284" w:rsidRDefault="004A6CD6" w:rsidP="004A6CD6">
            <w:pPr>
              <w:jc w:val="center"/>
            </w:pPr>
            <w:r w:rsidRPr="00B01284">
              <w:t>Shabani et al.</w:t>
            </w:r>
          </w:p>
        </w:tc>
        <w:tc>
          <w:tcPr>
            <w:tcW w:w="2551" w:type="dxa"/>
            <w:noWrap/>
            <w:hideMark/>
          </w:tcPr>
          <w:p w14:paraId="76DE547A" w14:textId="77777777" w:rsidR="004A6CD6" w:rsidRPr="00B01284" w:rsidRDefault="004A6CD6" w:rsidP="004A6CD6">
            <w:pPr>
              <w:jc w:val="center"/>
            </w:pPr>
            <w:r w:rsidRPr="00B01284">
              <w:t>Healthcare data (newborn indicators)</w:t>
            </w:r>
          </w:p>
        </w:tc>
        <w:tc>
          <w:tcPr>
            <w:tcW w:w="9421" w:type="dxa"/>
            <w:gridSpan w:val="2"/>
            <w:noWrap/>
            <w:hideMark/>
          </w:tcPr>
          <w:p w14:paraId="4A5BC2C8" w14:textId="77777777" w:rsidR="004A6CD6" w:rsidRPr="00B01284" w:rsidRDefault="004A6CD6" w:rsidP="004A6CD6">
            <w:pPr>
              <w:jc w:val="center"/>
            </w:pPr>
            <w:r w:rsidRPr="00B01284">
              <w:t>An adaptation of the WHO data quality framework, combined with the EN-MINI tool, for assessing newborn health indicators.</w:t>
            </w:r>
          </w:p>
        </w:tc>
      </w:tr>
      <w:tr w:rsidR="004A6CD6" w:rsidRPr="00B01284" w14:paraId="6A519297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34222A2C" w14:textId="5DCB8CEE" w:rsidR="004A6CD6" w:rsidRPr="00B01284" w:rsidRDefault="004A6CD6" w:rsidP="004A6CD6">
            <w:pPr>
              <w:jc w:val="center"/>
            </w:pPr>
            <w:proofErr w:type="spellStart"/>
            <w:r w:rsidRPr="00B01284">
              <w:t>Okwaraji</w:t>
            </w:r>
            <w:proofErr w:type="spellEnd"/>
            <w:r w:rsidRPr="00B01284">
              <w:t xml:space="preserve"> et al.</w:t>
            </w:r>
          </w:p>
        </w:tc>
        <w:tc>
          <w:tcPr>
            <w:tcW w:w="2551" w:type="dxa"/>
            <w:noWrap/>
            <w:hideMark/>
          </w:tcPr>
          <w:p w14:paraId="1DB899C0" w14:textId="77777777" w:rsidR="004A6CD6" w:rsidRPr="00B01284" w:rsidRDefault="004A6CD6" w:rsidP="004A6CD6">
            <w:pPr>
              <w:jc w:val="center"/>
            </w:pPr>
            <w:r w:rsidRPr="00B01284">
              <w:t>Healthcare data (low birth weight and preterm birth)</w:t>
            </w:r>
          </w:p>
        </w:tc>
        <w:tc>
          <w:tcPr>
            <w:tcW w:w="9421" w:type="dxa"/>
            <w:gridSpan w:val="2"/>
            <w:noWrap/>
            <w:hideMark/>
          </w:tcPr>
          <w:p w14:paraId="4DEF2454" w14:textId="77777777" w:rsidR="004A6CD6" w:rsidRPr="00B01284" w:rsidRDefault="004A6CD6" w:rsidP="004A6CD6">
            <w:pPr>
              <w:jc w:val="center"/>
            </w:pPr>
            <w:r w:rsidRPr="00B01284">
              <w:t>A systematic data quality assessment framework adapted from WHO recommendations for low birth weight and preterm birth data.</w:t>
            </w:r>
          </w:p>
        </w:tc>
      </w:tr>
      <w:tr w:rsidR="004A6CD6" w:rsidRPr="00B01284" w14:paraId="6561D219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56719028" w14:textId="101B6053" w:rsidR="004A6CD6" w:rsidRPr="00B01284" w:rsidRDefault="004A6CD6" w:rsidP="004A6CD6">
            <w:pPr>
              <w:jc w:val="center"/>
            </w:pPr>
            <w:proofErr w:type="spellStart"/>
            <w:r w:rsidRPr="00B01284">
              <w:t>Gyrard</w:t>
            </w:r>
            <w:proofErr w:type="spellEnd"/>
            <w:r w:rsidRPr="00B01284">
              <w:t xml:space="preserve"> et al.</w:t>
            </w:r>
          </w:p>
        </w:tc>
        <w:tc>
          <w:tcPr>
            <w:tcW w:w="2551" w:type="dxa"/>
            <w:noWrap/>
            <w:hideMark/>
          </w:tcPr>
          <w:p w14:paraId="5DB43E8C" w14:textId="77777777" w:rsidR="004A6CD6" w:rsidRPr="00B01284" w:rsidRDefault="004A6CD6" w:rsidP="004A6CD6">
            <w:pPr>
              <w:jc w:val="center"/>
            </w:pPr>
            <w:r w:rsidRPr="00B01284">
              <w:t>Healthcare data (cancer-related)</w:t>
            </w:r>
          </w:p>
        </w:tc>
        <w:tc>
          <w:tcPr>
            <w:tcW w:w="9421" w:type="dxa"/>
            <w:gridSpan w:val="2"/>
            <w:noWrap/>
            <w:hideMark/>
          </w:tcPr>
          <w:p w14:paraId="66D06FE7" w14:textId="77777777" w:rsidR="004A6CD6" w:rsidRPr="00B01284" w:rsidRDefault="004A6CD6" w:rsidP="004A6CD6">
            <w:pPr>
              <w:jc w:val="center"/>
            </w:pPr>
            <w:r w:rsidRPr="00B01284">
              <w:t>An interoperability and standardization quality assessment based on health standards (e.g., FHIR, OMOP CDM) and IoT semantic interoperability practices.</w:t>
            </w:r>
          </w:p>
        </w:tc>
      </w:tr>
      <w:tr w:rsidR="004A6CD6" w:rsidRPr="00B01284" w14:paraId="3094371D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74C5F979" w14:textId="2AE25D22" w:rsidR="004A6CD6" w:rsidRPr="00B01284" w:rsidRDefault="004A6CD6" w:rsidP="004A6CD6">
            <w:pPr>
              <w:jc w:val="center"/>
            </w:pPr>
            <w:r w:rsidRPr="00B01284">
              <w:t>Jin et al.</w:t>
            </w:r>
          </w:p>
        </w:tc>
        <w:tc>
          <w:tcPr>
            <w:tcW w:w="2551" w:type="dxa"/>
            <w:noWrap/>
            <w:hideMark/>
          </w:tcPr>
          <w:p w14:paraId="6A00827A" w14:textId="77777777" w:rsidR="004A6CD6" w:rsidRPr="00B01284" w:rsidRDefault="004A6CD6" w:rsidP="004A6CD6">
            <w:pPr>
              <w:jc w:val="center"/>
            </w:pPr>
            <w:r w:rsidRPr="00B01284">
              <w:t>Medical diagnostic study data</w:t>
            </w:r>
          </w:p>
        </w:tc>
        <w:tc>
          <w:tcPr>
            <w:tcW w:w="9421" w:type="dxa"/>
            <w:gridSpan w:val="2"/>
            <w:noWrap/>
            <w:hideMark/>
          </w:tcPr>
          <w:p w14:paraId="309A7556" w14:textId="77777777" w:rsidR="004A6CD6" w:rsidRPr="00B01284" w:rsidRDefault="004A6CD6" w:rsidP="004A6CD6">
            <w:pPr>
              <w:jc w:val="center"/>
            </w:pPr>
            <w:r w:rsidRPr="00B01284">
              <w:t>Application of the PRISMA guidelines and QUADAS-2 tool to assess diagnostic accuracy based on systematic review methodology standards.</w:t>
            </w:r>
          </w:p>
        </w:tc>
      </w:tr>
      <w:tr w:rsidR="004A6CD6" w:rsidRPr="00B01284" w14:paraId="4B073387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41132954" w14:textId="47E6389A" w:rsidR="004A6CD6" w:rsidRPr="00B01284" w:rsidRDefault="004A6CD6" w:rsidP="004A6CD6">
            <w:pPr>
              <w:jc w:val="center"/>
            </w:pPr>
            <w:r w:rsidRPr="00B01284">
              <w:t>Healy et al.</w:t>
            </w:r>
          </w:p>
        </w:tc>
        <w:tc>
          <w:tcPr>
            <w:tcW w:w="2551" w:type="dxa"/>
            <w:noWrap/>
            <w:hideMark/>
          </w:tcPr>
          <w:p w14:paraId="17255489" w14:textId="77777777" w:rsidR="004A6CD6" w:rsidRPr="00B01284" w:rsidRDefault="004A6CD6" w:rsidP="004A6CD6">
            <w:pPr>
              <w:jc w:val="center"/>
            </w:pPr>
            <w:r w:rsidRPr="00B01284">
              <w:t>Health and social care data</w:t>
            </w:r>
          </w:p>
        </w:tc>
        <w:tc>
          <w:tcPr>
            <w:tcW w:w="9421" w:type="dxa"/>
            <w:gridSpan w:val="2"/>
            <w:noWrap/>
            <w:hideMark/>
          </w:tcPr>
          <w:p w14:paraId="0E28B728" w14:textId="77777777" w:rsidR="004A6CD6" w:rsidRPr="00B01284" w:rsidRDefault="004A6CD6" w:rsidP="004A6CD6">
            <w:pPr>
              <w:jc w:val="center"/>
            </w:pPr>
            <w:r w:rsidRPr="00B01284">
              <w:t>A data quality framework based on the ISO 8000 standard, a literature review, and specific requirements for Ireland.</w:t>
            </w:r>
          </w:p>
        </w:tc>
      </w:tr>
      <w:tr w:rsidR="004A6CD6" w:rsidRPr="00B01284" w14:paraId="56350C6F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6E508C25" w14:textId="3BFCA290" w:rsidR="004A6CD6" w:rsidRPr="00B01284" w:rsidRDefault="004A6CD6" w:rsidP="004A6CD6">
            <w:pPr>
              <w:jc w:val="center"/>
            </w:pPr>
            <w:r w:rsidRPr="00B01284">
              <w:lastRenderedPageBreak/>
              <w:t xml:space="preserve">Laberge &amp; </w:t>
            </w:r>
            <w:proofErr w:type="spellStart"/>
            <w:r w:rsidRPr="00B01284">
              <w:t>Shachak</w:t>
            </w:r>
            <w:proofErr w:type="spellEnd"/>
          </w:p>
        </w:tc>
        <w:tc>
          <w:tcPr>
            <w:tcW w:w="2551" w:type="dxa"/>
            <w:noWrap/>
            <w:hideMark/>
          </w:tcPr>
          <w:p w14:paraId="231D59EF" w14:textId="77777777" w:rsidR="004A6CD6" w:rsidRPr="00B01284" w:rsidRDefault="004A6CD6" w:rsidP="004A6CD6">
            <w:pPr>
              <w:jc w:val="center"/>
            </w:pPr>
            <w:r w:rsidRPr="00B01284">
              <w:t>Sociodemographic data</w:t>
            </w:r>
          </w:p>
        </w:tc>
        <w:tc>
          <w:tcPr>
            <w:tcW w:w="9421" w:type="dxa"/>
            <w:gridSpan w:val="2"/>
            <w:noWrap/>
            <w:hideMark/>
          </w:tcPr>
          <w:p w14:paraId="380FEE48" w14:textId="77777777" w:rsidR="004A6CD6" w:rsidRPr="00B01284" w:rsidRDefault="004A6CD6" w:rsidP="004A6CD6">
            <w:pPr>
              <w:jc w:val="center"/>
            </w:pPr>
            <w:r w:rsidRPr="00B01284">
              <w:t>A quality assessment tool based on the CIHI framework, a literature review, and discussions with Community Health Centre (CHC) staff.</w:t>
            </w:r>
          </w:p>
        </w:tc>
      </w:tr>
      <w:tr w:rsidR="004A6CD6" w:rsidRPr="00B01284" w14:paraId="56CBDB18" w14:textId="77777777" w:rsidTr="004A6CD6">
        <w:trPr>
          <w:trHeight w:val="675"/>
          <w:jc w:val="center"/>
        </w:trPr>
        <w:tc>
          <w:tcPr>
            <w:tcW w:w="1985" w:type="dxa"/>
            <w:tcBorders>
              <w:bottom w:val="single" w:sz="8" w:space="0" w:color="auto"/>
            </w:tcBorders>
            <w:noWrap/>
            <w:hideMark/>
          </w:tcPr>
          <w:p w14:paraId="4C2AD4B7" w14:textId="65F553FD" w:rsidR="004A6CD6" w:rsidRPr="00B01284" w:rsidRDefault="004A6CD6" w:rsidP="004A6CD6">
            <w:pPr>
              <w:jc w:val="center"/>
            </w:pPr>
            <w:proofErr w:type="spellStart"/>
            <w:r w:rsidRPr="00B01284">
              <w:t>Comero</w:t>
            </w:r>
            <w:proofErr w:type="spellEnd"/>
            <w:r w:rsidRPr="00B01284">
              <w:t xml:space="preserve"> et al.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noWrap/>
            <w:hideMark/>
          </w:tcPr>
          <w:p w14:paraId="222F5AE1" w14:textId="77777777" w:rsidR="004A6CD6" w:rsidRPr="00B01284" w:rsidRDefault="004A6CD6" w:rsidP="004A6CD6">
            <w:pPr>
              <w:jc w:val="center"/>
            </w:pPr>
            <w:r w:rsidRPr="00B01284">
              <w:t>Environmental monitoring data</w:t>
            </w:r>
          </w:p>
        </w:tc>
        <w:tc>
          <w:tcPr>
            <w:tcW w:w="9421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0DBE40E2" w14:textId="77777777" w:rsidR="004A6CD6" w:rsidRPr="00B01284" w:rsidRDefault="004A6CD6" w:rsidP="004A6CD6">
            <w:pPr>
              <w:jc w:val="center"/>
            </w:pPr>
            <w:r w:rsidRPr="00B01284">
              <w:t>The IPCHEM data quality framework, based on the characteristics of chemical monitoring data and US-EPA quality assurance requirements.</w:t>
            </w:r>
          </w:p>
        </w:tc>
      </w:tr>
      <w:tr w:rsidR="004A6CD6" w:rsidRPr="00B01284" w14:paraId="6BF0E630" w14:textId="77777777" w:rsidTr="004A6CD6">
        <w:trPr>
          <w:gridAfter w:val="1"/>
          <w:wAfter w:w="4967" w:type="dxa"/>
          <w:trHeight w:val="945"/>
          <w:jc w:val="center"/>
        </w:trPr>
        <w:tc>
          <w:tcPr>
            <w:tcW w:w="8990" w:type="dxa"/>
            <w:gridSpan w:val="3"/>
            <w:tcBorders>
              <w:top w:val="single" w:sz="8" w:space="0" w:color="auto"/>
              <w:bottom w:val="nil"/>
            </w:tcBorders>
            <w:noWrap/>
            <w:hideMark/>
          </w:tcPr>
          <w:p w14:paraId="65A0FC03" w14:textId="77777777" w:rsidR="004A6CD6" w:rsidRPr="00B01284" w:rsidRDefault="004A6CD6" w:rsidP="004A6CD6">
            <w:pPr>
              <w:jc w:val="left"/>
              <w:rPr>
                <w:b/>
                <w:bCs/>
              </w:rPr>
            </w:pPr>
            <w:r w:rsidRPr="00B01284">
              <w:rPr>
                <w:b/>
                <w:bCs/>
              </w:rPr>
              <w:t>Category 3: Qualitative Methods &amp; Expert Consensus</w:t>
            </w:r>
          </w:p>
        </w:tc>
      </w:tr>
      <w:tr w:rsidR="004A6CD6" w:rsidRPr="00B01284" w14:paraId="0F787D35" w14:textId="77777777" w:rsidTr="004A6CD6">
        <w:trPr>
          <w:trHeight w:val="675"/>
          <w:jc w:val="center"/>
        </w:trPr>
        <w:tc>
          <w:tcPr>
            <w:tcW w:w="1985" w:type="dxa"/>
            <w:tcBorders>
              <w:top w:val="nil"/>
              <w:bottom w:val="single" w:sz="8" w:space="0" w:color="auto"/>
            </w:tcBorders>
            <w:noWrap/>
            <w:hideMark/>
          </w:tcPr>
          <w:p w14:paraId="13BBBD3F" w14:textId="6540D3D6" w:rsidR="004A6CD6" w:rsidRPr="00B01284" w:rsidRDefault="004A6CD6" w:rsidP="004A6CD6">
            <w:pPr>
              <w:jc w:val="center"/>
            </w:pPr>
            <w:r w:rsidRPr="00B01284">
              <w:t>Ng et al.</w:t>
            </w:r>
          </w:p>
        </w:tc>
        <w:tc>
          <w:tcPr>
            <w:tcW w:w="2551" w:type="dxa"/>
            <w:tcBorders>
              <w:top w:val="nil"/>
              <w:bottom w:val="single" w:sz="8" w:space="0" w:color="auto"/>
            </w:tcBorders>
            <w:noWrap/>
            <w:hideMark/>
          </w:tcPr>
          <w:p w14:paraId="2457CC77" w14:textId="77777777" w:rsidR="004A6CD6" w:rsidRPr="00B01284" w:rsidRDefault="004A6CD6" w:rsidP="004A6CD6">
            <w:pPr>
              <w:jc w:val="center"/>
            </w:pPr>
            <w:r w:rsidRPr="00B01284">
              <w:t>Health and biomedical datasets</w:t>
            </w:r>
          </w:p>
        </w:tc>
        <w:tc>
          <w:tcPr>
            <w:tcW w:w="9421" w:type="dxa"/>
            <w:gridSpan w:val="2"/>
            <w:tcBorders>
              <w:top w:val="nil"/>
              <w:bottom w:val="single" w:sz="8" w:space="0" w:color="auto"/>
            </w:tcBorders>
            <w:noWrap/>
            <w:hideMark/>
          </w:tcPr>
          <w:p w14:paraId="574BBC02" w14:textId="77777777" w:rsidR="004A6CD6" w:rsidRPr="00B01284" w:rsidRDefault="004A6CD6" w:rsidP="004A6CD6">
            <w:pPr>
              <w:jc w:val="center"/>
            </w:pPr>
            <w:r w:rsidRPr="00B01284">
              <w:t>An "AI-readiness" framework developed from qualitative interviews with 20 dataset experts, informed by existing data quality frameworks.</w:t>
            </w:r>
          </w:p>
        </w:tc>
      </w:tr>
      <w:tr w:rsidR="004A6CD6" w:rsidRPr="00B01284" w14:paraId="62394A32" w14:textId="77777777" w:rsidTr="004A6CD6">
        <w:trPr>
          <w:gridAfter w:val="1"/>
          <w:wAfter w:w="4967" w:type="dxa"/>
          <w:trHeight w:val="405"/>
          <w:jc w:val="center"/>
        </w:trPr>
        <w:tc>
          <w:tcPr>
            <w:tcW w:w="8990" w:type="dxa"/>
            <w:gridSpan w:val="3"/>
            <w:tcBorders>
              <w:top w:val="single" w:sz="8" w:space="0" w:color="auto"/>
              <w:bottom w:val="nil"/>
            </w:tcBorders>
            <w:noWrap/>
            <w:hideMark/>
          </w:tcPr>
          <w:p w14:paraId="1C6823FC" w14:textId="77777777" w:rsidR="004A6CD6" w:rsidRPr="00B01284" w:rsidRDefault="004A6CD6" w:rsidP="004A6CD6">
            <w:pPr>
              <w:jc w:val="left"/>
              <w:rPr>
                <w:b/>
                <w:bCs/>
              </w:rPr>
            </w:pPr>
            <w:bookmarkStart w:id="1" w:name="_Hlk206506850"/>
            <w:r w:rsidRPr="00B01284">
              <w:rPr>
                <w:b/>
                <w:bCs/>
              </w:rPr>
              <w:t>Category 4: Use-Case Driven Construction</w:t>
            </w:r>
            <w:bookmarkEnd w:id="1"/>
          </w:p>
        </w:tc>
      </w:tr>
      <w:tr w:rsidR="004A6CD6" w:rsidRPr="00B01284" w14:paraId="62839E56" w14:textId="77777777" w:rsidTr="004A6CD6">
        <w:trPr>
          <w:trHeight w:val="675"/>
          <w:jc w:val="center"/>
        </w:trPr>
        <w:tc>
          <w:tcPr>
            <w:tcW w:w="1985" w:type="dxa"/>
            <w:tcBorders>
              <w:top w:val="nil"/>
            </w:tcBorders>
            <w:noWrap/>
            <w:hideMark/>
          </w:tcPr>
          <w:p w14:paraId="4AE03D3A" w14:textId="030BB055" w:rsidR="004A6CD6" w:rsidRPr="00B01284" w:rsidRDefault="004A6CD6" w:rsidP="004A6CD6">
            <w:pPr>
              <w:jc w:val="center"/>
            </w:pPr>
            <w:proofErr w:type="spellStart"/>
            <w:r w:rsidRPr="00B01284">
              <w:t>Tute</w:t>
            </w:r>
            <w:proofErr w:type="spellEnd"/>
            <w:r w:rsidRPr="00B01284">
              <w:t xml:space="preserve"> et al.</w:t>
            </w: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14:paraId="1799A47A" w14:textId="77777777" w:rsidR="004A6CD6" w:rsidRPr="00B01284" w:rsidRDefault="004A6CD6" w:rsidP="004A6CD6">
            <w:pPr>
              <w:jc w:val="center"/>
            </w:pPr>
            <w:r w:rsidRPr="00B01284">
              <w:t>Clinical data (pediatric intensive care)</w:t>
            </w:r>
          </w:p>
        </w:tc>
        <w:tc>
          <w:tcPr>
            <w:tcW w:w="9421" w:type="dxa"/>
            <w:gridSpan w:val="2"/>
            <w:tcBorders>
              <w:top w:val="nil"/>
            </w:tcBorders>
            <w:noWrap/>
            <w:hideMark/>
          </w:tcPr>
          <w:p w14:paraId="7C479DF4" w14:textId="77777777" w:rsidR="004A6CD6" w:rsidRPr="00B01284" w:rsidRDefault="004A6CD6" w:rsidP="004A6CD6">
            <w:pPr>
              <w:jc w:val="center"/>
            </w:pPr>
            <w:r w:rsidRPr="00B01284">
              <w:t xml:space="preserve">Sharable measurement methods (MMs) based on a systematic audit of </w:t>
            </w:r>
            <w:proofErr w:type="spellStart"/>
            <w:r w:rsidRPr="00B01284">
              <w:t>openCQA</w:t>
            </w:r>
            <w:proofErr w:type="spellEnd"/>
            <w:r w:rsidRPr="00B01284">
              <w:t>, analysis of CDSS error cases, data-driven learning, and the HIDQF framework.</w:t>
            </w:r>
          </w:p>
        </w:tc>
      </w:tr>
      <w:tr w:rsidR="004A6CD6" w:rsidRPr="00B01284" w14:paraId="78AF5A1F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6E5E3D74" w14:textId="0E7FDB76" w:rsidR="004A6CD6" w:rsidRPr="00B01284" w:rsidRDefault="004A6CD6" w:rsidP="004A6CD6">
            <w:pPr>
              <w:jc w:val="center"/>
            </w:pPr>
            <w:proofErr w:type="spellStart"/>
            <w:r w:rsidRPr="00B01284">
              <w:t>Kookal</w:t>
            </w:r>
            <w:proofErr w:type="spellEnd"/>
            <w:r w:rsidRPr="00B01284">
              <w:t xml:space="preserve"> et al.</w:t>
            </w:r>
          </w:p>
        </w:tc>
        <w:tc>
          <w:tcPr>
            <w:tcW w:w="2551" w:type="dxa"/>
            <w:noWrap/>
            <w:hideMark/>
          </w:tcPr>
          <w:p w14:paraId="306880C8" w14:textId="77777777" w:rsidR="004A6CD6" w:rsidRPr="00B01284" w:rsidRDefault="004A6CD6" w:rsidP="004A6CD6">
            <w:pPr>
              <w:jc w:val="center"/>
            </w:pPr>
            <w:r w:rsidRPr="00B01284">
              <w:t>Dental electronic health record data</w:t>
            </w:r>
          </w:p>
        </w:tc>
        <w:tc>
          <w:tcPr>
            <w:tcW w:w="9421" w:type="dxa"/>
            <w:gridSpan w:val="2"/>
            <w:noWrap/>
            <w:hideMark/>
          </w:tcPr>
          <w:p w14:paraId="34213307" w14:textId="77777777" w:rsidR="004A6CD6" w:rsidRPr="00B01284" w:rsidRDefault="004A6CD6" w:rsidP="004A6CD6">
            <w:pPr>
              <w:jc w:val="center"/>
            </w:pPr>
            <w:r w:rsidRPr="00B01284">
              <w:t>An adaptation of the NIHPTC framework, including data element identification, staging, profiling, review, and documentation.</w:t>
            </w:r>
          </w:p>
        </w:tc>
      </w:tr>
      <w:tr w:rsidR="004A6CD6" w:rsidRPr="00B01284" w14:paraId="10A01DB7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7A215B82" w14:textId="184B3D21" w:rsidR="004A6CD6" w:rsidRPr="00B01284" w:rsidRDefault="004A6CD6" w:rsidP="004A6CD6">
            <w:pPr>
              <w:jc w:val="center"/>
            </w:pPr>
            <w:r w:rsidRPr="00B01284">
              <w:t>Kuusisto et al.</w:t>
            </w:r>
          </w:p>
        </w:tc>
        <w:tc>
          <w:tcPr>
            <w:tcW w:w="2551" w:type="dxa"/>
            <w:noWrap/>
            <w:hideMark/>
          </w:tcPr>
          <w:p w14:paraId="6CC07AFE" w14:textId="77777777" w:rsidR="004A6CD6" w:rsidRPr="00B01284" w:rsidRDefault="004A6CD6" w:rsidP="004A6CD6">
            <w:pPr>
              <w:jc w:val="center"/>
            </w:pPr>
            <w:r w:rsidRPr="00B01284">
              <w:t>Healthcare data (palliative care)</w:t>
            </w:r>
          </w:p>
        </w:tc>
        <w:tc>
          <w:tcPr>
            <w:tcW w:w="9421" w:type="dxa"/>
            <w:gridSpan w:val="2"/>
            <w:noWrap/>
            <w:hideMark/>
          </w:tcPr>
          <w:p w14:paraId="2F3B4A5A" w14:textId="77777777" w:rsidR="004A6CD6" w:rsidRPr="00B01284" w:rsidRDefault="004A6CD6" w:rsidP="004A6CD6">
            <w:pPr>
              <w:jc w:val="center"/>
            </w:pPr>
            <w:r w:rsidRPr="00B01284">
              <w:t>The CLIQ framework, covering information utility, usability, and useability, developed through deductive content analysis.</w:t>
            </w:r>
          </w:p>
        </w:tc>
      </w:tr>
      <w:tr w:rsidR="004A6CD6" w:rsidRPr="00B01284" w14:paraId="12946773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69A09FBD" w14:textId="11AF425B" w:rsidR="004A6CD6" w:rsidRPr="00B01284" w:rsidRDefault="004A6CD6" w:rsidP="004A6CD6">
            <w:pPr>
              <w:jc w:val="center"/>
            </w:pPr>
            <w:r w:rsidRPr="00B01284">
              <w:lastRenderedPageBreak/>
              <w:t>Widad et al.</w:t>
            </w:r>
          </w:p>
        </w:tc>
        <w:tc>
          <w:tcPr>
            <w:tcW w:w="2551" w:type="dxa"/>
            <w:noWrap/>
            <w:hideMark/>
          </w:tcPr>
          <w:p w14:paraId="521D0095" w14:textId="77777777" w:rsidR="004A6CD6" w:rsidRPr="00B01284" w:rsidRDefault="004A6CD6" w:rsidP="004A6CD6">
            <w:pPr>
              <w:jc w:val="center"/>
            </w:pPr>
            <w:r w:rsidRPr="00B01284">
              <w:t>Big data</w:t>
            </w:r>
          </w:p>
        </w:tc>
        <w:tc>
          <w:tcPr>
            <w:tcW w:w="9421" w:type="dxa"/>
            <w:gridSpan w:val="2"/>
            <w:noWrap/>
            <w:hideMark/>
          </w:tcPr>
          <w:p w14:paraId="3DAC35B0" w14:textId="77777777" w:rsidR="004A6CD6" w:rsidRPr="00B01284" w:rsidRDefault="004A6CD6" w:rsidP="004A6CD6">
            <w:pPr>
              <w:jc w:val="center"/>
            </w:pPr>
            <w:r w:rsidRPr="00B01284">
              <w:t>An end-to-end data quality anomaly detection framework based on predictive techniques to address shortcomings of existing methods.</w:t>
            </w:r>
          </w:p>
        </w:tc>
      </w:tr>
      <w:tr w:rsidR="004A6CD6" w:rsidRPr="00B01284" w14:paraId="3F398EF6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62515754" w14:textId="1BF2FDBA" w:rsidR="004A6CD6" w:rsidRPr="00B01284" w:rsidRDefault="004A6CD6" w:rsidP="004A6CD6">
            <w:pPr>
              <w:jc w:val="center"/>
            </w:pPr>
            <w:r w:rsidRPr="00B01284">
              <w:t>McCord et al.</w:t>
            </w:r>
          </w:p>
        </w:tc>
        <w:tc>
          <w:tcPr>
            <w:tcW w:w="2551" w:type="dxa"/>
            <w:noWrap/>
            <w:hideMark/>
          </w:tcPr>
          <w:p w14:paraId="65902654" w14:textId="77777777" w:rsidR="004A6CD6" w:rsidRPr="00B01284" w:rsidRDefault="004A6CD6" w:rsidP="004A6CD6">
            <w:pPr>
              <w:jc w:val="center"/>
            </w:pPr>
            <w:r w:rsidRPr="00B01284">
              <w:t>Ecological data</w:t>
            </w:r>
          </w:p>
        </w:tc>
        <w:tc>
          <w:tcPr>
            <w:tcW w:w="9421" w:type="dxa"/>
            <w:gridSpan w:val="2"/>
            <w:noWrap/>
            <w:hideMark/>
          </w:tcPr>
          <w:p w14:paraId="661B452C" w14:textId="77777777" w:rsidR="004A6CD6" w:rsidRPr="00B01284" w:rsidRDefault="004A6CD6" w:rsidP="004A6CD6">
            <w:pPr>
              <w:jc w:val="center"/>
            </w:pPr>
            <w:r w:rsidRPr="00B01284">
              <w:t xml:space="preserve">A QA &amp; QC framework based on the </w:t>
            </w:r>
            <w:proofErr w:type="spellStart"/>
            <w:r w:rsidRPr="00B01284">
              <w:t>DataOne</w:t>
            </w:r>
            <w:proofErr w:type="spellEnd"/>
            <w:r w:rsidRPr="00B01284">
              <w:t xml:space="preserve"> data lifecycle, treating quality assurance and control as a continuous process.</w:t>
            </w:r>
          </w:p>
        </w:tc>
      </w:tr>
      <w:tr w:rsidR="004A6CD6" w:rsidRPr="00B01284" w14:paraId="1F934BE4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1E2E5560" w14:textId="185AC818" w:rsidR="004A6CD6" w:rsidRPr="00B01284" w:rsidRDefault="004A6CD6" w:rsidP="004A6CD6">
            <w:pPr>
              <w:jc w:val="center"/>
            </w:pPr>
            <w:r w:rsidRPr="00B01284">
              <w:t>Blacketer et al.</w:t>
            </w:r>
          </w:p>
        </w:tc>
        <w:tc>
          <w:tcPr>
            <w:tcW w:w="2551" w:type="dxa"/>
            <w:noWrap/>
            <w:hideMark/>
          </w:tcPr>
          <w:p w14:paraId="728E0DD4" w14:textId="77777777" w:rsidR="004A6CD6" w:rsidRPr="00B01284" w:rsidRDefault="004A6CD6" w:rsidP="004A6CD6">
            <w:pPr>
              <w:jc w:val="center"/>
            </w:pPr>
            <w:r w:rsidRPr="00B01284">
              <w:t>Observational medical data</w:t>
            </w:r>
          </w:p>
        </w:tc>
        <w:tc>
          <w:tcPr>
            <w:tcW w:w="9421" w:type="dxa"/>
            <w:gridSpan w:val="2"/>
            <w:noWrap/>
            <w:hideMark/>
          </w:tcPr>
          <w:p w14:paraId="4EB56292" w14:textId="77777777" w:rsidR="004A6CD6" w:rsidRPr="00B01284" w:rsidRDefault="004A6CD6" w:rsidP="004A6CD6">
            <w:pPr>
              <w:jc w:val="center"/>
            </w:pPr>
            <w:r w:rsidRPr="00B01284">
              <w:t>A standardized data quality assessment method based on a common data model and the needs of real-world evidence generation.</w:t>
            </w:r>
          </w:p>
        </w:tc>
      </w:tr>
      <w:tr w:rsidR="004A6CD6" w:rsidRPr="00B01284" w14:paraId="38010D0E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70D31CED" w14:textId="235C6795" w:rsidR="004A6CD6" w:rsidRPr="00B01284" w:rsidRDefault="004A6CD6" w:rsidP="004A6CD6">
            <w:pPr>
              <w:jc w:val="center"/>
            </w:pPr>
            <w:r w:rsidRPr="00B01284">
              <w:t>Hillert et al.</w:t>
            </w:r>
          </w:p>
        </w:tc>
        <w:tc>
          <w:tcPr>
            <w:tcW w:w="2551" w:type="dxa"/>
            <w:noWrap/>
            <w:hideMark/>
          </w:tcPr>
          <w:p w14:paraId="6E09ABA7" w14:textId="77777777" w:rsidR="004A6CD6" w:rsidRPr="00B01284" w:rsidRDefault="004A6CD6" w:rsidP="004A6CD6">
            <w:pPr>
              <w:jc w:val="center"/>
            </w:pPr>
            <w:r w:rsidRPr="00B01284">
              <w:t>Healthcare data (multiple sclerosis)</w:t>
            </w:r>
          </w:p>
        </w:tc>
        <w:tc>
          <w:tcPr>
            <w:tcW w:w="9421" w:type="dxa"/>
            <w:gridSpan w:val="2"/>
            <w:noWrap/>
            <w:hideMark/>
          </w:tcPr>
          <w:p w14:paraId="040B13BE" w14:textId="77777777" w:rsidR="004A6CD6" w:rsidRPr="00B01284" w:rsidRDefault="004A6CD6" w:rsidP="004A6CD6">
            <w:pPr>
              <w:jc w:val="center"/>
            </w:pPr>
            <w:r w:rsidRPr="00B01284">
              <w:t>Harmonized data quality indicators (DQIs) based on data quality assessment principles and the characteristics of multiple sclerosis (MS) data.</w:t>
            </w:r>
          </w:p>
        </w:tc>
      </w:tr>
      <w:tr w:rsidR="004A6CD6" w:rsidRPr="00B01284" w14:paraId="3E056077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1B5EB24C" w14:textId="50BD364F" w:rsidR="004A6CD6" w:rsidRPr="00B01284" w:rsidRDefault="004A6CD6" w:rsidP="004A6CD6">
            <w:pPr>
              <w:jc w:val="center"/>
            </w:pPr>
            <w:r w:rsidRPr="00B01284">
              <w:t>Corrales et al.</w:t>
            </w:r>
          </w:p>
        </w:tc>
        <w:tc>
          <w:tcPr>
            <w:tcW w:w="2551" w:type="dxa"/>
            <w:noWrap/>
            <w:hideMark/>
          </w:tcPr>
          <w:p w14:paraId="1AEAC9C8" w14:textId="77777777" w:rsidR="004A6CD6" w:rsidRPr="00B01284" w:rsidRDefault="004A6CD6" w:rsidP="004A6CD6">
            <w:pPr>
              <w:jc w:val="center"/>
            </w:pPr>
            <w:r w:rsidRPr="00B01284">
              <w:t>Datasets for classification tasks</w:t>
            </w:r>
          </w:p>
        </w:tc>
        <w:tc>
          <w:tcPr>
            <w:tcW w:w="9421" w:type="dxa"/>
            <w:gridSpan w:val="2"/>
            <w:noWrap/>
            <w:hideMark/>
          </w:tcPr>
          <w:p w14:paraId="3C4BABAA" w14:textId="77777777" w:rsidR="004A6CD6" w:rsidRPr="00B01284" w:rsidRDefault="004A6CD6" w:rsidP="004A6CD6">
            <w:pPr>
              <w:jc w:val="center"/>
            </w:pPr>
            <w:r w:rsidRPr="00B01284">
              <w:t>A data quality framework based on data quality theory, data preprocessing techniques, and the requirements of classification tasks.</w:t>
            </w:r>
          </w:p>
        </w:tc>
      </w:tr>
      <w:tr w:rsidR="004A6CD6" w:rsidRPr="00B01284" w14:paraId="2779B52F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6F52888C" w14:textId="60428E10" w:rsidR="004A6CD6" w:rsidRPr="00B01284" w:rsidRDefault="004A6CD6" w:rsidP="004A6CD6">
            <w:pPr>
              <w:jc w:val="center"/>
            </w:pPr>
            <w:r w:rsidRPr="00B01284">
              <w:t>Jiang et al.</w:t>
            </w:r>
          </w:p>
        </w:tc>
        <w:tc>
          <w:tcPr>
            <w:tcW w:w="2551" w:type="dxa"/>
            <w:noWrap/>
            <w:hideMark/>
          </w:tcPr>
          <w:p w14:paraId="4C4D6276" w14:textId="77777777" w:rsidR="004A6CD6" w:rsidRPr="00B01284" w:rsidRDefault="004A6CD6" w:rsidP="004A6CD6">
            <w:pPr>
              <w:jc w:val="center"/>
            </w:pPr>
            <w:r w:rsidRPr="00B01284">
              <w:t>Real-World Data (RWD) (in healthcare)</w:t>
            </w:r>
          </w:p>
        </w:tc>
        <w:tc>
          <w:tcPr>
            <w:tcW w:w="9421" w:type="dxa"/>
            <w:gridSpan w:val="2"/>
            <w:noWrap/>
            <w:hideMark/>
          </w:tcPr>
          <w:p w14:paraId="4FC72F98" w14:textId="77777777" w:rsidR="004A6CD6" w:rsidRPr="00B01284" w:rsidRDefault="004A6CD6" w:rsidP="004A6CD6">
            <w:pPr>
              <w:jc w:val="center"/>
            </w:pPr>
            <w:r w:rsidRPr="00B01284">
              <w:t xml:space="preserve">A suitability assessment based on data element availability, consistency, </w:t>
            </w:r>
            <w:proofErr w:type="spellStart"/>
            <w:r w:rsidRPr="00B01284">
              <w:t>linkability</w:t>
            </w:r>
            <w:proofErr w:type="spellEnd"/>
            <w:r w:rsidRPr="00B01284">
              <w:t>, and a common data model.</w:t>
            </w:r>
          </w:p>
        </w:tc>
      </w:tr>
      <w:tr w:rsidR="004A6CD6" w:rsidRPr="00B01284" w14:paraId="26EF0D7C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0328932F" w14:textId="5E8E1D67" w:rsidR="004A6CD6" w:rsidRPr="00B01284" w:rsidRDefault="004A6CD6" w:rsidP="004A6CD6">
            <w:pPr>
              <w:jc w:val="center"/>
            </w:pPr>
            <w:r w:rsidRPr="00B01284">
              <w:t>Wirsching et al.</w:t>
            </w:r>
          </w:p>
        </w:tc>
        <w:tc>
          <w:tcPr>
            <w:tcW w:w="2551" w:type="dxa"/>
            <w:noWrap/>
            <w:hideMark/>
          </w:tcPr>
          <w:p w14:paraId="46A33403" w14:textId="77777777" w:rsidR="004A6CD6" w:rsidRPr="00B01284" w:rsidRDefault="004A6CD6" w:rsidP="004A6CD6">
            <w:pPr>
              <w:jc w:val="center"/>
            </w:pPr>
            <w:r w:rsidRPr="00B01284">
              <w:t xml:space="preserve">Observational epidemiological study </w:t>
            </w:r>
            <w:r w:rsidRPr="00B01284">
              <w:lastRenderedPageBreak/>
              <w:t>data</w:t>
            </w:r>
          </w:p>
        </w:tc>
        <w:tc>
          <w:tcPr>
            <w:tcW w:w="9421" w:type="dxa"/>
            <w:gridSpan w:val="2"/>
            <w:noWrap/>
            <w:hideMark/>
          </w:tcPr>
          <w:p w14:paraId="7E0F2AEF" w14:textId="77777777" w:rsidR="004A6CD6" w:rsidRPr="00B01284" w:rsidRDefault="004A6CD6" w:rsidP="004A6CD6">
            <w:pPr>
              <w:jc w:val="center"/>
            </w:pPr>
            <w:r w:rsidRPr="00B01284">
              <w:lastRenderedPageBreak/>
              <w:t>The BIOCROSS tool, based on research quality assessment principles and the characteristics of biomarker data.</w:t>
            </w:r>
          </w:p>
        </w:tc>
      </w:tr>
      <w:tr w:rsidR="004A6CD6" w:rsidRPr="00B01284" w14:paraId="3F58B74F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3BE50EDC" w14:textId="1533992A" w:rsidR="004A6CD6" w:rsidRPr="00B01284" w:rsidRDefault="004A6CD6" w:rsidP="004A6CD6">
            <w:pPr>
              <w:jc w:val="center"/>
            </w:pPr>
            <w:r w:rsidRPr="00B01284">
              <w:t>Nguyen et al.</w:t>
            </w:r>
          </w:p>
        </w:tc>
        <w:tc>
          <w:tcPr>
            <w:tcW w:w="2551" w:type="dxa"/>
            <w:noWrap/>
            <w:hideMark/>
          </w:tcPr>
          <w:p w14:paraId="5D77EC54" w14:textId="77777777" w:rsidR="004A6CD6" w:rsidRPr="00B01284" w:rsidRDefault="004A6CD6" w:rsidP="004A6CD6">
            <w:pPr>
              <w:jc w:val="center"/>
            </w:pPr>
            <w:r w:rsidRPr="00B01284">
              <w:t>Big data (in education)</w:t>
            </w:r>
          </w:p>
        </w:tc>
        <w:tc>
          <w:tcPr>
            <w:tcW w:w="9421" w:type="dxa"/>
            <w:gridSpan w:val="2"/>
            <w:noWrap/>
            <w:hideMark/>
          </w:tcPr>
          <w:p w14:paraId="5CB24D9F" w14:textId="77777777" w:rsidR="004A6CD6" w:rsidRPr="00B01284" w:rsidRDefault="004A6CD6" w:rsidP="004A6CD6">
            <w:pPr>
              <w:jc w:val="center"/>
            </w:pPr>
            <w:r w:rsidRPr="00B01284">
              <w:t>A big data quality management framework based on big data management theories and the specific needs of the education sector.</w:t>
            </w:r>
          </w:p>
        </w:tc>
      </w:tr>
      <w:tr w:rsidR="004A6CD6" w:rsidRPr="00B01284" w14:paraId="5917E3B6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497D36C7" w14:textId="266C3704" w:rsidR="004A6CD6" w:rsidRPr="00B01284" w:rsidRDefault="004A6CD6" w:rsidP="004A6CD6">
            <w:pPr>
              <w:jc w:val="center"/>
            </w:pPr>
            <w:r w:rsidRPr="00B01284">
              <w:t>Deady et al.</w:t>
            </w:r>
          </w:p>
        </w:tc>
        <w:tc>
          <w:tcPr>
            <w:tcW w:w="2551" w:type="dxa"/>
            <w:noWrap/>
            <w:hideMark/>
          </w:tcPr>
          <w:p w14:paraId="63AB4B67" w14:textId="77777777" w:rsidR="004A6CD6" w:rsidRPr="00B01284" w:rsidRDefault="004A6CD6" w:rsidP="004A6CD6">
            <w:pPr>
              <w:jc w:val="center"/>
            </w:pPr>
            <w:r w:rsidRPr="00B01284">
              <w:t>Healthcare data (vaccine adverse events)</w:t>
            </w:r>
          </w:p>
        </w:tc>
        <w:tc>
          <w:tcPr>
            <w:tcW w:w="9421" w:type="dxa"/>
            <w:gridSpan w:val="2"/>
            <w:noWrap/>
            <w:hideMark/>
          </w:tcPr>
          <w:p w14:paraId="3D78A9D3" w14:textId="77777777" w:rsidR="004A6CD6" w:rsidRPr="00B01284" w:rsidRDefault="004A6CD6" w:rsidP="004A6CD6">
            <w:pPr>
              <w:jc w:val="center"/>
            </w:pPr>
            <w:r w:rsidRPr="00B01284">
              <w:t>An EHR data quality framework based on FHIR resource exchange and the research needs for vaccine adverse event studies.</w:t>
            </w:r>
          </w:p>
        </w:tc>
      </w:tr>
      <w:tr w:rsidR="004A6CD6" w:rsidRPr="00B01284" w14:paraId="5BD3A831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048791B7" w14:textId="3F76243D" w:rsidR="004A6CD6" w:rsidRPr="00B01284" w:rsidRDefault="004A6CD6" w:rsidP="004A6CD6">
            <w:pPr>
              <w:jc w:val="center"/>
            </w:pPr>
            <w:r w:rsidRPr="00B01284">
              <w:t>Naik et al.</w:t>
            </w:r>
          </w:p>
        </w:tc>
        <w:tc>
          <w:tcPr>
            <w:tcW w:w="2551" w:type="dxa"/>
            <w:noWrap/>
            <w:hideMark/>
          </w:tcPr>
          <w:p w14:paraId="5FEDCFBA" w14:textId="77777777" w:rsidR="004A6CD6" w:rsidRPr="00B01284" w:rsidRDefault="004A6CD6" w:rsidP="004A6CD6">
            <w:pPr>
              <w:jc w:val="center"/>
            </w:pPr>
            <w:r w:rsidRPr="00B01284">
              <w:t>Nursing quality indicator data</w:t>
            </w:r>
          </w:p>
        </w:tc>
        <w:tc>
          <w:tcPr>
            <w:tcW w:w="9421" w:type="dxa"/>
            <w:gridSpan w:val="2"/>
            <w:noWrap/>
            <w:hideMark/>
          </w:tcPr>
          <w:p w14:paraId="4146FFE4" w14:textId="77777777" w:rsidR="004A6CD6" w:rsidRPr="00B01284" w:rsidRDefault="004A6CD6" w:rsidP="004A6CD6">
            <w:pPr>
              <w:jc w:val="center"/>
            </w:pPr>
            <w:r w:rsidRPr="00B01284">
              <w:t xml:space="preserve">A data quality framework and DQIs based on the assessment needs of the </w:t>
            </w:r>
            <w:proofErr w:type="spellStart"/>
            <w:r w:rsidRPr="00B01284">
              <w:t>NQuIRE</w:t>
            </w:r>
            <w:proofErr w:type="spellEnd"/>
            <w:r w:rsidRPr="00B01284">
              <w:t xml:space="preserve"> database.</w:t>
            </w:r>
          </w:p>
        </w:tc>
      </w:tr>
      <w:tr w:rsidR="004A6CD6" w:rsidRPr="00B01284" w14:paraId="41DBE1E3" w14:textId="77777777" w:rsidTr="004A6CD6">
        <w:trPr>
          <w:trHeight w:val="405"/>
          <w:jc w:val="center"/>
        </w:trPr>
        <w:tc>
          <w:tcPr>
            <w:tcW w:w="1985" w:type="dxa"/>
            <w:noWrap/>
            <w:hideMark/>
          </w:tcPr>
          <w:p w14:paraId="61E83BE3" w14:textId="1AC181F4" w:rsidR="004A6CD6" w:rsidRPr="00B01284" w:rsidRDefault="004A6CD6" w:rsidP="004A6CD6">
            <w:pPr>
              <w:jc w:val="center"/>
            </w:pPr>
            <w:r w:rsidRPr="00B01284">
              <w:t>Smith et al.</w:t>
            </w:r>
          </w:p>
        </w:tc>
        <w:tc>
          <w:tcPr>
            <w:tcW w:w="2551" w:type="dxa"/>
            <w:noWrap/>
            <w:hideMark/>
          </w:tcPr>
          <w:p w14:paraId="254E565F" w14:textId="77777777" w:rsidR="004A6CD6" w:rsidRPr="00B01284" w:rsidRDefault="004A6CD6" w:rsidP="004A6CD6">
            <w:pPr>
              <w:jc w:val="center"/>
            </w:pPr>
            <w:r w:rsidRPr="00B01284">
              <w:t>Administrative data</w:t>
            </w:r>
          </w:p>
        </w:tc>
        <w:tc>
          <w:tcPr>
            <w:tcW w:w="9421" w:type="dxa"/>
            <w:gridSpan w:val="2"/>
            <w:noWrap/>
            <w:hideMark/>
          </w:tcPr>
          <w:p w14:paraId="49544B5C" w14:textId="77777777" w:rsidR="004A6CD6" w:rsidRPr="00B01284" w:rsidRDefault="004A6CD6" w:rsidP="004A6CD6">
            <w:pPr>
              <w:jc w:val="center"/>
            </w:pPr>
            <w:r w:rsidRPr="00B01284">
              <w:t>The MCHP framework, based on practical experience in administrative data research.</w:t>
            </w:r>
          </w:p>
        </w:tc>
      </w:tr>
      <w:tr w:rsidR="004A6CD6" w:rsidRPr="00B01284" w14:paraId="6D9CC78D" w14:textId="77777777" w:rsidTr="004A6CD6">
        <w:trPr>
          <w:trHeight w:val="675"/>
          <w:jc w:val="center"/>
        </w:trPr>
        <w:tc>
          <w:tcPr>
            <w:tcW w:w="1985" w:type="dxa"/>
            <w:tcBorders>
              <w:bottom w:val="single" w:sz="8" w:space="0" w:color="auto"/>
            </w:tcBorders>
            <w:noWrap/>
            <w:hideMark/>
          </w:tcPr>
          <w:p w14:paraId="2B7596A9" w14:textId="2750FB7A" w:rsidR="004A6CD6" w:rsidRPr="00B01284" w:rsidRDefault="004A6CD6" w:rsidP="004A6CD6">
            <w:pPr>
              <w:jc w:val="center"/>
            </w:pPr>
            <w:r w:rsidRPr="00B01284">
              <w:t>Iverson et al.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noWrap/>
            <w:hideMark/>
          </w:tcPr>
          <w:p w14:paraId="59219906" w14:textId="77777777" w:rsidR="004A6CD6" w:rsidRPr="00B01284" w:rsidRDefault="004A6CD6" w:rsidP="004A6CD6">
            <w:pPr>
              <w:jc w:val="center"/>
            </w:pPr>
            <w:r w:rsidRPr="00B01284">
              <w:t>Healthcare data (metabolic charts)</w:t>
            </w:r>
          </w:p>
        </w:tc>
        <w:tc>
          <w:tcPr>
            <w:tcW w:w="9421" w:type="dxa"/>
            <w:gridSpan w:val="2"/>
            <w:tcBorders>
              <w:bottom w:val="single" w:sz="8" w:space="0" w:color="auto"/>
            </w:tcBorders>
            <w:noWrap/>
            <w:hideMark/>
          </w:tcPr>
          <w:p w14:paraId="78F86DE4" w14:textId="77777777" w:rsidR="004A6CD6" w:rsidRPr="00B01284" w:rsidRDefault="004A6CD6" w:rsidP="004A6CD6">
            <w:pPr>
              <w:jc w:val="center"/>
            </w:pPr>
            <w:r w:rsidRPr="00B01284">
              <w:t>A suitability assessment based on the completeness and accuracy of the MCAD core outcome set.</w:t>
            </w:r>
          </w:p>
        </w:tc>
      </w:tr>
      <w:tr w:rsidR="004A6CD6" w:rsidRPr="00B01284" w14:paraId="4B8F8FD5" w14:textId="77777777" w:rsidTr="004A6CD6">
        <w:trPr>
          <w:gridAfter w:val="1"/>
          <w:wAfter w:w="4967" w:type="dxa"/>
          <w:trHeight w:val="405"/>
          <w:jc w:val="center"/>
        </w:trPr>
        <w:tc>
          <w:tcPr>
            <w:tcW w:w="8990" w:type="dxa"/>
            <w:gridSpan w:val="3"/>
            <w:tcBorders>
              <w:top w:val="single" w:sz="8" w:space="0" w:color="auto"/>
              <w:bottom w:val="nil"/>
            </w:tcBorders>
            <w:noWrap/>
            <w:hideMark/>
          </w:tcPr>
          <w:p w14:paraId="32A052A7" w14:textId="77777777" w:rsidR="004A6CD6" w:rsidRPr="00B01284" w:rsidRDefault="004A6CD6" w:rsidP="004A6CD6">
            <w:pPr>
              <w:jc w:val="left"/>
              <w:rPr>
                <w:b/>
                <w:bCs/>
              </w:rPr>
            </w:pPr>
            <w:r w:rsidRPr="00B01284">
              <w:rPr>
                <w:b/>
                <w:bCs/>
              </w:rPr>
              <w:t>Category 5: Deduction and Construction based on Specific Theories</w:t>
            </w:r>
          </w:p>
        </w:tc>
      </w:tr>
      <w:tr w:rsidR="004A6CD6" w:rsidRPr="00B01284" w14:paraId="27CD5178" w14:textId="77777777" w:rsidTr="004A6CD6">
        <w:trPr>
          <w:trHeight w:val="675"/>
          <w:jc w:val="center"/>
        </w:trPr>
        <w:tc>
          <w:tcPr>
            <w:tcW w:w="1985" w:type="dxa"/>
            <w:tcBorders>
              <w:top w:val="nil"/>
            </w:tcBorders>
            <w:noWrap/>
            <w:hideMark/>
          </w:tcPr>
          <w:p w14:paraId="5D8DBCF0" w14:textId="5921B28B" w:rsidR="004A6CD6" w:rsidRPr="00B01284" w:rsidRDefault="004A6CD6" w:rsidP="004A6CD6">
            <w:pPr>
              <w:jc w:val="center"/>
            </w:pPr>
            <w:r w:rsidRPr="00B01284">
              <w:t>Krishna et al.</w:t>
            </w:r>
          </w:p>
        </w:tc>
        <w:tc>
          <w:tcPr>
            <w:tcW w:w="2551" w:type="dxa"/>
            <w:tcBorders>
              <w:top w:val="nil"/>
            </w:tcBorders>
            <w:noWrap/>
            <w:hideMark/>
          </w:tcPr>
          <w:p w14:paraId="219625DF" w14:textId="77777777" w:rsidR="004A6CD6" w:rsidRPr="00B01284" w:rsidRDefault="004A6CD6" w:rsidP="004A6CD6">
            <w:pPr>
              <w:jc w:val="center"/>
            </w:pPr>
            <w:r w:rsidRPr="00B01284">
              <w:t>Road infrastructure data</w:t>
            </w:r>
          </w:p>
        </w:tc>
        <w:tc>
          <w:tcPr>
            <w:tcW w:w="9421" w:type="dxa"/>
            <w:gridSpan w:val="2"/>
            <w:tcBorders>
              <w:top w:val="nil"/>
            </w:tcBorders>
            <w:noWrap/>
            <w:hideMark/>
          </w:tcPr>
          <w:p w14:paraId="183797F5" w14:textId="77777777" w:rsidR="004A6CD6" w:rsidRPr="00B01284" w:rsidRDefault="004A6CD6" w:rsidP="004A6CD6">
            <w:pPr>
              <w:jc w:val="center"/>
            </w:pPr>
            <w:r w:rsidRPr="00B01284">
              <w:t>A semiotic framework based on syntactic, empirical, semantic, and pragmatic layers of data quality dimensions.</w:t>
            </w:r>
          </w:p>
        </w:tc>
      </w:tr>
      <w:tr w:rsidR="004A6CD6" w:rsidRPr="00B01284" w14:paraId="4F452028" w14:textId="77777777" w:rsidTr="004A6CD6">
        <w:trPr>
          <w:trHeight w:val="675"/>
          <w:jc w:val="center"/>
        </w:trPr>
        <w:tc>
          <w:tcPr>
            <w:tcW w:w="1985" w:type="dxa"/>
            <w:noWrap/>
            <w:hideMark/>
          </w:tcPr>
          <w:p w14:paraId="0ABB3CAB" w14:textId="5677F10F" w:rsidR="004A6CD6" w:rsidRPr="00B01284" w:rsidRDefault="004A6CD6" w:rsidP="004A6CD6">
            <w:pPr>
              <w:jc w:val="center"/>
            </w:pPr>
            <w:proofErr w:type="spellStart"/>
            <w:r w:rsidRPr="00B01284">
              <w:lastRenderedPageBreak/>
              <w:t>Larburu</w:t>
            </w:r>
            <w:proofErr w:type="spellEnd"/>
            <w:r w:rsidRPr="00B01284">
              <w:t xml:space="preserve"> et al.</w:t>
            </w:r>
          </w:p>
        </w:tc>
        <w:tc>
          <w:tcPr>
            <w:tcW w:w="2551" w:type="dxa"/>
            <w:noWrap/>
            <w:hideMark/>
          </w:tcPr>
          <w:p w14:paraId="4C1317F4" w14:textId="77777777" w:rsidR="004A6CD6" w:rsidRPr="00B01284" w:rsidRDefault="004A6CD6" w:rsidP="004A6CD6">
            <w:pPr>
              <w:jc w:val="center"/>
            </w:pPr>
            <w:r w:rsidRPr="00B01284">
              <w:t>Healthcare data (telemedicine)</w:t>
            </w:r>
          </w:p>
        </w:tc>
        <w:tc>
          <w:tcPr>
            <w:tcW w:w="9421" w:type="dxa"/>
            <w:gridSpan w:val="2"/>
            <w:noWrap/>
            <w:hideMark/>
          </w:tcPr>
          <w:p w14:paraId="138ACF73" w14:textId="77777777" w:rsidR="004A6CD6" w:rsidRPr="00B01284" w:rsidRDefault="004A6CD6" w:rsidP="004A6CD6">
            <w:pPr>
              <w:jc w:val="center"/>
            </w:pPr>
            <w:r w:rsidRPr="00B01284">
              <w:t>An ontology based on the impact of technological environmental changes on clinical data quality.</w:t>
            </w:r>
          </w:p>
        </w:tc>
      </w:tr>
    </w:tbl>
    <w:p w14:paraId="16D52928" w14:textId="18EC1B66" w:rsidR="008C1E6E" w:rsidRDefault="008C1E6E" w:rsidP="004A6CD6"/>
    <w:p w14:paraId="4ECDDF63" w14:textId="77777777" w:rsidR="00DC6AF3" w:rsidRDefault="00DC6AF3" w:rsidP="004A6CD6"/>
    <w:p w14:paraId="7DB1AEF9" w14:textId="538E4907" w:rsidR="00DC6AF3" w:rsidRDefault="00DC6AF3" w:rsidP="004D2760">
      <w:pPr>
        <w:pStyle w:val="TableTitle"/>
      </w:pPr>
      <w:r w:rsidRPr="002436CD">
        <w:rPr>
          <w:bCs/>
        </w:rPr>
        <w:t>Table</w:t>
      </w:r>
      <w:r w:rsidR="004D2760">
        <w:rPr>
          <w:rFonts w:hint="eastAsia"/>
          <w:bCs/>
        </w:rPr>
        <w:t xml:space="preserve"> </w:t>
      </w:r>
      <w:r>
        <w:rPr>
          <w:rFonts w:hint="eastAsia"/>
          <w:bCs/>
        </w:rPr>
        <w:t>S2</w:t>
      </w:r>
      <w:r w:rsidRPr="002436CD">
        <w:rPr>
          <w:rFonts w:hint="eastAsia"/>
          <w:bCs/>
        </w:rPr>
        <w:t>.</w:t>
      </w:r>
      <w:r w:rsidRPr="00580D7F">
        <w:t xml:space="preserve"> </w:t>
      </w:r>
      <w:r w:rsidRPr="00300C3C">
        <w:t>Literature Search Strategy and Results</w:t>
      </w:r>
    </w:p>
    <w:tbl>
      <w:tblPr>
        <w:tblStyle w:val="TableText"/>
        <w:tblW w:w="12474" w:type="dxa"/>
        <w:jc w:val="center"/>
        <w:tblLook w:val="04A0" w:firstRow="1" w:lastRow="0" w:firstColumn="1" w:lastColumn="0" w:noHBand="0" w:noVBand="1"/>
      </w:tblPr>
      <w:tblGrid>
        <w:gridCol w:w="1559"/>
        <w:gridCol w:w="9065"/>
        <w:gridCol w:w="1850"/>
      </w:tblGrid>
      <w:tr w:rsidR="00DC6AF3" w:rsidRPr="00DC6AF3" w14:paraId="4618E577" w14:textId="77777777" w:rsidTr="004D2760">
        <w:trPr>
          <w:trHeight w:val="390"/>
          <w:jc w:val="center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4928337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Database</w:t>
            </w:r>
          </w:p>
        </w:tc>
        <w:tc>
          <w:tcPr>
            <w:tcW w:w="906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3C09918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Search date = 04/12/2025</w:t>
            </w:r>
          </w:p>
        </w:tc>
        <w:tc>
          <w:tcPr>
            <w:tcW w:w="185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EBDE577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Number of studies</w:t>
            </w:r>
          </w:p>
        </w:tc>
      </w:tr>
      <w:tr w:rsidR="00DC6AF3" w:rsidRPr="00DC6AF3" w14:paraId="75470DF5" w14:textId="77777777" w:rsidTr="004D2760">
        <w:trPr>
          <w:trHeight w:val="390"/>
          <w:jc w:val="center"/>
        </w:trPr>
        <w:tc>
          <w:tcPr>
            <w:tcW w:w="1559" w:type="dxa"/>
            <w:vMerge w:val="restart"/>
            <w:tcBorders>
              <w:top w:val="single" w:sz="8" w:space="0" w:color="auto"/>
            </w:tcBorders>
            <w:noWrap/>
            <w:hideMark/>
          </w:tcPr>
          <w:p w14:paraId="4427DAE6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PubMed/</w:t>
            </w:r>
            <w:r w:rsidRPr="00DC6AF3">
              <w:br/>
            </w:r>
            <w:r w:rsidRPr="00DC6AF3">
              <w:rPr>
                <w:rFonts w:hint="eastAsia"/>
              </w:rPr>
              <w:t>MEDLINE</w:t>
            </w:r>
          </w:p>
        </w:tc>
        <w:tc>
          <w:tcPr>
            <w:tcW w:w="9065" w:type="dxa"/>
            <w:tcBorders>
              <w:top w:val="single" w:sz="8" w:space="0" w:color="auto"/>
            </w:tcBorders>
            <w:noWrap/>
            <w:hideMark/>
          </w:tcPr>
          <w:p w14:paraId="48058D22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#1 ("Diabetes Mellitus"[Mesh] OR "Diabetes, Gestational"[Mesh] OR "Prediabetic State"[Mesh] OR diabetes mellitus[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diabetes[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diabetic*[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T1</w:t>
            </w:r>
            <w:proofErr w:type="gramStart"/>
            <w:r w:rsidRPr="00DC6AF3">
              <w:rPr>
                <w:rFonts w:hint="eastAsia"/>
              </w:rPr>
              <w:t>DM[</w:t>
            </w:r>
            <w:proofErr w:type="spellStart"/>
            <w:proofErr w:type="gramEnd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T2</w:t>
            </w:r>
            <w:proofErr w:type="gramStart"/>
            <w:r w:rsidRPr="00DC6AF3">
              <w:rPr>
                <w:rFonts w:hint="eastAsia"/>
              </w:rPr>
              <w:t>DM[</w:t>
            </w:r>
            <w:proofErr w:type="spellStart"/>
            <w:proofErr w:type="gramEnd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"gestational diabetes"[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 xml:space="preserve">] OR </w:t>
            </w:r>
            <w:proofErr w:type="spellStart"/>
            <w:r w:rsidRPr="00DC6AF3">
              <w:rPr>
                <w:rFonts w:hint="eastAsia"/>
              </w:rPr>
              <w:t>prediabet</w:t>
            </w:r>
            <w:proofErr w:type="spellEnd"/>
            <w:r w:rsidRPr="00DC6AF3">
              <w:rPr>
                <w:rFonts w:hint="eastAsia"/>
              </w:rPr>
              <w:t>*[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])</w:t>
            </w:r>
          </w:p>
        </w:tc>
        <w:tc>
          <w:tcPr>
            <w:tcW w:w="1850" w:type="dxa"/>
            <w:tcBorders>
              <w:top w:val="single" w:sz="8" w:space="0" w:color="auto"/>
            </w:tcBorders>
            <w:noWrap/>
            <w:hideMark/>
          </w:tcPr>
          <w:p w14:paraId="18043A8E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929,046</w:t>
            </w:r>
          </w:p>
        </w:tc>
      </w:tr>
      <w:tr w:rsidR="00DC6AF3" w:rsidRPr="00DC6AF3" w14:paraId="4BAE54F8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41EF6EEF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197F9547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#2 ("Breath Tests"[Mesh] OR "Exhalation"[Mesh] OR breath[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"exhaled air"[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"exhaled gas*"[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"expired air"[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"expired gas*"[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exhalation[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"breath analysis"[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"breath analyses"[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"breath test*"[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"breath testing"[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 xml:space="preserve">] OR </w:t>
            </w:r>
            <w:proofErr w:type="spellStart"/>
            <w:r w:rsidRPr="00DC6AF3">
              <w:rPr>
                <w:rFonts w:hint="eastAsia"/>
              </w:rPr>
              <w:t>breathomic</w:t>
            </w:r>
            <w:proofErr w:type="spellEnd"/>
            <w:r w:rsidRPr="00DC6AF3">
              <w:rPr>
                <w:rFonts w:hint="eastAsia"/>
              </w:rPr>
              <w:t>*[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])</w:t>
            </w:r>
          </w:p>
        </w:tc>
        <w:tc>
          <w:tcPr>
            <w:tcW w:w="1850" w:type="dxa"/>
            <w:noWrap/>
            <w:hideMark/>
          </w:tcPr>
          <w:p w14:paraId="4E8E7F16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72,418</w:t>
            </w:r>
          </w:p>
        </w:tc>
      </w:tr>
      <w:tr w:rsidR="00DC6AF3" w:rsidRPr="00DC6AF3" w14:paraId="37D6A13E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79FE9019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35EAFF67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#3 ("Volatile Organic Compounds"[Mesh] OR "volatile organic compound*"[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 xml:space="preserve">] OR </w:t>
            </w:r>
            <w:proofErr w:type="gramStart"/>
            <w:r w:rsidRPr="00DC6AF3">
              <w:rPr>
                <w:rFonts w:hint="eastAsia"/>
              </w:rPr>
              <w:t>VOC[</w:t>
            </w:r>
            <w:proofErr w:type="spellStart"/>
            <w:proofErr w:type="gramEnd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VOCs[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 OR "volatile metabolite*"[</w:t>
            </w:r>
            <w:proofErr w:type="spellStart"/>
            <w:r w:rsidRPr="00DC6AF3">
              <w:rPr>
                <w:rFonts w:hint="eastAsia"/>
              </w:rPr>
              <w:t>tiab</w:t>
            </w:r>
            <w:proofErr w:type="spellEnd"/>
            <w:r w:rsidRPr="00DC6AF3">
              <w:rPr>
                <w:rFonts w:hint="eastAsia"/>
              </w:rPr>
              <w:t>])</w:t>
            </w:r>
          </w:p>
        </w:tc>
        <w:tc>
          <w:tcPr>
            <w:tcW w:w="1850" w:type="dxa"/>
            <w:noWrap/>
            <w:hideMark/>
          </w:tcPr>
          <w:p w14:paraId="1354D0B0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36,779</w:t>
            </w:r>
          </w:p>
        </w:tc>
      </w:tr>
      <w:tr w:rsidR="00DC6AF3" w:rsidRPr="00DC6AF3" w14:paraId="6456F889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3FF48EEE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241C1E46" w14:textId="77777777" w:rsidR="00DC6AF3" w:rsidRPr="00DC6AF3" w:rsidRDefault="00DC6AF3" w:rsidP="004D2760">
            <w:pPr>
              <w:pStyle w:val="TableTextStyle"/>
              <w:jc w:val="left"/>
            </w:pPr>
            <w:proofErr w:type="gramStart"/>
            <w:r w:rsidRPr="00DC6AF3">
              <w:rPr>
                <w:rFonts w:hint="eastAsia"/>
              </w:rPr>
              <w:t>#4 (#</w:t>
            </w:r>
            <w:proofErr w:type="gramEnd"/>
            <w:r w:rsidRPr="00DC6AF3">
              <w:rPr>
                <w:rFonts w:hint="eastAsia"/>
              </w:rPr>
              <w:t>1 AND #2 AND #3)</w:t>
            </w:r>
          </w:p>
        </w:tc>
        <w:tc>
          <w:tcPr>
            <w:tcW w:w="1850" w:type="dxa"/>
            <w:noWrap/>
            <w:hideMark/>
          </w:tcPr>
          <w:p w14:paraId="65C226CA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103</w:t>
            </w:r>
          </w:p>
        </w:tc>
      </w:tr>
      <w:tr w:rsidR="00DC6AF3" w:rsidRPr="00DC6AF3" w14:paraId="093CF208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778981D9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7147591D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#5 limit #4 to humans</w:t>
            </w:r>
          </w:p>
        </w:tc>
        <w:tc>
          <w:tcPr>
            <w:tcW w:w="1850" w:type="dxa"/>
            <w:noWrap/>
            <w:hideMark/>
          </w:tcPr>
          <w:p w14:paraId="5932B454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82</w:t>
            </w:r>
          </w:p>
        </w:tc>
      </w:tr>
      <w:tr w:rsidR="00DC6AF3" w:rsidRPr="00DC6AF3" w14:paraId="261B871E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021DC586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4B2F4406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#6 limit #5 to English language</w:t>
            </w:r>
          </w:p>
        </w:tc>
        <w:tc>
          <w:tcPr>
            <w:tcW w:w="1850" w:type="dxa"/>
            <w:noWrap/>
            <w:hideMark/>
          </w:tcPr>
          <w:p w14:paraId="6F5189AC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82</w:t>
            </w:r>
          </w:p>
        </w:tc>
      </w:tr>
      <w:tr w:rsidR="00DC6AF3" w:rsidRPr="00DC6AF3" w14:paraId="124A785C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bottom w:val="single" w:sz="8" w:space="0" w:color="auto"/>
            </w:tcBorders>
            <w:hideMark/>
          </w:tcPr>
          <w:p w14:paraId="091B58A7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bottom w:val="single" w:sz="8" w:space="0" w:color="auto"/>
            </w:tcBorders>
            <w:noWrap/>
            <w:hideMark/>
          </w:tcPr>
          <w:p w14:paraId="7924AE78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#7 limit #6 from 2005 to 2025</w:t>
            </w:r>
          </w:p>
        </w:tc>
        <w:tc>
          <w:tcPr>
            <w:tcW w:w="1850" w:type="dxa"/>
            <w:tcBorders>
              <w:bottom w:val="single" w:sz="8" w:space="0" w:color="auto"/>
            </w:tcBorders>
            <w:noWrap/>
            <w:hideMark/>
          </w:tcPr>
          <w:p w14:paraId="0F462D74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81</w:t>
            </w:r>
          </w:p>
        </w:tc>
      </w:tr>
      <w:tr w:rsidR="00DC6AF3" w:rsidRPr="00DC6AF3" w14:paraId="52078DA9" w14:textId="77777777" w:rsidTr="004D2760">
        <w:trPr>
          <w:trHeight w:val="390"/>
          <w:jc w:val="center"/>
        </w:trPr>
        <w:tc>
          <w:tcPr>
            <w:tcW w:w="1559" w:type="dxa"/>
            <w:vMerge w:val="restart"/>
            <w:tcBorders>
              <w:top w:val="single" w:sz="8" w:space="0" w:color="auto"/>
              <w:bottom w:val="nil"/>
            </w:tcBorders>
            <w:noWrap/>
            <w:hideMark/>
          </w:tcPr>
          <w:p w14:paraId="4DF82442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Scopus</w:t>
            </w:r>
          </w:p>
        </w:tc>
        <w:tc>
          <w:tcPr>
            <w:tcW w:w="9065" w:type="dxa"/>
            <w:tcBorders>
              <w:top w:val="single" w:sz="8" w:space="0" w:color="auto"/>
              <w:bottom w:val="nil"/>
            </w:tcBorders>
            <w:noWrap/>
            <w:hideMark/>
          </w:tcPr>
          <w:p w14:paraId="4393D2B7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#1 (diabetes AND mellitus OR diabetes OR diabetic* OR t1dm OR t2dm OR "type 1 diabetes" OR "type 2 diabetes" OR "gestational diabetes" OR prediabetes OR "pre-diabetes" OR "prediabetic state")</w:t>
            </w:r>
          </w:p>
        </w:tc>
        <w:tc>
          <w:tcPr>
            <w:tcW w:w="185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19078F0C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1,275,851</w:t>
            </w:r>
          </w:p>
        </w:tc>
      </w:tr>
      <w:tr w:rsidR="00DC6AF3" w:rsidRPr="00DC6AF3" w14:paraId="324A5783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nil"/>
            </w:tcBorders>
            <w:hideMark/>
          </w:tcPr>
          <w:p w14:paraId="06D25F1F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nil"/>
            </w:tcBorders>
            <w:noWrap/>
            <w:hideMark/>
          </w:tcPr>
          <w:p w14:paraId="4F97C9C1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 xml:space="preserve">#2 (breath OR "exhaled air" OR "exhaled gas*" OR "expired air" OR "expired gas*" OR exhalation OR "breath analysis" OR "breath analyses" OR "breath test*" OR "breath testing" OR </w:t>
            </w:r>
            <w:proofErr w:type="spellStart"/>
            <w:r w:rsidRPr="00DC6AF3">
              <w:rPr>
                <w:rFonts w:hint="eastAsia"/>
              </w:rPr>
              <w:t>breathomic</w:t>
            </w:r>
            <w:proofErr w:type="spellEnd"/>
            <w:r w:rsidRPr="00DC6AF3">
              <w:rPr>
                <w:rFonts w:hint="eastAsia"/>
              </w:rPr>
              <w:t>*)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hideMark/>
          </w:tcPr>
          <w:p w14:paraId="0D23D260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114,123</w:t>
            </w:r>
          </w:p>
        </w:tc>
      </w:tr>
      <w:tr w:rsidR="00DC6AF3" w:rsidRPr="00DC6AF3" w14:paraId="35EDE8A2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nil"/>
            </w:tcBorders>
            <w:hideMark/>
          </w:tcPr>
          <w:p w14:paraId="690BFDA0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nil"/>
            </w:tcBorders>
            <w:noWrap/>
            <w:hideMark/>
          </w:tcPr>
          <w:p w14:paraId="0C0DD671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#3 ("volatile organic compound*" OR VOC OR VOCs OR "volatile metabolite*")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hideMark/>
          </w:tcPr>
          <w:p w14:paraId="09E8756F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129,730</w:t>
            </w:r>
          </w:p>
        </w:tc>
      </w:tr>
      <w:tr w:rsidR="00DC6AF3" w:rsidRPr="00DC6AF3" w14:paraId="7A9577E2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nil"/>
            </w:tcBorders>
            <w:hideMark/>
          </w:tcPr>
          <w:p w14:paraId="0302695E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nil"/>
            </w:tcBorders>
            <w:noWrap/>
            <w:hideMark/>
          </w:tcPr>
          <w:p w14:paraId="0E90FED0" w14:textId="77777777" w:rsidR="00DC6AF3" w:rsidRPr="00DC6AF3" w:rsidRDefault="00DC6AF3" w:rsidP="004D2760">
            <w:pPr>
              <w:pStyle w:val="TableTextStyle"/>
              <w:jc w:val="left"/>
            </w:pPr>
            <w:proofErr w:type="gramStart"/>
            <w:r w:rsidRPr="00DC6AF3">
              <w:rPr>
                <w:rFonts w:hint="eastAsia"/>
              </w:rPr>
              <w:t>#4 (#</w:t>
            </w:r>
            <w:proofErr w:type="gramEnd"/>
            <w:r w:rsidRPr="00DC6AF3">
              <w:rPr>
                <w:rFonts w:hint="eastAsia"/>
              </w:rPr>
              <w:t>1 AND #2 AND #3)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hideMark/>
          </w:tcPr>
          <w:p w14:paraId="6B8C25DD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260</w:t>
            </w:r>
          </w:p>
        </w:tc>
      </w:tr>
      <w:tr w:rsidR="00DC6AF3" w:rsidRPr="00DC6AF3" w14:paraId="0DA72769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nil"/>
            </w:tcBorders>
            <w:hideMark/>
          </w:tcPr>
          <w:p w14:paraId="532508D2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nil"/>
            </w:tcBorders>
            <w:noWrap/>
            <w:hideMark/>
          </w:tcPr>
          <w:p w14:paraId="4ED03389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#5 limit #4 from 2005 to 2025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hideMark/>
          </w:tcPr>
          <w:p w14:paraId="2455E10B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259</w:t>
            </w:r>
          </w:p>
        </w:tc>
      </w:tr>
      <w:tr w:rsidR="00DC6AF3" w:rsidRPr="00DC6AF3" w14:paraId="3D6677E0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single" w:sz="8" w:space="0" w:color="auto"/>
            </w:tcBorders>
            <w:hideMark/>
          </w:tcPr>
          <w:p w14:paraId="609F9466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single" w:sz="8" w:space="0" w:color="auto"/>
            </w:tcBorders>
            <w:noWrap/>
            <w:hideMark/>
          </w:tcPr>
          <w:p w14:paraId="650D022A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t>#6 Excluded "Editorial" and "Letter" from #5</w:t>
            </w:r>
          </w:p>
        </w:tc>
        <w:tc>
          <w:tcPr>
            <w:tcW w:w="1850" w:type="dxa"/>
            <w:tcBorders>
              <w:top w:val="nil"/>
              <w:bottom w:val="single" w:sz="8" w:space="0" w:color="auto"/>
            </w:tcBorders>
            <w:noWrap/>
            <w:hideMark/>
          </w:tcPr>
          <w:p w14:paraId="3F1901CA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250</w:t>
            </w:r>
          </w:p>
        </w:tc>
      </w:tr>
      <w:tr w:rsidR="00DC6AF3" w:rsidRPr="00DC6AF3" w14:paraId="7829DCD4" w14:textId="77777777" w:rsidTr="004D2760">
        <w:trPr>
          <w:trHeight w:val="390"/>
          <w:jc w:val="center"/>
        </w:trPr>
        <w:tc>
          <w:tcPr>
            <w:tcW w:w="1559" w:type="dxa"/>
            <w:vMerge w:val="restart"/>
            <w:tcBorders>
              <w:top w:val="single" w:sz="8" w:space="0" w:color="auto"/>
              <w:bottom w:val="nil"/>
            </w:tcBorders>
            <w:noWrap/>
            <w:hideMark/>
          </w:tcPr>
          <w:p w14:paraId="1F11AFE2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Embase</w:t>
            </w:r>
          </w:p>
        </w:tc>
        <w:tc>
          <w:tcPr>
            <w:tcW w:w="9065" w:type="dxa"/>
            <w:tcBorders>
              <w:top w:val="single" w:sz="8" w:space="0" w:color="auto"/>
              <w:bottom w:val="nil"/>
            </w:tcBorders>
            <w:noWrap/>
            <w:hideMark/>
          </w:tcPr>
          <w:p w14:paraId="04952CF9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#1 ('diabetes mellitus'/exp OR 'gestational diabetes'/exp OR 'prediabetes'/exp OR 'diabetes mellitus</w:t>
            </w:r>
            <w:proofErr w:type="gramStart"/>
            <w:r w:rsidRPr="00DC6AF3">
              <w:rPr>
                <w:rFonts w:hint="eastAsia"/>
              </w:rPr>
              <w:t>':</w:t>
            </w:r>
            <w:proofErr w:type="spellStart"/>
            <w:r w:rsidRPr="00DC6AF3">
              <w:rPr>
                <w:rFonts w:hint="eastAsia"/>
              </w:rPr>
              <w:t>ti</w:t>
            </w:r>
            <w:proofErr w:type="gramEnd"/>
            <w:r w:rsidRPr="00DC6AF3">
              <w:rPr>
                <w:rFonts w:hint="eastAsia"/>
              </w:rPr>
              <w:t>,ab</w:t>
            </w:r>
            <w:proofErr w:type="spellEnd"/>
            <w:r w:rsidRPr="00DC6AF3">
              <w:rPr>
                <w:rFonts w:hint="eastAsia"/>
              </w:rPr>
              <w:t xml:space="preserve"> OR </w:t>
            </w:r>
            <w:proofErr w:type="spellStart"/>
            <w:proofErr w:type="gramStart"/>
            <w:r w:rsidRPr="00DC6AF3">
              <w:rPr>
                <w:rFonts w:hint="eastAsia"/>
              </w:rPr>
              <w:t>diabetes:ti</w:t>
            </w:r>
            <w:proofErr w:type="gramEnd"/>
            <w:r w:rsidRPr="00DC6AF3">
              <w:rPr>
                <w:rFonts w:hint="eastAsia"/>
              </w:rPr>
              <w:t>,ab</w:t>
            </w:r>
            <w:proofErr w:type="spellEnd"/>
            <w:r w:rsidRPr="00DC6AF3">
              <w:rPr>
                <w:rFonts w:hint="eastAsia"/>
              </w:rPr>
              <w:t xml:space="preserve"> OR diabetic</w:t>
            </w:r>
            <w:proofErr w:type="gramStart"/>
            <w:r w:rsidRPr="00DC6AF3">
              <w:rPr>
                <w:rFonts w:hint="eastAsia"/>
              </w:rPr>
              <w:t>*:</w:t>
            </w:r>
            <w:proofErr w:type="spellStart"/>
            <w:r w:rsidRPr="00DC6AF3">
              <w:rPr>
                <w:rFonts w:hint="eastAsia"/>
              </w:rPr>
              <w:t>ti</w:t>
            </w:r>
            <w:proofErr w:type="gramEnd"/>
            <w:r w:rsidRPr="00DC6AF3">
              <w:rPr>
                <w:rFonts w:hint="eastAsia"/>
              </w:rPr>
              <w:t>,ab</w:t>
            </w:r>
            <w:proofErr w:type="spellEnd"/>
            <w:r w:rsidRPr="00DC6AF3">
              <w:rPr>
                <w:rFonts w:hint="eastAsia"/>
              </w:rPr>
              <w:t xml:space="preserve"> OR T1</w:t>
            </w:r>
            <w:proofErr w:type="gramStart"/>
            <w:r w:rsidRPr="00DC6AF3">
              <w:rPr>
                <w:rFonts w:hint="eastAsia"/>
              </w:rPr>
              <w:t>DM:ti</w:t>
            </w:r>
            <w:proofErr w:type="gramEnd"/>
            <w:r w:rsidRPr="00DC6AF3">
              <w:rPr>
                <w:rFonts w:hint="eastAsia"/>
              </w:rPr>
              <w:t>,ab OR T2</w:t>
            </w:r>
            <w:proofErr w:type="gramStart"/>
            <w:r w:rsidRPr="00DC6AF3">
              <w:rPr>
                <w:rFonts w:hint="eastAsia"/>
              </w:rPr>
              <w:t>DM:ti</w:t>
            </w:r>
            <w:proofErr w:type="gramEnd"/>
            <w:r w:rsidRPr="00DC6AF3">
              <w:rPr>
                <w:rFonts w:hint="eastAsia"/>
              </w:rPr>
              <w:t>,ab OR 'gestational diabetes</w:t>
            </w:r>
            <w:proofErr w:type="gramStart"/>
            <w:r w:rsidRPr="00DC6AF3">
              <w:rPr>
                <w:rFonts w:hint="eastAsia"/>
              </w:rPr>
              <w:t>':</w:t>
            </w:r>
            <w:proofErr w:type="spellStart"/>
            <w:r w:rsidRPr="00DC6AF3">
              <w:rPr>
                <w:rFonts w:hint="eastAsia"/>
              </w:rPr>
              <w:t>ti</w:t>
            </w:r>
            <w:proofErr w:type="gramEnd"/>
            <w:r w:rsidRPr="00DC6AF3">
              <w:rPr>
                <w:rFonts w:hint="eastAsia"/>
              </w:rPr>
              <w:t>,ab</w:t>
            </w:r>
            <w:proofErr w:type="spellEnd"/>
            <w:r w:rsidRPr="00DC6AF3">
              <w:rPr>
                <w:rFonts w:hint="eastAsia"/>
              </w:rPr>
              <w:t xml:space="preserve"> OR </w:t>
            </w:r>
            <w:proofErr w:type="spellStart"/>
            <w:r w:rsidRPr="00DC6AF3">
              <w:rPr>
                <w:rFonts w:hint="eastAsia"/>
              </w:rPr>
              <w:t>prediabet</w:t>
            </w:r>
            <w:proofErr w:type="spellEnd"/>
            <w:proofErr w:type="gramStart"/>
            <w:r w:rsidRPr="00DC6AF3">
              <w:rPr>
                <w:rFonts w:hint="eastAsia"/>
              </w:rPr>
              <w:t>*:</w:t>
            </w:r>
            <w:proofErr w:type="spellStart"/>
            <w:r w:rsidRPr="00DC6AF3">
              <w:rPr>
                <w:rFonts w:hint="eastAsia"/>
              </w:rPr>
              <w:t>ti</w:t>
            </w:r>
            <w:proofErr w:type="gramEnd"/>
            <w:r w:rsidRPr="00DC6AF3">
              <w:rPr>
                <w:rFonts w:hint="eastAsia"/>
              </w:rPr>
              <w:t>,ab</w:t>
            </w:r>
            <w:proofErr w:type="spellEnd"/>
            <w:r w:rsidRPr="00DC6AF3">
              <w:rPr>
                <w:rFonts w:hint="eastAsia"/>
              </w:rPr>
              <w:t>)</w:t>
            </w:r>
          </w:p>
        </w:tc>
        <w:tc>
          <w:tcPr>
            <w:tcW w:w="1850" w:type="dxa"/>
            <w:tcBorders>
              <w:top w:val="single" w:sz="8" w:space="0" w:color="auto"/>
              <w:bottom w:val="nil"/>
            </w:tcBorders>
            <w:noWrap/>
            <w:hideMark/>
          </w:tcPr>
          <w:p w14:paraId="69EB04F3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1,648,112</w:t>
            </w:r>
          </w:p>
        </w:tc>
      </w:tr>
      <w:tr w:rsidR="00DC6AF3" w:rsidRPr="00DC6AF3" w14:paraId="1616CBE0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nil"/>
            </w:tcBorders>
            <w:hideMark/>
          </w:tcPr>
          <w:p w14:paraId="7909A933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nil"/>
            </w:tcBorders>
            <w:noWrap/>
            <w:hideMark/>
          </w:tcPr>
          <w:p w14:paraId="02ACF0DC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 xml:space="preserve">#2 ('breath analysis'/exp OR 'exhalation'/exp OR </w:t>
            </w:r>
            <w:proofErr w:type="spellStart"/>
            <w:r w:rsidRPr="00DC6AF3">
              <w:rPr>
                <w:rFonts w:hint="eastAsia"/>
              </w:rPr>
              <w:t>breath:ti,ab</w:t>
            </w:r>
            <w:proofErr w:type="spellEnd"/>
            <w:r w:rsidRPr="00DC6AF3">
              <w:rPr>
                <w:rFonts w:hint="eastAsia"/>
              </w:rPr>
              <w:t xml:space="preserve"> OR 'exhaled air':</w:t>
            </w:r>
            <w:proofErr w:type="spellStart"/>
            <w:r w:rsidRPr="00DC6AF3">
              <w:rPr>
                <w:rFonts w:hint="eastAsia"/>
              </w:rPr>
              <w:t>ti,ab</w:t>
            </w:r>
            <w:proofErr w:type="spellEnd"/>
            <w:r w:rsidRPr="00DC6AF3">
              <w:rPr>
                <w:rFonts w:hint="eastAsia"/>
              </w:rPr>
              <w:t xml:space="preserve"> OR 'exhaled gas*':</w:t>
            </w:r>
            <w:proofErr w:type="spellStart"/>
            <w:r w:rsidRPr="00DC6AF3">
              <w:rPr>
                <w:rFonts w:hint="eastAsia"/>
              </w:rPr>
              <w:t>ti,ab</w:t>
            </w:r>
            <w:proofErr w:type="spellEnd"/>
            <w:r w:rsidRPr="00DC6AF3">
              <w:rPr>
                <w:rFonts w:hint="eastAsia"/>
              </w:rPr>
              <w:t xml:space="preserve"> OR 'expired air':</w:t>
            </w:r>
            <w:proofErr w:type="spellStart"/>
            <w:r w:rsidRPr="00DC6AF3">
              <w:rPr>
                <w:rFonts w:hint="eastAsia"/>
              </w:rPr>
              <w:t>ti,ab</w:t>
            </w:r>
            <w:proofErr w:type="spellEnd"/>
            <w:r w:rsidRPr="00DC6AF3">
              <w:rPr>
                <w:rFonts w:hint="eastAsia"/>
              </w:rPr>
              <w:t xml:space="preserve"> OR 'expired gas*':</w:t>
            </w:r>
            <w:proofErr w:type="spellStart"/>
            <w:r w:rsidRPr="00DC6AF3">
              <w:rPr>
                <w:rFonts w:hint="eastAsia"/>
              </w:rPr>
              <w:t>ti,ab</w:t>
            </w:r>
            <w:proofErr w:type="spellEnd"/>
            <w:r w:rsidRPr="00DC6AF3">
              <w:rPr>
                <w:rFonts w:hint="eastAsia"/>
              </w:rPr>
              <w:t xml:space="preserve"> OR </w:t>
            </w:r>
            <w:proofErr w:type="spellStart"/>
            <w:r w:rsidRPr="00DC6AF3">
              <w:rPr>
                <w:rFonts w:hint="eastAsia"/>
              </w:rPr>
              <w:t>exhalation:ti,ab</w:t>
            </w:r>
            <w:proofErr w:type="spellEnd"/>
            <w:r w:rsidRPr="00DC6AF3">
              <w:rPr>
                <w:rFonts w:hint="eastAsia"/>
              </w:rPr>
              <w:t xml:space="preserve"> OR 'breath analysis':</w:t>
            </w:r>
            <w:proofErr w:type="spellStart"/>
            <w:r w:rsidRPr="00DC6AF3">
              <w:rPr>
                <w:rFonts w:hint="eastAsia"/>
              </w:rPr>
              <w:t>ti,ab</w:t>
            </w:r>
            <w:proofErr w:type="spellEnd"/>
            <w:r w:rsidRPr="00DC6AF3">
              <w:rPr>
                <w:rFonts w:hint="eastAsia"/>
              </w:rPr>
              <w:t xml:space="preserve"> OR 'breath analyses':</w:t>
            </w:r>
            <w:proofErr w:type="spellStart"/>
            <w:r w:rsidRPr="00DC6AF3">
              <w:rPr>
                <w:rFonts w:hint="eastAsia"/>
              </w:rPr>
              <w:t>ti,ab</w:t>
            </w:r>
            <w:proofErr w:type="spellEnd"/>
            <w:r w:rsidRPr="00DC6AF3">
              <w:rPr>
                <w:rFonts w:hint="eastAsia"/>
              </w:rPr>
              <w:t xml:space="preserve"> OR 'breath test*':</w:t>
            </w:r>
            <w:proofErr w:type="spellStart"/>
            <w:r w:rsidRPr="00DC6AF3">
              <w:rPr>
                <w:rFonts w:hint="eastAsia"/>
              </w:rPr>
              <w:t>ti,ab</w:t>
            </w:r>
            <w:proofErr w:type="spellEnd"/>
            <w:r w:rsidRPr="00DC6AF3">
              <w:rPr>
                <w:rFonts w:hint="eastAsia"/>
              </w:rPr>
              <w:t xml:space="preserve"> OR 'breath testing':</w:t>
            </w:r>
            <w:proofErr w:type="spellStart"/>
            <w:r w:rsidRPr="00DC6AF3">
              <w:rPr>
                <w:rFonts w:hint="eastAsia"/>
              </w:rPr>
              <w:t>ti,ab</w:t>
            </w:r>
            <w:proofErr w:type="spellEnd"/>
            <w:r w:rsidRPr="00DC6AF3">
              <w:rPr>
                <w:rFonts w:hint="eastAsia"/>
              </w:rPr>
              <w:t xml:space="preserve"> OR </w:t>
            </w:r>
            <w:proofErr w:type="spellStart"/>
            <w:r w:rsidRPr="00DC6AF3">
              <w:rPr>
                <w:rFonts w:hint="eastAsia"/>
              </w:rPr>
              <w:t>breathomic</w:t>
            </w:r>
            <w:proofErr w:type="spellEnd"/>
            <w:r w:rsidRPr="00DC6AF3">
              <w:rPr>
                <w:rFonts w:hint="eastAsia"/>
              </w:rPr>
              <w:t>*:</w:t>
            </w:r>
            <w:proofErr w:type="spellStart"/>
            <w:r w:rsidRPr="00DC6AF3">
              <w:rPr>
                <w:rFonts w:hint="eastAsia"/>
              </w:rPr>
              <w:t>ti,ab</w:t>
            </w:r>
            <w:proofErr w:type="spellEnd"/>
            <w:r w:rsidRPr="00DC6AF3">
              <w:rPr>
                <w:rFonts w:hint="eastAsia"/>
              </w:rPr>
              <w:t>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hideMark/>
          </w:tcPr>
          <w:p w14:paraId="3FA0C79E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143,818</w:t>
            </w:r>
          </w:p>
        </w:tc>
      </w:tr>
      <w:tr w:rsidR="00DC6AF3" w:rsidRPr="00DC6AF3" w14:paraId="36C92989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nil"/>
            </w:tcBorders>
            <w:hideMark/>
          </w:tcPr>
          <w:p w14:paraId="039801D5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nil"/>
            </w:tcBorders>
            <w:noWrap/>
            <w:hideMark/>
          </w:tcPr>
          <w:p w14:paraId="798AF75B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#3 ('volatile organic compound'/exp OR 'volatile organic compound*</w:t>
            </w:r>
            <w:proofErr w:type="gramStart"/>
            <w:r w:rsidRPr="00DC6AF3">
              <w:rPr>
                <w:rFonts w:hint="eastAsia"/>
              </w:rPr>
              <w:t>':</w:t>
            </w:r>
            <w:proofErr w:type="spellStart"/>
            <w:r w:rsidRPr="00DC6AF3">
              <w:rPr>
                <w:rFonts w:hint="eastAsia"/>
              </w:rPr>
              <w:t>ti</w:t>
            </w:r>
            <w:proofErr w:type="gramEnd"/>
            <w:r w:rsidRPr="00DC6AF3">
              <w:rPr>
                <w:rFonts w:hint="eastAsia"/>
              </w:rPr>
              <w:t>,ab</w:t>
            </w:r>
            <w:proofErr w:type="spellEnd"/>
            <w:r w:rsidRPr="00DC6AF3">
              <w:rPr>
                <w:rFonts w:hint="eastAsia"/>
              </w:rPr>
              <w:t xml:space="preserve"> OR </w:t>
            </w:r>
            <w:proofErr w:type="spellStart"/>
            <w:proofErr w:type="gramStart"/>
            <w:r w:rsidRPr="00DC6AF3">
              <w:rPr>
                <w:rFonts w:hint="eastAsia"/>
              </w:rPr>
              <w:t>VOC:ti</w:t>
            </w:r>
            <w:proofErr w:type="gramEnd"/>
            <w:r w:rsidRPr="00DC6AF3">
              <w:rPr>
                <w:rFonts w:hint="eastAsia"/>
              </w:rPr>
              <w:t>,ab</w:t>
            </w:r>
            <w:proofErr w:type="spellEnd"/>
            <w:r w:rsidRPr="00DC6AF3">
              <w:rPr>
                <w:rFonts w:hint="eastAsia"/>
              </w:rPr>
              <w:t xml:space="preserve"> OR </w:t>
            </w:r>
            <w:proofErr w:type="spellStart"/>
            <w:proofErr w:type="gramStart"/>
            <w:r w:rsidRPr="00DC6AF3">
              <w:rPr>
                <w:rFonts w:hint="eastAsia"/>
              </w:rPr>
              <w:t>VOCs:ti</w:t>
            </w:r>
            <w:proofErr w:type="gramEnd"/>
            <w:r w:rsidRPr="00DC6AF3">
              <w:rPr>
                <w:rFonts w:hint="eastAsia"/>
              </w:rPr>
              <w:t>,ab</w:t>
            </w:r>
            <w:proofErr w:type="spellEnd"/>
            <w:r w:rsidRPr="00DC6AF3">
              <w:rPr>
                <w:rFonts w:hint="eastAsia"/>
              </w:rPr>
              <w:t xml:space="preserve"> OR 'volatile metabolite*</w:t>
            </w:r>
            <w:proofErr w:type="gramStart"/>
            <w:r w:rsidRPr="00DC6AF3">
              <w:rPr>
                <w:rFonts w:hint="eastAsia"/>
              </w:rPr>
              <w:t>':</w:t>
            </w:r>
            <w:proofErr w:type="spellStart"/>
            <w:r w:rsidRPr="00DC6AF3">
              <w:rPr>
                <w:rFonts w:hint="eastAsia"/>
              </w:rPr>
              <w:t>ti</w:t>
            </w:r>
            <w:proofErr w:type="gramEnd"/>
            <w:r w:rsidRPr="00DC6AF3">
              <w:rPr>
                <w:rFonts w:hint="eastAsia"/>
              </w:rPr>
              <w:t>,ab</w:t>
            </w:r>
            <w:proofErr w:type="spellEnd"/>
            <w:r w:rsidRPr="00DC6AF3">
              <w:rPr>
                <w:rFonts w:hint="eastAsia"/>
              </w:rPr>
              <w:t>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hideMark/>
          </w:tcPr>
          <w:p w14:paraId="634059FD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41,802</w:t>
            </w:r>
          </w:p>
        </w:tc>
      </w:tr>
      <w:tr w:rsidR="00DC6AF3" w:rsidRPr="00DC6AF3" w14:paraId="0833361B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nil"/>
            </w:tcBorders>
            <w:hideMark/>
          </w:tcPr>
          <w:p w14:paraId="5E4B3274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nil"/>
            </w:tcBorders>
            <w:noWrap/>
            <w:hideMark/>
          </w:tcPr>
          <w:p w14:paraId="05DB6323" w14:textId="77777777" w:rsidR="00DC6AF3" w:rsidRPr="00DC6AF3" w:rsidRDefault="00DC6AF3" w:rsidP="004D2760">
            <w:pPr>
              <w:pStyle w:val="TableTextStyle"/>
              <w:jc w:val="left"/>
            </w:pPr>
            <w:proofErr w:type="gramStart"/>
            <w:r w:rsidRPr="00DC6AF3">
              <w:rPr>
                <w:rFonts w:hint="eastAsia"/>
              </w:rPr>
              <w:t>#4 (#</w:t>
            </w:r>
            <w:proofErr w:type="gramEnd"/>
            <w:r w:rsidRPr="00DC6AF3">
              <w:rPr>
                <w:rFonts w:hint="eastAsia"/>
              </w:rPr>
              <w:t>1 AND #2 AND #3)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hideMark/>
          </w:tcPr>
          <w:p w14:paraId="4C76E4C5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166</w:t>
            </w:r>
          </w:p>
        </w:tc>
      </w:tr>
      <w:tr w:rsidR="00DC6AF3" w:rsidRPr="00DC6AF3" w14:paraId="3B6E67E3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nil"/>
            </w:tcBorders>
            <w:hideMark/>
          </w:tcPr>
          <w:p w14:paraId="2FAF69CC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nil"/>
            </w:tcBorders>
            <w:noWrap/>
            <w:hideMark/>
          </w:tcPr>
          <w:p w14:paraId="777A9597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#5 limit #4 to humans</w:t>
            </w:r>
          </w:p>
        </w:tc>
        <w:tc>
          <w:tcPr>
            <w:tcW w:w="1850" w:type="dxa"/>
            <w:tcBorders>
              <w:top w:val="nil"/>
              <w:bottom w:val="nil"/>
            </w:tcBorders>
            <w:noWrap/>
            <w:hideMark/>
          </w:tcPr>
          <w:p w14:paraId="34C9C3EF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148</w:t>
            </w:r>
          </w:p>
        </w:tc>
      </w:tr>
      <w:tr w:rsidR="00DC6AF3" w:rsidRPr="00DC6AF3" w14:paraId="2DD6298E" w14:textId="77777777" w:rsidTr="004D2760">
        <w:trPr>
          <w:trHeight w:val="390"/>
          <w:jc w:val="center"/>
        </w:trPr>
        <w:tc>
          <w:tcPr>
            <w:tcW w:w="1559" w:type="dxa"/>
            <w:vMerge/>
            <w:tcBorders>
              <w:top w:val="nil"/>
              <w:bottom w:val="single" w:sz="8" w:space="0" w:color="auto"/>
            </w:tcBorders>
            <w:hideMark/>
          </w:tcPr>
          <w:p w14:paraId="159454EC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tcBorders>
              <w:top w:val="nil"/>
              <w:bottom w:val="single" w:sz="8" w:space="0" w:color="auto"/>
            </w:tcBorders>
            <w:noWrap/>
            <w:hideMark/>
          </w:tcPr>
          <w:p w14:paraId="768A92F6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#6 limit #5 to from 2005 to 2025</w:t>
            </w:r>
          </w:p>
        </w:tc>
        <w:tc>
          <w:tcPr>
            <w:tcW w:w="1850" w:type="dxa"/>
            <w:tcBorders>
              <w:top w:val="nil"/>
              <w:bottom w:val="single" w:sz="8" w:space="0" w:color="auto"/>
            </w:tcBorders>
            <w:noWrap/>
            <w:hideMark/>
          </w:tcPr>
          <w:p w14:paraId="3D34CE2B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147</w:t>
            </w:r>
          </w:p>
        </w:tc>
      </w:tr>
      <w:tr w:rsidR="00DC6AF3" w:rsidRPr="00DC6AF3" w14:paraId="7936F5E2" w14:textId="77777777" w:rsidTr="004D2760">
        <w:trPr>
          <w:trHeight w:val="390"/>
          <w:jc w:val="center"/>
        </w:trPr>
        <w:tc>
          <w:tcPr>
            <w:tcW w:w="1559" w:type="dxa"/>
            <w:vMerge w:val="restart"/>
            <w:tcBorders>
              <w:top w:val="single" w:sz="8" w:space="0" w:color="auto"/>
            </w:tcBorders>
            <w:noWrap/>
            <w:hideMark/>
          </w:tcPr>
          <w:p w14:paraId="0C04EF93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Web of Science (</w:t>
            </w:r>
            <w:proofErr w:type="spellStart"/>
            <w:r w:rsidRPr="00DC6AF3">
              <w:rPr>
                <w:rFonts w:hint="eastAsia"/>
              </w:rPr>
              <w:t>WoS</w:t>
            </w:r>
            <w:proofErr w:type="spellEnd"/>
            <w:r w:rsidRPr="00DC6AF3">
              <w:rPr>
                <w:rFonts w:hint="eastAsia"/>
              </w:rPr>
              <w:t>) Core Collection</w:t>
            </w:r>
          </w:p>
        </w:tc>
        <w:tc>
          <w:tcPr>
            <w:tcW w:w="9065" w:type="dxa"/>
            <w:tcBorders>
              <w:top w:val="single" w:sz="8" w:space="0" w:color="auto"/>
            </w:tcBorders>
            <w:noWrap/>
            <w:hideMark/>
          </w:tcPr>
          <w:p w14:paraId="34679CB7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#1 TS</w:t>
            </w:r>
            <w:proofErr w:type="gramStart"/>
            <w:r w:rsidRPr="00DC6AF3">
              <w:rPr>
                <w:rFonts w:hint="eastAsia"/>
              </w:rPr>
              <w:t>=(</w:t>
            </w:r>
            <w:proofErr w:type="gramEnd"/>
            <w:r w:rsidRPr="00DC6AF3">
              <w:rPr>
                <w:rFonts w:hint="eastAsia"/>
              </w:rPr>
              <w:t>diabetes mellitus OR diabetes OR diabetic* OR T1DM OR T2DM OR "type 1 diabetes" OR "type 2 diabetes" OR "gestational diabetes" OR prediabetes OR "pre-diabetes" OR "prediabetic state")</w:t>
            </w:r>
          </w:p>
        </w:tc>
        <w:tc>
          <w:tcPr>
            <w:tcW w:w="1850" w:type="dxa"/>
            <w:tcBorders>
              <w:top w:val="single" w:sz="8" w:space="0" w:color="auto"/>
            </w:tcBorders>
            <w:noWrap/>
            <w:hideMark/>
          </w:tcPr>
          <w:p w14:paraId="05F3E8CF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857,871</w:t>
            </w:r>
          </w:p>
        </w:tc>
      </w:tr>
      <w:tr w:rsidR="00DC6AF3" w:rsidRPr="00DC6AF3" w14:paraId="7DB525BA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4C83D124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77FB3D99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#2 TS</w:t>
            </w:r>
            <w:proofErr w:type="gramStart"/>
            <w:r w:rsidRPr="00DC6AF3">
              <w:rPr>
                <w:rFonts w:hint="eastAsia"/>
              </w:rPr>
              <w:t>=(</w:t>
            </w:r>
            <w:proofErr w:type="gramEnd"/>
            <w:r w:rsidRPr="00DC6AF3">
              <w:rPr>
                <w:rFonts w:hint="eastAsia"/>
              </w:rPr>
              <w:t xml:space="preserve">(breath OR "exhaled air" OR "exhaled </w:t>
            </w:r>
            <w:proofErr w:type="gramStart"/>
            <w:r w:rsidRPr="00DC6AF3">
              <w:rPr>
                <w:rFonts w:hint="eastAsia"/>
              </w:rPr>
              <w:t>gas*"</w:t>
            </w:r>
            <w:proofErr w:type="gramEnd"/>
            <w:r w:rsidRPr="00DC6AF3">
              <w:rPr>
                <w:rFonts w:hint="eastAsia"/>
              </w:rPr>
              <w:t xml:space="preserve"> OR "expired air" OR "expired gas*" OR exhalation OR "breath analysis" OR "breath analyses" OR "breath test*" OR "breath testing" OR </w:t>
            </w:r>
            <w:proofErr w:type="spellStart"/>
            <w:r w:rsidRPr="00DC6AF3">
              <w:rPr>
                <w:rFonts w:hint="eastAsia"/>
              </w:rPr>
              <w:t>breathomic</w:t>
            </w:r>
            <w:proofErr w:type="spellEnd"/>
            <w:r w:rsidRPr="00DC6AF3">
              <w:rPr>
                <w:rFonts w:hint="eastAsia"/>
              </w:rPr>
              <w:t>*))</w:t>
            </w:r>
          </w:p>
        </w:tc>
        <w:tc>
          <w:tcPr>
            <w:tcW w:w="1850" w:type="dxa"/>
            <w:noWrap/>
            <w:hideMark/>
          </w:tcPr>
          <w:p w14:paraId="7C770985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141,135</w:t>
            </w:r>
          </w:p>
        </w:tc>
      </w:tr>
      <w:tr w:rsidR="00DC6AF3" w:rsidRPr="00DC6AF3" w14:paraId="0215CF7B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29755EDC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16C4F55E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rPr>
                <w:rFonts w:hint="eastAsia"/>
              </w:rPr>
              <w:t>#3 TS</w:t>
            </w:r>
            <w:proofErr w:type="gramStart"/>
            <w:r w:rsidRPr="00DC6AF3">
              <w:rPr>
                <w:rFonts w:hint="eastAsia"/>
              </w:rPr>
              <w:t>=(</w:t>
            </w:r>
            <w:proofErr w:type="gramEnd"/>
            <w:r w:rsidRPr="00DC6AF3">
              <w:rPr>
                <w:rFonts w:hint="eastAsia"/>
              </w:rPr>
              <w:t>("volatile organic compound*" OR VOC OR VOCs OR "volatile metabolite*"))</w:t>
            </w:r>
          </w:p>
        </w:tc>
        <w:tc>
          <w:tcPr>
            <w:tcW w:w="1850" w:type="dxa"/>
            <w:noWrap/>
            <w:hideMark/>
          </w:tcPr>
          <w:p w14:paraId="1D05C9A7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115,910</w:t>
            </w:r>
          </w:p>
        </w:tc>
      </w:tr>
      <w:tr w:rsidR="00DC6AF3" w:rsidRPr="00DC6AF3" w14:paraId="2B871DA5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19C563EC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44971E17" w14:textId="77777777" w:rsidR="00DC6AF3" w:rsidRPr="00DC6AF3" w:rsidRDefault="00DC6AF3" w:rsidP="004D2760">
            <w:pPr>
              <w:pStyle w:val="TableTextStyle"/>
              <w:jc w:val="left"/>
            </w:pPr>
            <w:proofErr w:type="gramStart"/>
            <w:r w:rsidRPr="00DC6AF3">
              <w:rPr>
                <w:rFonts w:hint="eastAsia"/>
              </w:rPr>
              <w:t>#4 (#</w:t>
            </w:r>
            <w:proofErr w:type="gramEnd"/>
            <w:r w:rsidRPr="00DC6AF3">
              <w:rPr>
                <w:rFonts w:hint="eastAsia"/>
              </w:rPr>
              <w:t>1 AND #2 AND #3)</w:t>
            </w:r>
          </w:p>
        </w:tc>
        <w:tc>
          <w:tcPr>
            <w:tcW w:w="1850" w:type="dxa"/>
            <w:noWrap/>
            <w:hideMark/>
          </w:tcPr>
          <w:p w14:paraId="746A4287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287</w:t>
            </w:r>
          </w:p>
        </w:tc>
      </w:tr>
      <w:tr w:rsidR="00DC6AF3" w:rsidRPr="00DC6AF3" w14:paraId="179FDEA4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79890C4B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19A992C8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t>#5 Excluded various non-article document types</w:t>
            </w:r>
          </w:p>
        </w:tc>
        <w:tc>
          <w:tcPr>
            <w:tcW w:w="1850" w:type="dxa"/>
            <w:noWrap/>
            <w:hideMark/>
          </w:tcPr>
          <w:p w14:paraId="1970CE1D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244</w:t>
            </w:r>
          </w:p>
        </w:tc>
      </w:tr>
      <w:tr w:rsidR="00DC6AF3" w:rsidRPr="00DC6AF3" w14:paraId="1D652C8B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6B2D0494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39159B26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t>#6 limit #5 to from 2005 to 2025</w:t>
            </w:r>
          </w:p>
        </w:tc>
        <w:tc>
          <w:tcPr>
            <w:tcW w:w="1850" w:type="dxa"/>
            <w:noWrap/>
            <w:hideMark/>
          </w:tcPr>
          <w:p w14:paraId="0CEDE48A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242</w:t>
            </w:r>
          </w:p>
        </w:tc>
      </w:tr>
      <w:tr w:rsidR="00DC6AF3" w:rsidRPr="00DC6AF3" w14:paraId="58010B68" w14:textId="77777777" w:rsidTr="004D2760">
        <w:trPr>
          <w:trHeight w:val="390"/>
          <w:jc w:val="center"/>
        </w:trPr>
        <w:tc>
          <w:tcPr>
            <w:tcW w:w="1559" w:type="dxa"/>
            <w:vMerge/>
            <w:hideMark/>
          </w:tcPr>
          <w:p w14:paraId="4D6AA2FE" w14:textId="77777777" w:rsidR="00DC6AF3" w:rsidRPr="00DC6AF3" w:rsidRDefault="00DC6AF3" w:rsidP="004D2760">
            <w:pPr>
              <w:pStyle w:val="TableTextStyle"/>
            </w:pPr>
          </w:p>
        </w:tc>
        <w:tc>
          <w:tcPr>
            <w:tcW w:w="9065" w:type="dxa"/>
            <w:noWrap/>
            <w:hideMark/>
          </w:tcPr>
          <w:p w14:paraId="0EFBC397" w14:textId="77777777" w:rsidR="00DC6AF3" w:rsidRPr="00DC6AF3" w:rsidRDefault="00DC6AF3" w:rsidP="004D2760">
            <w:pPr>
              <w:pStyle w:val="TableTextStyle"/>
              <w:jc w:val="left"/>
            </w:pPr>
            <w:r w:rsidRPr="00DC6AF3">
              <w:t>#7 Limited language to English and Chinese</w:t>
            </w:r>
            <w:r w:rsidRPr="00DC6AF3">
              <w:tab/>
            </w:r>
          </w:p>
        </w:tc>
        <w:tc>
          <w:tcPr>
            <w:tcW w:w="1850" w:type="dxa"/>
            <w:noWrap/>
            <w:hideMark/>
          </w:tcPr>
          <w:p w14:paraId="6B8B3F1C" w14:textId="77777777" w:rsidR="00DC6AF3" w:rsidRPr="00DC6AF3" w:rsidRDefault="00DC6AF3" w:rsidP="004D2760">
            <w:pPr>
              <w:pStyle w:val="TableTextStyle"/>
            </w:pPr>
            <w:r w:rsidRPr="00DC6AF3">
              <w:rPr>
                <w:rFonts w:hint="eastAsia"/>
              </w:rPr>
              <w:t>234</w:t>
            </w:r>
          </w:p>
        </w:tc>
      </w:tr>
    </w:tbl>
    <w:p w14:paraId="4FB7C5AB" w14:textId="77777777" w:rsidR="00DC6AF3" w:rsidRDefault="00DC6AF3" w:rsidP="004A6CD6"/>
    <w:p w14:paraId="0B484ED2" w14:textId="77777777" w:rsidR="00DC6AF3" w:rsidRDefault="00DC6AF3" w:rsidP="004A6CD6"/>
    <w:p w14:paraId="07B87F3F" w14:textId="21BE89DD" w:rsidR="001716A1" w:rsidRDefault="001716A1" w:rsidP="001716A1">
      <w:pPr>
        <w:pStyle w:val="TableTitle"/>
      </w:pPr>
      <w:r w:rsidRPr="002436CD">
        <w:rPr>
          <w:bCs/>
        </w:rPr>
        <w:t xml:space="preserve">Table </w:t>
      </w:r>
      <w:r>
        <w:rPr>
          <w:rFonts w:hint="eastAsia"/>
          <w:bCs/>
        </w:rPr>
        <w:t>S3.</w:t>
      </w:r>
      <w:r w:rsidRPr="00580D7F">
        <w:t xml:space="preserve"> </w:t>
      </w:r>
      <w:r w:rsidRPr="008B4F6A">
        <w:t>Literature Screening Process and Results</w:t>
      </w:r>
    </w:p>
    <w:tbl>
      <w:tblPr>
        <w:tblStyle w:val="TableText"/>
        <w:tblW w:w="0" w:type="auto"/>
        <w:jc w:val="center"/>
        <w:tblLook w:val="04A0" w:firstRow="1" w:lastRow="0" w:firstColumn="1" w:lastColumn="0" w:noHBand="0" w:noVBand="1"/>
      </w:tblPr>
      <w:tblGrid>
        <w:gridCol w:w="2215"/>
        <w:gridCol w:w="3326"/>
        <w:gridCol w:w="1726"/>
        <w:gridCol w:w="858"/>
        <w:gridCol w:w="858"/>
        <w:gridCol w:w="925"/>
        <w:gridCol w:w="1304"/>
      </w:tblGrid>
      <w:tr w:rsidR="001716A1" w:rsidRPr="00A25FE0" w14:paraId="50543C05" w14:textId="77777777" w:rsidTr="001716A1">
        <w:trPr>
          <w:trHeight w:val="390"/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BF6439E" w14:textId="77777777" w:rsidR="001716A1" w:rsidRPr="00A25FE0" w:rsidRDefault="001716A1" w:rsidP="001716A1">
            <w:pPr>
              <w:pStyle w:val="TableTextStyle"/>
            </w:pPr>
            <w:r w:rsidRPr="007126A2">
              <w:t>Database Name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18CD2EC" w14:textId="77777777" w:rsidR="001716A1" w:rsidRDefault="001716A1" w:rsidP="001716A1">
            <w:pPr>
              <w:pStyle w:val="TableTextStyle"/>
            </w:pPr>
            <w:r w:rsidRPr="007126A2">
              <w:t xml:space="preserve">No. of Articles After Deduplication </w:t>
            </w:r>
          </w:p>
          <w:p w14:paraId="52848F5C" w14:textId="77777777" w:rsidR="001716A1" w:rsidRPr="00A25FE0" w:rsidRDefault="001716A1" w:rsidP="001716A1">
            <w:pPr>
              <w:pStyle w:val="TableTextStyle"/>
            </w:pPr>
            <w:r w:rsidRPr="007126A2">
              <w:t>/ No. Retrieved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27C9E47" w14:textId="77777777" w:rsidR="001716A1" w:rsidRPr="00A25FE0" w:rsidRDefault="001716A1" w:rsidP="001716A1">
            <w:pPr>
              <w:pStyle w:val="TableTextStyle"/>
            </w:pPr>
            <w:r w:rsidRPr="008B4F6A">
              <w:t>Not Downloaded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1D0EC2D" w14:textId="77777777" w:rsidR="001716A1" w:rsidRPr="00A25FE0" w:rsidRDefault="001716A1" w:rsidP="001716A1">
            <w:pPr>
              <w:pStyle w:val="TableTextStyle"/>
            </w:pPr>
            <w:r w:rsidRPr="008B4F6A">
              <w:t>Filter 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70140C9" w14:textId="77777777" w:rsidR="001716A1" w:rsidRPr="00A25FE0" w:rsidRDefault="001716A1" w:rsidP="001716A1">
            <w:pPr>
              <w:pStyle w:val="TableTextStyle"/>
            </w:pPr>
            <w:r w:rsidRPr="008B4F6A">
              <w:t>Filter 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61F089B" w14:textId="77777777" w:rsidR="001716A1" w:rsidRPr="00A25FE0" w:rsidRDefault="001716A1" w:rsidP="001716A1">
            <w:pPr>
              <w:pStyle w:val="TableTextStyle"/>
            </w:pPr>
            <w:r w:rsidRPr="007126A2">
              <w:t>Citation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F99F4E0" w14:textId="77777777" w:rsidR="001716A1" w:rsidRPr="00A25FE0" w:rsidRDefault="001716A1" w:rsidP="001716A1">
            <w:pPr>
              <w:pStyle w:val="TableTextStyle"/>
            </w:pPr>
            <w:r w:rsidRPr="007126A2">
              <w:t>Quantitative</w:t>
            </w:r>
          </w:p>
        </w:tc>
      </w:tr>
      <w:tr w:rsidR="001716A1" w:rsidRPr="00A25FE0" w14:paraId="0D8F0D69" w14:textId="77777777" w:rsidTr="001716A1">
        <w:trPr>
          <w:trHeight w:val="450"/>
          <w:jc w:val="center"/>
        </w:trPr>
        <w:tc>
          <w:tcPr>
            <w:tcW w:w="0" w:type="auto"/>
            <w:tcBorders>
              <w:top w:val="single" w:sz="8" w:space="0" w:color="auto"/>
            </w:tcBorders>
            <w:noWrap/>
            <w:hideMark/>
          </w:tcPr>
          <w:p w14:paraId="4A8F7564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PubMed/MEDLINE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hideMark/>
          </w:tcPr>
          <w:p w14:paraId="7C97548B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75/81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hideMark/>
          </w:tcPr>
          <w:p w14:paraId="549342D2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hideMark/>
          </w:tcPr>
          <w:p w14:paraId="3077428A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hideMark/>
          </w:tcPr>
          <w:p w14:paraId="6A407036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hideMark/>
          </w:tcPr>
          <w:p w14:paraId="451DBDC7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</w:tcBorders>
            <w:noWrap/>
            <w:hideMark/>
          </w:tcPr>
          <w:p w14:paraId="2106664B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22</w:t>
            </w:r>
          </w:p>
        </w:tc>
      </w:tr>
      <w:tr w:rsidR="001716A1" w:rsidRPr="00A25FE0" w14:paraId="3BA80F17" w14:textId="77777777" w:rsidTr="001716A1">
        <w:trPr>
          <w:trHeight w:val="450"/>
          <w:jc w:val="center"/>
        </w:trPr>
        <w:tc>
          <w:tcPr>
            <w:tcW w:w="0" w:type="auto"/>
            <w:noWrap/>
            <w:hideMark/>
          </w:tcPr>
          <w:p w14:paraId="44023788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Embase</w:t>
            </w:r>
          </w:p>
        </w:tc>
        <w:tc>
          <w:tcPr>
            <w:tcW w:w="0" w:type="auto"/>
            <w:noWrap/>
            <w:hideMark/>
          </w:tcPr>
          <w:p w14:paraId="241933B3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28/147</w:t>
            </w:r>
          </w:p>
        </w:tc>
        <w:tc>
          <w:tcPr>
            <w:tcW w:w="0" w:type="auto"/>
            <w:noWrap/>
            <w:hideMark/>
          </w:tcPr>
          <w:p w14:paraId="75E124F4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953970E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6D6DC02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BC33675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B0CF88C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3</w:t>
            </w:r>
          </w:p>
        </w:tc>
      </w:tr>
      <w:tr w:rsidR="001716A1" w:rsidRPr="00A25FE0" w14:paraId="68352F9E" w14:textId="77777777" w:rsidTr="001716A1">
        <w:trPr>
          <w:trHeight w:val="450"/>
          <w:jc w:val="center"/>
        </w:trPr>
        <w:tc>
          <w:tcPr>
            <w:tcW w:w="0" w:type="auto"/>
            <w:noWrap/>
            <w:hideMark/>
          </w:tcPr>
          <w:p w14:paraId="3957C57D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Web of Science (</w:t>
            </w:r>
            <w:proofErr w:type="spellStart"/>
            <w:r w:rsidRPr="00A25FE0">
              <w:rPr>
                <w:rFonts w:hint="eastAsia"/>
              </w:rPr>
              <w:t>WoS</w:t>
            </w:r>
            <w:proofErr w:type="spellEnd"/>
            <w:r w:rsidRPr="00A25FE0">
              <w:rPr>
                <w:rFonts w:hint="eastAsia"/>
              </w:rPr>
              <w:t xml:space="preserve">) </w:t>
            </w:r>
            <w:r w:rsidRPr="00A25FE0">
              <w:rPr>
                <w:rFonts w:hint="eastAsia"/>
              </w:rPr>
              <w:br/>
              <w:t>Core Collection</w:t>
            </w:r>
          </w:p>
        </w:tc>
        <w:tc>
          <w:tcPr>
            <w:tcW w:w="0" w:type="auto"/>
            <w:noWrap/>
            <w:hideMark/>
          </w:tcPr>
          <w:p w14:paraId="774027F8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70/234</w:t>
            </w:r>
          </w:p>
        </w:tc>
        <w:tc>
          <w:tcPr>
            <w:tcW w:w="0" w:type="auto"/>
            <w:noWrap/>
            <w:hideMark/>
          </w:tcPr>
          <w:p w14:paraId="734A53F2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58358B0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1AEE0F76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9D3EC32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2191B33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6</w:t>
            </w:r>
          </w:p>
        </w:tc>
      </w:tr>
      <w:tr w:rsidR="001716A1" w:rsidRPr="00A25FE0" w14:paraId="70755ECD" w14:textId="77777777" w:rsidTr="001716A1">
        <w:trPr>
          <w:trHeight w:val="450"/>
          <w:jc w:val="center"/>
        </w:trPr>
        <w:tc>
          <w:tcPr>
            <w:tcW w:w="0" w:type="auto"/>
            <w:noWrap/>
            <w:hideMark/>
          </w:tcPr>
          <w:p w14:paraId="5B70B429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Scopus</w:t>
            </w:r>
          </w:p>
        </w:tc>
        <w:tc>
          <w:tcPr>
            <w:tcW w:w="0" w:type="auto"/>
            <w:noWrap/>
            <w:hideMark/>
          </w:tcPr>
          <w:p w14:paraId="0DBC7B17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157/250</w:t>
            </w:r>
          </w:p>
        </w:tc>
        <w:tc>
          <w:tcPr>
            <w:tcW w:w="0" w:type="auto"/>
            <w:noWrap/>
            <w:hideMark/>
          </w:tcPr>
          <w:p w14:paraId="12CACDF1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094B4CF4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28D3DB2C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628BF91B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2EE05DA5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8</w:t>
            </w:r>
          </w:p>
        </w:tc>
      </w:tr>
      <w:tr w:rsidR="001716A1" w:rsidRPr="00A25FE0" w14:paraId="37D82B1B" w14:textId="77777777" w:rsidTr="001716A1">
        <w:trPr>
          <w:trHeight w:val="450"/>
          <w:jc w:val="center"/>
        </w:trPr>
        <w:tc>
          <w:tcPr>
            <w:tcW w:w="0" w:type="auto"/>
            <w:noWrap/>
            <w:hideMark/>
          </w:tcPr>
          <w:p w14:paraId="61C2D2D6" w14:textId="77777777" w:rsidR="001716A1" w:rsidRPr="00A25FE0" w:rsidRDefault="001716A1" w:rsidP="001716A1">
            <w:pPr>
              <w:pStyle w:val="TableTextStyle"/>
            </w:pPr>
            <w:r w:rsidRPr="007126A2">
              <w:t>Total</w:t>
            </w:r>
          </w:p>
        </w:tc>
        <w:tc>
          <w:tcPr>
            <w:tcW w:w="0" w:type="auto"/>
            <w:noWrap/>
            <w:hideMark/>
          </w:tcPr>
          <w:p w14:paraId="0A1F3908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330/712</w:t>
            </w:r>
          </w:p>
        </w:tc>
        <w:tc>
          <w:tcPr>
            <w:tcW w:w="0" w:type="auto"/>
            <w:noWrap/>
            <w:hideMark/>
          </w:tcPr>
          <w:p w14:paraId="6ADBA0D9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06B6A6D6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282B18EA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18679331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58866B88" w14:textId="77777777" w:rsidR="001716A1" w:rsidRPr="00A25FE0" w:rsidRDefault="001716A1" w:rsidP="001716A1">
            <w:pPr>
              <w:pStyle w:val="TableTextStyle"/>
            </w:pPr>
            <w:r w:rsidRPr="00A25FE0">
              <w:rPr>
                <w:rFonts w:hint="eastAsia"/>
              </w:rPr>
              <w:t>39</w:t>
            </w:r>
          </w:p>
        </w:tc>
      </w:tr>
    </w:tbl>
    <w:p w14:paraId="535A234E" w14:textId="77777777" w:rsidR="001716A1" w:rsidRDefault="001716A1" w:rsidP="001716A1">
      <w:pPr>
        <w:pStyle w:val="FigureLegend"/>
      </w:pPr>
      <w:r w:rsidRPr="00A611AF">
        <w:rPr>
          <w:rFonts w:hint="eastAsia"/>
        </w:rPr>
        <w:lastRenderedPageBreak/>
        <w:t xml:space="preserve">"Filter 1" refers to the first stage of literature screening conducted using a large language model. "Filter 2" refers to the second stage of literature screening, also conducted using a large language model. "Citation" indicates that the data within the article was not original and only included data cited from </w:t>
      </w:r>
      <w:proofErr w:type="gramStart"/>
      <w:r w:rsidRPr="00A611AF">
        <w:rPr>
          <w:rFonts w:hint="eastAsia"/>
        </w:rPr>
        <w:t>other</w:t>
      </w:r>
      <w:proofErr w:type="gramEnd"/>
      <w:r w:rsidRPr="00A611AF">
        <w:rPr>
          <w:rFonts w:hint="eastAsia"/>
        </w:rPr>
        <w:t xml:space="preserve"> research.</w:t>
      </w:r>
    </w:p>
    <w:p w14:paraId="1807C2D3" w14:textId="77777777" w:rsidR="00DC6AF3" w:rsidRPr="001716A1" w:rsidRDefault="00DC6AF3" w:rsidP="004A6CD6"/>
    <w:p w14:paraId="433CB223" w14:textId="01C73109" w:rsidR="00DC6AF3" w:rsidRDefault="00DF13B5" w:rsidP="00DF13B5">
      <w:pPr>
        <w:pStyle w:val="TableTitle"/>
      </w:pPr>
      <w:r w:rsidRPr="00DF13B5">
        <w:t>Table S4. The QUADAS-2 Signaling Questions Referenced to Hanna et al.'s Version</w:t>
      </w:r>
    </w:p>
    <w:tbl>
      <w:tblPr>
        <w:tblStyle w:val="TableText"/>
        <w:tblW w:w="0" w:type="auto"/>
        <w:tblBorders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9"/>
        <w:gridCol w:w="12238"/>
      </w:tblGrid>
      <w:tr w:rsidR="00DF13B5" w:rsidRPr="00DF13B5" w14:paraId="06FD46BB" w14:textId="77777777" w:rsidTr="00DF13B5">
        <w:trPr>
          <w:trHeight w:val="405"/>
        </w:trPr>
        <w:tc>
          <w:tcPr>
            <w:tcW w:w="1699" w:type="dxa"/>
            <w:noWrap/>
            <w:hideMark/>
          </w:tcPr>
          <w:p w14:paraId="24C6ACED" w14:textId="77777777" w:rsidR="00DF13B5" w:rsidRPr="00DF13B5" w:rsidRDefault="00DF13B5" w:rsidP="00DF13B5">
            <w:pPr>
              <w:pStyle w:val="TableTextStyle"/>
            </w:pPr>
            <w:r w:rsidRPr="00DF13B5">
              <w:t>Domain</w:t>
            </w:r>
          </w:p>
        </w:tc>
        <w:tc>
          <w:tcPr>
            <w:tcW w:w="12238" w:type="dxa"/>
            <w:noWrap/>
            <w:hideMark/>
          </w:tcPr>
          <w:p w14:paraId="74E4C242" w14:textId="77777777" w:rsidR="00DF13B5" w:rsidRPr="00DF13B5" w:rsidRDefault="00DF13B5" w:rsidP="00DF13B5">
            <w:pPr>
              <w:pStyle w:val="TableTextStyle"/>
            </w:pPr>
            <w:r w:rsidRPr="00DF13B5">
              <w:t>Signaling Question(s)</w:t>
            </w:r>
          </w:p>
        </w:tc>
      </w:tr>
      <w:tr w:rsidR="00DF13B5" w:rsidRPr="00DF13B5" w14:paraId="06DCC6D1" w14:textId="77777777" w:rsidTr="00F83841">
        <w:trPr>
          <w:trHeight w:val="405"/>
        </w:trPr>
        <w:tc>
          <w:tcPr>
            <w:tcW w:w="13937" w:type="dxa"/>
            <w:gridSpan w:val="2"/>
            <w:noWrap/>
            <w:hideMark/>
          </w:tcPr>
          <w:p w14:paraId="378BBCF5" w14:textId="57734320" w:rsidR="00DF13B5" w:rsidRPr="00DF13B5" w:rsidRDefault="00DF13B5" w:rsidP="00DF13B5">
            <w:pPr>
              <w:pStyle w:val="TableTextStyle"/>
              <w:jc w:val="left"/>
            </w:pPr>
            <w:r w:rsidRPr="00DF13B5">
              <w:t>Risk of Bias</w:t>
            </w:r>
          </w:p>
        </w:tc>
      </w:tr>
      <w:tr w:rsidR="00DF13B5" w:rsidRPr="00DF13B5" w14:paraId="616A3034" w14:textId="77777777" w:rsidTr="00DF13B5">
        <w:trPr>
          <w:trHeight w:val="945"/>
        </w:trPr>
        <w:tc>
          <w:tcPr>
            <w:tcW w:w="1699" w:type="dxa"/>
            <w:noWrap/>
            <w:hideMark/>
          </w:tcPr>
          <w:p w14:paraId="5EC40229" w14:textId="77777777" w:rsidR="00DF13B5" w:rsidRPr="00DF13B5" w:rsidRDefault="00DF13B5" w:rsidP="00DF13B5">
            <w:pPr>
              <w:pStyle w:val="TableTextStyle"/>
            </w:pPr>
            <w:r w:rsidRPr="00DF13B5">
              <w:t>Patient Selection</w:t>
            </w:r>
          </w:p>
        </w:tc>
        <w:tc>
          <w:tcPr>
            <w:tcW w:w="12238" w:type="dxa"/>
            <w:noWrap/>
            <w:hideMark/>
          </w:tcPr>
          <w:p w14:paraId="44D4F4FF" w14:textId="77777777" w:rsidR="00DF13B5" w:rsidRDefault="00DF13B5" w:rsidP="00DF13B5">
            <w:pPr>
              <w:pStyle w:val="TableTextStyle"/>
              <w:jc w:val="left"/>
            </w:pPr>
            <w:r w:rsidRPr="00DF13B5">
              <w:t xml:space="preserve">• Were sampled </w:t>
            </w:r>
            <w:proofErr w:type="gramStart"/>
            <w:r w:rsidRPr="00DF13B5">
              <w:t>patients</w:t>
            </w:r>
            <w:proofErr w:type="gramEnd"/>
            <w:r w:rsidRPr="00DF13B5">
              <w:t xml:space="preserve"> representative of the intended population? </w:t>
            </w:r>
          </w:p>
          <w:p w14:paraId="3E7C6DBF" w14:textId="4EFCDAF6" w:rsidR="00DF13B5" w:rsidRDefault="00DF13B5" w:rsidP="00DF13B5">
            <w:pPr>
              <w:pStyle w:val="TableTextStyle"/>
              <w:jc w:val="left"/>
            </w:pPr>
            <w:r w:rsidRPr="00DF13B5">
              <w:t xml:space="preserve">• Did the study include both positive (benign conditions) as well as healthy controls? </w:t>
            </w:r>
          </w:p>
          <w:p w14:paraId="2093CE9D" w14:textId="5568E349" w:rsidR="00DF13B5" w:rsidRPr="00DF13B5" w:rsidRDefault="00DF13B5" w:rsidP="00DF13B5">
            <w:pPr>
              <w:pStyle w:val="TableTextStyle"/>
              <w:jc w:val="left"/>
            </w:pPr>
            <w:r w:rsidRPr="00DF13B5">
              <w:t>• Did the study avoid inappropriate exclusions?</w:t>
            </w:r>
          </w:p>
        </w:tc>
      </w:tr>
      <w:tr w:rsidR="00DF13B5" w:rsidRPr="00DF13B5" w14:paraId="4D376BEE" w14:textId="77777777" w:rsidTr="00DF13B5">
        <w:trPr>
          <w:trHeight w:val="945"/>
        </w:trPr>
        <w:tc>
          <w:tcPr>
            <w:tcW w:w="1699" w:type="dxa"/>
            <w:noWrap/>
            <w:hideMark/>
          </w:tcPr>
          <w:p w14:paraId="41C82C8F" w14:textId="77777777" w:rsidR="00DF13B5" w:rsidRPr="00DF13B5" w:rsidRDefault="00DF13B5" w:rsidP="00DF13B5">
            <w:pPr>
              <w:pStyle w:val="TableTextStyle"/>
            </w:pPr>
            <w:r w:rsidRPr="00DF13B5">
              <w:t>Index Test</w:t>
            </w:r>
          </w:p>
        </w:tc>
        <w:tc>
          <w:tcPr>
            <w:tcW w:w="12238" w:type="dxa"/>
            <w:noWrap/>
            <w:hideMark/>
          </w:tcPr>
          <w:p w14:paraId="4DBD49DB" w14:textId="77777777" w:rsidR="00DF13B5" w:rsidRDefault="00DF13B5" w:rsidP="00DF13B5">
            <w:pPr>
              <w:pStyle w:val="TableTextStyle"/>
              <w:jc w:val="left"/>
            </w:pPr>
            <w:r w:rsidRPr="00DF13B5">
              <w:t xml:space="preserve">• Was the index test and interpretation of data performed in a standardized and reproducible fashion? </w:t>
            </w:r>
          </w:p>
          <w:p w14:paraId="3762327B" w14:textId="33E45225" w:rsidR="00DF13B5" w:rsidRPr="00DF13B5" w:rsidRDefault="00DF13B5" w:rsidP="00DF13B5">
            <w:pPr>
              <w:pStyle w:val="TableTextStyle"/>
              <w:jc w:val="left"/>
            </w:pPr>
            <w:r w:rsidRPr="00DF13B5">
              <w:t>• Was validation of results performed (internal or external)?</w:t>
            </w:r>
          </w:p>
        </w:tc>
      </w:tr>
      <w:tr w:rsidR="00DF13B5" w:rsidRPr="00DF13B5" w14:paraId="33F19660" w14:textId="77777777" w:rsidTr="00DF13B5">
        <w:trPr>
          <w:trHeight w:val="945"/>
        </w:trPr>
        <w:tc>
          <w:tcPr>
            <w:tcW w:w="1699" w:type="dxa"/>
            <w:noWrap/>
            <w:hideMark/>
          </w:tcPr>
          <w:p w14:paraId="62345BBB" w14:textId="77777777" w:rsidR="00DF13B5" w:rsidRPr="00DF13B5" w:rsidRDefault="00DF13B5" w:rsidP="00DF13B5">
            <w:pPr>
              <w:pStyle w:val="TableTextStyle"/>
            </w:pPr>
            <w:r w:rsidRPr="00DF13B5">
              <w:t>Reference Standard</w:t>
            </w:r>
          </w:p>
        </w:tc>
        <w:tc>
          <w:tcPr>
            <w:tcW w:w="12238" w:type="dxa"/>
            <w:noWrap/>
            <w:hideMark/>
          </w:tcPr>
          <w:p w14:paraId="0DAFFFB6" w14:textId="77777777" w:rsidR="00DF13B5" w:rsidRPr="00DF13B5" w:rsidRDefault="00DF13B5" w:rsidP="00DF13B5">
            <w:pPr>
              <w:pStyle w:val="TableTextStyle"/>
              <w:jc w:val="left"/>
            </w:pPr>
            <w:r w:rsidRPr="00DF13B5">
              <w:t>• Is the reference standard likely to correctly classify the target condition?</w:t>
            </w:r>
          </w:p>
        </w:tc>
      </w:tr>
      <w:tr w:rsidR="00DF13B5" w:rsidRPr="00DF13B5" w14:paraId="3BC609BD" w14:textId="77777777" w:rsidTr="00DF13B5">
        <w:trPr>
          <w:trHeight w:val="1215"/>
        </w:trPr>
        <w:tc>
          <w:tcPr>
            <w:tcW w:w="1699" w:type="dxa"/>
            <w:noWrap/>
            <w:hideMark/>
          </w:tcPr>
          <w:p w14:paraId="5622AFA0" w14:textId="77777777" w:rsidR="00DF13B5" w:rsidRPr="00DF13B5" w:rsidRDefault="00DF13B5" w:rsidP="00DF13B5">
            <w:pPr>
              <w:pStyle w:val="TableTextStyle"/>
            </w:pPr>
            <w:r w:rsidRPr="00DF13B5">
              <w:lastRenderedPageBreak/>
              <w:t>Flow and Timing</w:t>
            </w:r>
          </w:p>
        </w:tc>
        <w:tc>
          <w:tcPr>
            <w:tcW w:w="12238" w:type="dxa"/>
            <w:noWrap/>
            <w:hideMark/>
          </w:tcPr>
          <w:p w14:paraId="0757F9BF" w14:textId="77777777" w:rsidR="00DF13B5" w:rsidRDefault="00DF13B5" w:rsidP="00DF13B5">
            <w:pPr>
              <w:pStyle w:val="TableTextStyle"/>
              <w:jc w:val="left"/>
            </w:pPr>
            <w:r w:rsidRPr="00DF13B5">
              <w:t>• Was there an appropriate interval between the index test and the reference standard?</w:t>
            </w:r>
          </w:p>
          <w:p w14:paraId="69ED8BFE" w14:textId="77777777" w:rsidR="00DF13B5" w:rsidRDefault="00DF13B5" w:rsidP="00DF13B5">
            <w:pPr>
              <w:pStyle w:val="TableTextStyle"/>
              <w:jc w:val="left"/>
            </w:pPr>
            <w:r w:rsidRPr="00DF13B5">
              <w:t xml:space="preserve">• Was diet control performed prior to the index test and reference standard? </w:t>
            </w:r>
          </w:p>
          <w:p w14:paraId="0BB8634C" w14:textId="6514CC46" w:rsidR="00DF13B5" w:rsidRPr="00DF13B5" w:rsidRDefault="00DF13B5" w:rsidP="00DF13B5">
            <w:pPr>
              <w:pStyle w:val="TableTextStyle"/>
              <w:jc w:val="left"/>
            </w:pPr>
            <w:r w:rsidRPr="00DF13B5">
              <w:t>• Did all patients receive the same reference standard? &lt;</w:t>
            </w:r>
            <w:proofErr w:type="spellStart"/>
            <w:r w:rsidRPr="00DF13B5">
              <w:t>br</w:t>
            </w:r>
            <w:proofErr w:type="spellEnd"/>
            <w:r w:rsidRPr="00DF13B5">
              <w:t>&gt; • Were all patients included in the analysis?</w:t>
            </w:r>
          </w:p>
        </w:tc>
      </w:tr>
      <w:tr w:rsidR="00DF13B5" w:rsidRPr="00DF13B5" w14:paraId="20E48646" w14:textId="77777777" w:rsidTr="00011062">
        <w:trPr>
          <w:trHeight w:val="675"/>
        </w:trPr>
        <w:tc>
          <w:tcPr>
            <w:tcW w:w="13937" w:type="dxa"/>
            <w:gridSpan w:val="2"/>
            <w:noWrap/>
            <w:hideMark/>
          </w:tcPr>
          <w:p w14:paraId="7131DC7C" w14:textId="3028788C" w:rsidR="00DF13B5" w:rsidRPr="00DF13B5" w:rsidRDefault="00DF13B5" w:rsidP="00DF13B5">
            <w:pPr>
              <w:pStyle w:val="TableTextStyle"/>
              <w:jc w:val="left"/>
            </w:pPr>
            <w:r w:rsidRPr="00DF13B5">
              <w:t>Applicability Concerns</w:t>
            </w:r>
          </w:p>
        </w:tc>
      </w:tr>
      <w:tr w:rsidR="00DF13B5" w:rsidRPr="00DF13B5" w14:paraId="40E3935E" w14:textId="77777777" w:rsidTr="00DF13B5">
        <w:trPr>
          <w:trHeight w:val="675"/>
        </w:trPr>
        <w:tc>
          <w:tcPr>
            <w:tcW w:w="1699" w:type="dxa"/>
            <w:noWrap/>
            <w:hideMark/>
          </w:tcPr>
          <w:p w14:paraId="79FFDD67" w14:textId="77777777" w:rsidR="00DF13B5" w:rsidRPr="00DF13B5" w:rsidRDefault="00DF13B5" w:rsidP="00DF13B5">
            <w:pPr>
              <w:pStyle w:val="TableTextStyle"/>
            </w:pPr>
            <w:r w:rsidRPr="00DF13B5">
              <w:t>Patient Selection</w:t>
            </w:r>
          </w:p>
        </w:tc>
        <w:tc>
          <w:tcPr>
            <w:tcW w:w="12238" w:type="dxa"/>
            <w:noWrap/>
            <w:hideMark/>
          </w:tcPr>
          <w:p w14:paraId="67DDBE8A" w14:textId="77777777" w:rsidR="00DF13B5" w:rsidRPr="00DF13B5" w:rsidRDefault="00DF13B5" w:rsidP="00DF13B5">
            <w:pPr>
              <w:pStyle w:val="TableTextStyle"/>
              <w:jc w:val="left"/>
            </w:pPr>
            <w:r w:rsidRPr="00DF13B5">
              <w:t>• Are there concerns that the included patients and setting do not match the review question?</w:t>
            </w:r>
          </w:p>
        </w:tc>
      </w:tr>
      <w:tr w:rsidR="00DF13B5" w:rsidRPr="00DF13B5" w14:paraId="7F3B1822" w14:textId="77777777" w:rsidTr="00DF13B5">
        <w:trPr>
          <w:trHeight w:val="675"/>
        </w:trPr>
        <w:tc>
          <w:tcPr>
            <w:tcW w:w="1699" w:type="dxa"/>
            <w:noWrap/>
            <w:hideMark/>
          </w:tcPr>
          <w:p w14:paraId="759951D1" w14:textId="77777777" w:rsidR="00DF13B5" w:rsidRPr="00DF13B5" w:rsidRDefault="00DF13B5" w:rsidP="00DF13B5">
            <w:pPr>
              <w:pStyle w:val="TableTextStyle"/>
            </w:pPr>
            <w:r w:rsidRPr="00DF13B5">
              <w:t>Index Test</w:t>
            </w:r>
          </w:p>
        </w:tc>
        <w:tc>
          <w:tcPr>
            <w:tcW w:w="12238" w:type="dxa"/>
            <w:noWrap/>
            <w:hideMark/>
          </w:tcPr>
          <w:p w14:paraId="15E4A282" w14:textId="77777777" w:rsidR="00DF13B5" w:rsidRPr="00DF13B5" w:rsidRDefault="00DF13B5" w:rsidP="00DF13B5">
            <w:pPr>
              <w:pStyle w:val="TableTextStyle"/>
              <w:jc w:val="left"/>
            </w:pPr>
            <w:r w:rsidRPr="00DF13B5">
              <w:t>• Are there concerns that the authors have not demonstrated suitable reproducibility and sensitivity of the chosen index test?</w:t>
            </w:r>
          </w:p>
        </w:tc>
      </w:tr>
      <w:tr w:rsidR="00DF13B5" w:rsidRPr="00DF13B5" w14:paraId="34E590E3" w14:textId="77777777" w:rsidTr="00DF13B5">
        <w:trPr>
          <w:trHeight w:val="675"/>
        </w:trPr>
        <w:tc>
          <w:tcPr>
            <w:tcW w:w="1699" w:type="dxa"/>
            <w:noWrap/>
            <w:hideMark/>
          </w:tcPr>
          <w:p w14:paraId="1919D86D" w14:textId="77777777" w:rsidR="00DF13B5" w:rsidRPr="00DF13B5" w:rsidRDefault="00DF13B5" w:rsidP="00DF13B5">
            <w:pPr>
              <w:pStyle w:val="TableTextStyle"/>
            </w:pPr>
            <w:r w:rsidRPr="00DF13B5">
              <w:t>Reference Standard</w:t>
            </w:r>
          </w:p>
        </w:tc>
        <w:tc>
          <w:tcPr>
            <w:tcW w:w="12238" w:type="dxa"/>
            <w:noWrap/>
            <w:hideMark/>
          </w:tcPr>
          <w:p w14:paraId="0F907BAF" w14:textId="77777777" w:rsidR="00DF13B5" w:rsidRPr="00DF13B5" w:rsidRDefault="00DF13B5" w:rsidP="00DF13B5">
            <w:pPr>
              <w:pStyle w:val="TableTextStyle"/>
              <w:jc w:val="left"/>
            </w:pPr>
            <w:r w:rsidRPr="00DF13B5">
              <w:t>• Are there concerns that the target condition as defined by the reference standard does not match the question?</w:t>
            </w:r>
          </w:p>
        </w:tc>
      </w:tr>
    </w:tbl>
    <w:p w14:paraId="1C598F72" w14:textId="77777777" w:rsidR="00DC6AF3" w:rsidRPr="00DF13B5" w:rsidRDefault="00DC6AF3" w:rsidP="004A6CD6"/>
    <w:p w14:paraId="496A5BDA" w14:textId="77777777" w:rsidR="00DC6AF3" w:rsidRDefault="00DC6AF3" w:rsidP="004A6CD6"/>
    <w:p w14:paraId="52B4C739" w14:textId="77777777" w:rsidR="00DC6AF3" w:rsidRDefault="00DC6AF3" w:rsidP="004A6CD6">
      <w:pPr>
        <w:rPr>
          <w:rFonts w:hint="eastAsia"/>
        </w:rPr>
      </w:pPr>
    </w:p>
    <w:p w14:paraId="796061E8" w14:textId="0515CFEE" w:rsidR="003D1457" w:rsidRDefault="003D1457" w:rsidP="003D1457">
      <w:pPr>
        <w:pStyle w:val="TableTitle"/>
      </w:pPr>
      <w:r w:rsidRPr="00781FF8">
        <w:t xml:space="preserve">Table </w:t>
      </w:r>
      <w:r w:rsidR="00E573DF">
        <w:rPr>
          <w:rFonts w:hint="eastAsia"/>
        </w:rPr>
        <w:t>S5</w:t>
      </w:r>
      <w:r w:rsidRPr="00781FF8">
        <w:t>. Detailed Assessment Results for the Included Literature Using the NIM-DBA Framework</w:t>
      </w:r>
    </w:p>
    <w:tbl>
      <w:tblPr>
        <w:tblStyle w:val="TableText"/>
        <w:tblW w:w="1630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694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</w:tblGrid>
      <w:tr w:rsidR="003D1457" w:rsidRPr="006910D6" w14:paraId="154A1D78" w14:textId="77777777" w:rsidTr="003D1457">
        <w:trPr>
          <w:trHeight w:val="315"/>
        </w:trPr>
        <w:tc>
          <w:tcPr>
            <w:tcW w:w="2694" w:type="dxa"/>
            <w:vMerge w:val="restart"/>
            <w:tcBorders>
              <w:top w:val="single" w:sz="8" w:space="0" w:color="auto"/>
            </w:tcBorders>
          </w:tcPr>
          <w:p w14:paraId="3241B312" w14:textId="1F0E7C40" w:rsidR="003D1457" w:rsidRPr="006910D6" w:rsidRDefault="003D1457" w:rsidP="003869E1">
            <w:pPr>
              <w:pStyle w:val="TableTextStyle"/>
            </w:pPr>
            <w:r w:rsidRPr="006910D6">
              <w:t>Study</w:t>
            </w:r>
          </w:p>
        </w:tc>
        <w:tc>
          <w:tcPr>
            <w:tcW w:w="13608" w:type="dxa"/>
            <w:gridSpan w:val="9"/>
            <w:tcBorders>
              <w:top w:val="single" w:sz="8" w:space="0" w:color="auto"/>
              <w:bottom w:val="nil"/>
            </w:tcBorders>
          </w:tcPr>
          <w:p w14:paraId="7A07B8D1" w14:textId="73B08AC6" w:rsidR="003D1457" w:rsidRPr="006910D6" w:rsidRDefault="003D1457" w:rsidP="003869E1">
            <w:pPr>
              <w:pStyle w:val="TableTextStyle"/>
              <w:rPr>
                <w:rFonts w:hint="eastAsia"/>
              </w:rPr>
            </w:pPr>
            <w:r w:rsidRPr="003D1457">
              <w:rPr>
                <w:rFonts w:hint="eastAsia"/>
              </w:rPr>
              <w:t>NIM-DBA Process</w:t>
            </w:r>
          </w:p>
        </w:tc>
      </w:tr>
      <w:tr w:rsidR="003D1457" w:rsidRPr="006910D6" w14:paraId="5EC53DAA" w14:textId="77777777" w:rsidTr="003D1457">
        <w:trPr>
          <w:trHeight w:val="315"/>
        </w:trPr>
        <w:tc>
          <w:tcPr>
            <w:tcW w:w="2694" w:type="dxa"/>
            <w:vMerge/>
            <w:tcBorders>
              <w:bottom w:val="single" w:sz="8" w:space="0" w:color="auto"/>
            </w:tcBorders>
            <w:hideMark/>
          </w:tcPr>
          <w:p w14:paraId="2AAC8A7F" w14:textId="13437C91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tcBorders>
              <w:top w:val="nil"/>
              <w:bottom w:val="single" w:sz="8" w:space="0" w:color="auto"/>
            </w:tcBorders>
            <w:hideMark/>
          </w:tcPr>
          <w:p w14:paraId="3849F06C" w14:textId="77777777" w:rsidR="003D1457" w:rsidRPr="006910D6" w:rsidRDefault="003D1457" w:rsidP="003869E1">
            <w:pPr>
              <w:pStyle w:val="TableTextStyle"/>
            </w:pPr>
            <w:r w:rsidRPr="006910D6">
              <w:t>1.1</w:t>
            </w:r>
          </w:p>
        </w:tc>
        <w:tc>
          <w:tcPr>
            <w:tcW w:w="1512" w:type="dxa"/>
            <w:tcBorders>
              <w:top w:val="nil"/>
              <w:bottom w:val="single" w:sz="8" w:space="0" w:color="auto"/>
            </w:tcBorders>
            <w:hideMark/>
          </w:tcPr>
          <w:p w14:paraId="07992140" w14:textId="77777777" w:rsidR="003D1457" w:rsidRPr="006910D6" w:rsidRDefault="003D1457" w:rsidP="003869E1">
            <w:pPr>
              <w:pStyle w:val="TableTextStyle"/>
            </w:pPr>
            <w:r w:rsidRPr="006910D6">
              <w:t>2.1</w:t>
            </w:r>
          </w:p>
        </w:tc>
        <w:tc>
          <w:tcPr>
            <w:tcW w:w="1512" w:type="dxa"/>
            <w:tcBorders>
              <w:top w:val="nil"/>
              <w:bottom w:val="single" w:sz="8" w:space="0" w:color="auto"/>
            </w:tcBorders>
            <w:hideMark/>
          </w:tcPr>
          <w:p w14:paraId="189D48B4" w14:textId="77777777" w:rsidR="003D1457" w:rsidRPr="006910D6" w:rsidRDefault="003D1457" w:rsidP="003869E1">
            <w:pPr>
              <w:pStyle w:val="TableTextStyle"/>
            </w:pPr>
            <w:r w:rsidRPr="006910D6">
              <w:t>2.2</w:t>
            </w:r>
          </w:p>
        </w:tc>
        <w:tc>
          <w:tcPr>
            <w:tcW w:w="1512" w:type="dxa"/>
            <w:tcBorders>
              <w:top w:val="nil"/>
              <w:bottom w:val="single" w:sz="8" w:space="0" w:color="auto"/>
            </w:tcBorders>
            <w:hideMark/>
          </w:tcPr>
          <w:p w14:paraId="64FADA8F" w14:textId="77777777" w:rsidR="003D1457" w:rsidRPr="006910D6" w:rsidRDefault="003D1457" w:rsidP="003869E1">
            <w:pPr>
              <w:pStyle w:val="TableTextStyle"/>
            </w:pPr>
            <w:r w:rsidRPr="006910D6">
              <w:t>2.3</w:t>
            </w:r>
          </w:p>
        </w:tc>
        <w:tc>
          <w:tcPr>
            <w:tcW w:w="1512" w:type="dxa"/>
            <w:tcBorders>
              <w:top w:val="nil"/>
              <w:bottom w:val="single" w:sz="8" w:space="0" w:color="auto"/>
            </w:tcBorders>
            <w:hideMark/>
          </w:tcPr>
          <w:p w14:paraId="069F907F" w14:textId="77777777" w:rsidR="003D1457" w:rsidRPr="006910D6" w:rsidRDefault="003D1457" w:rsidP="003869E1">
            <w:pPr>
              <w:pStyle w:val="TableTextStyle"/>
            </w:pPr>
            <w:r w:rsidRPr="006910D6">
              <w:t>3.1</w:t>
            </w:r>
          </w:p>
        </w:tc>
        <w:tc>
          <w:tcPr>
            <w:tcW w:w="1512" w:type="dxa"/>
            <w:tcBorders>
              <w:top w:val="nil"/>
              <w:bottom w:val="single" w:sz="8" w:space="0" w:color="auto"/>
            </w:tcBorders>
            <w:hideMark/>
          </w:tcPr>
          <w:p w14:paraId="327704DF" w14:textId="77777777" w:rsidR="003D1457" w:rsidRPr="006910D6" w:rsidRDefault="003D1457" w:rsidP="003869E1">
            <w:pPr>
              <w:pStyle w:val="TableTextStyle"/>
            </w:pPr>
            <w:r w:rsidRPr="006910D6">
              <w:t>3.2</w:t>
            </w:r>
          </w:p>
        </w:tc>
        <w:tc>
          <w:tcPr>
            <w:tcW w:w="1512" w:type="dxa"/>
            <w:tcBorders>
              <w:top w:val="nil"/>
              <w:bottom w:val="single" w:sz="8" w:space="0" w:color="auto"/>
            </w:tcBorders>
            <w:hideMark/>
          </w:tcPr>
          <w:p w14:paraId="1B02A359" w14:textId="77777777" w:rsidR="003D1457" w:rsidRPr="006910D6" w:rsidRDefault="003D1457" w:rsidP="003869E1">
            <w:pPr>
              <w:pStyle w:val="TableTextStyle"/>
            </w:pPr>
            <w:r w:rsidRPr="006910D6">
              <w:t>4.1</w:t>
            </w:r>
          </w:p>
        </w:tc>
        <w:tc>
          <w:tcPr>
            <w:tcW w:w="1512" w:type="dxa"/>
            <w:tcBorders>
              <w:top w:val="nil"/>
              <w:bottom w:val="single" w:sz="8" w:space="0" w:color="auto"/>
            </w:tcBorders>
            <w:hideMark/>
          </w:tcPr>
          <w:p w14:paraId="4F4159FC" w14:textId="77777777" w:rsidR="003D1457" w:rsidRPr="006910D6" w:rsidRDefault="003D1457" w:rsidP="003869E1">
            <w:pPr>
              <w:pStyle w:val="TableTextStyle"/>
            </w:pPr>
            <w:r w:rsidRPr="006910D6">
              <w:t>4.2</w:t>
            </w:r>
          </w:p>
        </w:tc>
        <w:tc>
          <w:tcPr>
            <w:tcW w:w="1512" w:type="dxa"/>
            <w:tcBorders>
              <w:top w:val="nil"/>
              <w:bottom w:val="single" w:sz="8" w:space="0" w:color="auto"/>
            </w:tcBorders>
            <w:hideMark/>
          </w:tcPr>
          <w:p w14:paraId="1925EB6C" w14:textId="77777777" w:rsidR="003D1457" w:rsidRPr="006910D6" w:rsidRDefault="003D1457" w:rsidP="003869E1">
            <w:pPr>
              <w:pStyle w:val="TableTextStyle"/>
            </w:pPr>
            <w:r w:rsidRPr="006910D6">
              <w:t>4.3</w:t>
            </w:r>
          </w:p>
        </w:tc>
      </w:tr>
      <w:tr w:rsidR="003D1457" w:rsidRPr="006910D6" w14:paraId="1F91CD86" w14:textId="77777777" w:rsidTr="003D1457">
        <w:trPr>
          <w:trHeight w:val="315"/>
        </w:trPr>
        <w:tc>
          <w:tcPr>
            <w:tcW w:w="2694" w:type="dxa"/>
            <w:tcBorders>
              <w:top w:val="single" w:sz="8" w:space="0" w:color="auto"/>
            </w:tcBorders>
            <w:hideMark/>
          </w:tcPr>
          <w:p w14:paraId="4FDB7BC6" w14:textId="77777777" w:rsidR="003D1457" w:rsidRPr="006910D6" w:rsidRDefault="003D1457" w:rsidP="003869E1">
            <w:pPr>
              <w:pStyle w:val="TableTextStyle"/>
            </w:pPr>
            <w:r w:rsidRPr="006910D6">
              <w:lastRenderedPageBreak/>
              <w:t>Assessment Criterion -&gt;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hideMark/>
          </w:tcPr>
          <w:p w14:paraId="32282CAD" w14:textId="77777777" w:rsidR="003D1457" w:rsidRPr="006910D6" w:rsidRDefault="003D1457" w:rsidP="003869E1">
            <w:pPr>
              <w:pStyle w:val="TableTextStyle"/>
            </w:pPr>
            <w:r w:rsidRPr="006910D6">
              <w:t>Source Credibility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hideMark/>
          </w:tcPr>
          <w:p w14:paraId="4A46C935" w14:textId="77777777" w:rsidR="003D1457" w:rsidRPr="006910D6" w:rsidRDefault="003D1457" w:rsidP="003869E1">
            <w:pPr>
              <w:pStyle w:val="TableTextStyle"/>
            </w:pPr>
            <w:r w:rsidRPr="006910D6">
              <w:t>Data Values Completeness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hideMark/>
          </w:tcPr>
          <w:p w14:paraId="18A1C05C" w14:textId="77777777" w:rsidR="003D1457" w:rsidRPr="006910D6" w:rsidRDefault="003D1457" w:rsidP="003869E1">
            <w:pPr>
              <w:pStyle w:val="TableTextStyle"/>
            </w:pPr>
            <w:r w:rsidRPr="006910D6">
              <w:t>Semantic Consistency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hideMark/>
          </w:tcPr>
          <w:p w14:paraId="105D558D" w14:textId="77777777" w:rsidR="003D1457" w:rsidRPr="006910D6" w:rsidRDefault="003D1457" w:rsidP="003869E1">
            <w:pPr>
              <w:pStyle w:val="TableTextStyle"/>
            </w:pPr>
            <w:r w:rsidRPr="006910D6">
              <w:t>Data Format Consistency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hideMark/>
          </w:tcPr>
          <w:p w14:paraId="67A7CAAD" w14:textId="77777777" w:rsidR="003D1457" w:rsidRPr="006910D6" w:rsidRDefault="003D1457" w:rsidP="003869E1">
            <w:pPr>
              <w:pStyle w:val="TableTextStyle"/>
            </w:pPr>
            <w:r w:rsidRPr="006910D6">
              <w:t>Data Accuracy Assurance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hideMark/>
          </w:tcPr>
          <w:p w14:paraId="2B17417D" w14:textId="77777777" w:rsidR="003D1457" w:rsidRPr="006910D6" w:rsidRDefault="003D1457" w:rsidP="003869E1">
            <w:pPr>
              <w:pStyle w:val="TableTextStyle"/>
            </w:pPr>
            <w:r w:rsidRPr="006910D6">
              <w:t>Traceability of Data Values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hideMark/>
          </w:tcPr>
          <w:p w14:paraId="36382ECE" w14:textId="77777777" w:rsidR="003D1457" w:rsidRPr="006910D6" w:rsidRDefault="003D1457" w:rsidP="003869E1">
            <w:pPr>
              <w:pStyle w:val="TableTextStyle"/>
            </w:pPr>
            <w:r w:rsidRPr="006910D6">
              <w:t>Data Accuracy Range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hideMark/>
          </w:tcPr>
          <w:p w14:paraId="246858DF" w14:textId="77777777" w:rsidR="003D1457" w:rsidRPr="006910D6" w:rsidRDefault="003D1457" w:rsidP="003869E1">
            <w:pPr>
              <w:pStyle w:val="TableTextStyle"/>
            </w:pPr>
            <w:r w:rsidRPr="006910D6">
              <w:t>Value Credibility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hideMark/>
          </w:tcPr>
          <w:p w14:paraId="52263A27" w14:textId="77777777" w:rsidR="003D1457" w:rsidRPr="006910D6" w:rsidRDefault="003D1457" w:rsidP="003869E1">
            <w:pPr>
              <w:pStyle w:val="TableTextStyle"/>
            </w:pPr>
            <w:r w:rsidRPr="006910D6">
              <w:t>Semantic Data Accuracy</w:t>
            </w:r>
          </w:p>
        </w:tc>
      </w:tr>
      <w:tr w:rsidR="003D1457" w:rsidRPr="006910D6" w14:paraId="48B418B7" w14:textId="77777777" w:rsidTr="003D1457">
        <w:trPr>
          <w:trHeight w:val="315"/>
        </w:trPr>
        <w:tc>
          <w:tcPr>
            <w:tcW w:w="2694" w:type="dxa"/>
            <w:hideMark/>
          </w:tcPr>
          <w:p w14:paraId="378661FA" w14:textId="4449817B" w:rsidR="003D1457" w:rsidRPr="006910D6" w:rsidRDefault="003D1457" w:rsidP="003869E1">
            <w:pPr>
              <w:pStyle w:val="TableTextStyle"/>
            </w:pPr>
            <w:proofErr w:type="spellStart"/>
            <w:r w:rsidRPr="006910D6">
              <w:t>Mazzatenta</w:t>
            </w:r>
            <w:proofErr w:type="spellEnd"/>
            <w:r w:rsidRPr="006910D6">
              <w:t xml:space="preserve"> et al. [</w:t>
            </w:r>
            <w:r w:rsidR="005221C1">
              <w:rPr>
                <w:rFonts w:hint="eastAsia"/>
              </w:rPr>
              <w:t>1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3969748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DA9696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73CFA3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495713F9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CA6200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C28A8CD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3EE0BA02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4E4CAA2E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E297D2D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1FDD05CA" w14:textId="77777777" w:rsidTr="003D1457">
        <w:trPr>
          <w:trHeight w:val="315"/>
        </w:trPr>
        <w:tc>
          <w:tcPr>
            <w:tcW w:w="2694" w:type="dxa"/>
            <w:hideMark/>
          </w:tcPr>
          <w:p w14:paraId="4024F794" w14:textId="3DAAFA20" w:rsidR="003D1457" w:rsidRPr="006910D6" w:rsidRDefault="003D1457" w:rsidP="003869E1">
            <w:pPr>
              <w:pStyle w:val="TableTextStyle"/>
            </w:pPr>
            <w:r w:rsidRPr="006910D6">
              <w:t>Phillips et al. [</w:t>
            </w:r>
            <w:r w:rsidR="005221C1">
              <w:rPr>
                <w:rFonts w:hint="eastAsia"/>
              </w:rPr>
              <w:t>2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653AAD1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70F8B1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A5810F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2F8F366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4281957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3160F05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EF18D0D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43BD1C31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48EF5001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448615D7" w14:textId="77777777" w:rsidTr="003D1457">
        <w:trPr>
          <w:trHeight w:val="315"/>
        </w:trPr>
        <w:tc>
          <w:tcPr>
            <w:tcW w:w="2694" w:type="dxa"/>
            <w:hideMark/>
          </w:tcPr>
          <w:p w14:paraId="7D33DE89" w14:textId="31BACD10" w:rsidR="003D1457" w:rsidRPr="006910D6" w:rsidRDefault="003D1457" w:rsidP="003869E1">
            <w:pPr>
              <w:pStyle w:val="TableTextStyle"/>
            </w:pPr>
            <w:proofErr w:type="spellStart"/>
            <w:r w:rsidRPr="006910D6">
              <w:t>Greiter</w:t>
            </w:r>
            <w:proofErr w:type="spellEnd"/>
            <w:r w:rsidRPr="006910D6">
              <w:t xml:space="preserve"> et al. [</w:t>
            </w:r>
            <w:r w:rsidR="005221C1">
              <w:rPr>
                <w:rFonts w:hint="eastAsia"/>
              </w:rPr>
              <w:t>3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49ED2AE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A93A09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C84449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948A4E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72EC2855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8D4380B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3076DEE1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B513242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501E39E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51DF181B" w14:textId="77777777" w:rsidTr="003D1457">
        <w:trPr>
          <w:trHeight w:val="315"/>
        </w:trPr>
        <w:tc>
          <w:tcPr>
            <w:tcW w:w="2694" w:type="dxa"/>
            <w:hideMark/>
          </w:tcPr>
          <w:p w14:paraId="6700B318" w14:textId="2C4F66CA" w:rsidR="003D1457" w:rsidRPr="006910D6" w:rsidRDefault="003D1457" w:rsidP="003869E1">
            <w:pPr>
              <w:pStyle w:val="TableTextStyle"/>
            </w:pPr>
            <w:r w:rsidRPr="006910D6">
              <w:t>Worrall et al. [</w:t>
            </w:r>
            <w:r w:rsidR="005221C1">
              <w:rPr>
                <w:rFonts w:hint="eastAsia"/>
              </w:rPr>
              <w:t>4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20E37F5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2988AA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10C6AB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467730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5FB3DCDB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122CA231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556E31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01534A38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352FDCA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0307C9AD" w14:textId="77777777" w:rsidTr="003D1457">
        <w:trPr>
          <w:trHeight w:val="315"/>
        </w:trPr>
        <w:tc>
          <w:tcPr>
            <w:tcW w:w="2694" w:type="dxa"/>
            <w:hideMark/>
          </w:tcPr>
          <w:p w14:paraId="76ACB493" w14:textId="5ED7253A" w:rsidR="003D1457" w:rsidRPr="006910D6" w:rsidRDefault="003D1457" w:rsidP="003869E1">
            <w:pPr>
              <w:pStyle w:val="TableTextStyle"/>
            </w:pPr>
            <w:r w:rsidRPr="006910D6">
              <w:t>Goerl et al. [</w:t>
            </w:r>
            <w:r w:rsidR="005221C1">
              <w:rPr>
                <w:rFonts w:hint="eastAsia"/>
              </w:rPr>
              <w:t>5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5A98536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0C474C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BBFDDE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AB03C2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5FFC90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0D0FCB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C7C087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D5EA7F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35E484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</w:tr>
      <w:tr w:rsidR="003D1457" w:rsidRPr="006910D6" w14:paraId="70E0474D" w14:textId="77777777" w:rsidTr="003D1457">
        <w:trPr>
          <w:trHeight w:val="315"/>
        </w:trPr>
        <w:tc>
          <w:tcPr>
            <w:tcW w:w="2694" w:type="dxa"/>
            <w:hideMark/>
          </w:tcPr>
          <w:p w14:paraId="5CD0AB51" w14:textId="6B994146" w:rsidR="003D1457" w:rsidRPr="006910D6" w:rsidRDefault="003D1457" w:rsidP="003869E1">
            <w:pPr>
              <w:pStyle w:val="TableTextStyle"/>
            </w:pPr>
            <w:r w:rsidRPr="006910D6">
              <w:t>Kudo et al. [</w:t>
            </w:r>
            <w:r w:rsidR="005221C1">
              <w:rPr>
                <w:rFonts w:hint="eastAsia"/>
              </w:rPr>
              <w:t>6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4C49287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DA2D04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A1DD6B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5C3F66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9D10D9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403EFF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61AA05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68604D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2E759BA1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25BC2AAD" w14:textId="77777777" w:rsidTr="003D1457">
        <w:trPr>
          <w:trHeight w:val="315"/>
        </w:trPr>
        <w:tc>
          <w:tcPr>
            <w:tcW w:w="2694" w:type="dxa"/>
            <w:hideMark/>
          </w:tcPr>
          <w:p w14:paraId="671C50AD" w14:textId="30D77B71" w:rsidR="003D1457" w:rsidRPr="006910D6" w:rsidRDefault="003D1457" w:rsidP="003869E1">
            <w:pPr>
              <w:pStyle w:val="TableTextStyle"/>
            </w:pPr>
            <w:r w:rsidRPr="006910D6">
              <w:t>Walton et al. [</w:t>
            </w:r>
            <w:r w:rsidR="005221C1">
              <w:rPr>
                <w:rFonts w:hint="eastAsia"/>
              </w:rPr>
              <w:t>7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444FF8D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B0AB4A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4C0AB3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E74C980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16304A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EB6234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C7445D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3A92A3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1BC66923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2FD5DCBD" w14:textId="77777777" w:rsidTr="003D1457">
        <w:trPr>
          <w:trHeight w:val="315"/>
        </w:trPr>
        <w:tc>
          <w:tcPr>
            <w:tcW w:w="2694" w:type="dxa"/>
            <w:hideMark/>
          </w:tcPr>
          <w:p w14:paraId="3EBDE2D9" w14:textId="728209EE" w:rsidR="003D1457" w:rsidRPr="006910D6" w:rsidRDefault="003D1457" w:rsidP="003869E1">
            <w:pPr>
              <w:pStyle w:val="TableTextStyle"/>
            </w:pPr>
            <w:r w:rsidRPr="006910D6">
              <w:t>Grabowska-Polanowska et al. [</w:t>
            </w:r>
            <w:r w:rsidR="005221C1">
              <w:rPr>
                <w:rFonts w:hint="eastAsia"/>
              </w:rPr>
              <w:t>8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15B47AE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7DC6C4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E32B0A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9AF5D0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791445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AF7932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6D5E97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76A0B9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A4C654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</w:tr>
      <w:tr w:rsidR="003D1457" w:rsidRPr="006910D6" w14:paraId="66A206FD" w14:textId="77777777" w:rsidTr="003D1457">
        <w:trPr>
          <w:trHeight w:val="315"/>
        </w:trPr>
        <w:tc>
          <w:tcPr>
            <w:tcW w:w="2694" w:type="dxa"/>
            <w:hideMark/>
          </w:tcPr>
          <w:p w14:paraId="3A81FBE1" w14:textId="723EE41C" w:rsidR="003D1457" w:rsidRPr="006910D6" w:rsidRDefault="003D1457" w:rsidP="003869E1">
            <w:pPr>
              <w:pStyle w:val="TableTextStyle"/>
            </w:pPr>
            <w:r w:rsidRPr="006910D6">
              <w:t>Xing et al. [</w:t>
            </w:r>
            <w:r w:rsidR="005221C1">
              <w:rPr>
                <w:rFonts w:hint="eastAsia"/>
              </w:rPr>
              <w:t>9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27A8A99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C7E472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37C08A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864703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3032CD3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7F8B1B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0AC7A749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8694628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9B52D91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67149919" w14:textId="77777777" w:rsidTr="003D1457">
        <w:trPr>
          <w:trHeight w:val="315"/>
        </w:trPr>
        <w:tc>
          <w:tcPr>
            <w:tcW w:w="2694" w:type="dxa"/>
            <w:hideMark/>
          </w:tcPr>
          <w:p w14:paraId="70F306A7" w14:textId="2C2C52B6" w:rsidR="003D1457" w:rsidRPr="006910D6" w:rsidRDefault="003D1457" w:rsidP="003869E1">
            <w:pPr>
              <w:pStyle w:val="TableTextStyle"/>
            </w:pPr>
            <w:proofErr w:type="spellStart"/>
            <w:r w:rsidRPr="006910D6">
              <w:t>Iscan</w:t>
            </w:r>
            <w:proofErr w:type="spellEnd"/>
            <w:r w:rsidRPr="006910D6">
              <w:t xml:space="preserve"> et al. [</w:t>
            </w:r>
            <w:r w:rsidR="005221C1">
              <w:rPr>
                <w:rFonts w:hint="eastAsia"/>
              </w:rPr>
              <w:t>10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3653205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E0C843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1383CC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55810E4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30DFEDB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AF6E675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4CF3FA9C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46E1FFEC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723E4FD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34E8DA38" w14:textId="77777777" w:rsidTr="003D1457">
        <w:trPr>
          <w:trHeight w:val="315"/>
        </w:trPr>
        <w:tc>
          <w:tcPr>
            <w:tcW w:w="2694" w:type="dxa"/>
            <w:hideMark/>
          </w:tcPr>
          <w:p w14:paraId="1C423019" w14:textId="5EF60A88" w:rsidR="003D1457" w:rsidRPr="006910D6" w:rsidRDefault="003D1457" w:rsidP="003869E1">
            <w:pPr>
              <w:pStyle w:val="TableTextStyle"/>
            </w:pPr>
            <w:r w:rsidRPr="006910D6">
              <w:lastRenderedPageBreak/>
              <w:t>Gudiño-Ochoa et al. [</w:t>
            </w:r>
            <w:r w:rsidR="005221C1">
              <w:rPr>
                <w:rFonts w:hint="eastAsia"/>
              </w:rPr>
              <w:t>11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323BE4A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EBFD600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081971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68E261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76575CC6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108F08C6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A505CA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8008DB9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849DE7B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36A55303" w14:textId="77777777" w:rsidTr="003D1457">
        <w:trPr>
          <w:trHeight w:val="315"/>
        </w:trPr>
        <w:tc>
          <w:tcPr>
            <w:tcW w:w="2694" w:type="dxa"/>
            <w:hideMark/>
          </w:tcPr>
          <w:p w14:paraId="64085F66" w14:textId="704589E8" w:rsidR="003D1457" w:rsidRPr="006910D6" w:rsidRDefault="003D1457" w:rsidP="003869E1">
            <w:pPr>
              <w:pStyle w:val="TableTextStyle"/>
            </w:pPr>
            <w:proofErr w:type="spellStart"/>
            <w:r w:rsidRPr="006910D6">
              <w:t>Ghimenti</w:t>
            </w:r>
            <w:proofErr w:type="spellEnd"/>
            <w:r w:rsidRPr="006910D6">
              <w:t xml:space="preserve"> et al. [</w:t>
            </w:r>
            <w:r w:rsidR="005221C1">
              <w:rPr>
                <w:rFonts w:hint="eastAsia"/>
              </w:rPr>
              <w:t>12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3040A9B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BBBAD4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9F2F71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8FE5B6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105C97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60F0A3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A08937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60EF2B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682E55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</w:tr>
      <w:tr w:rsidR="003D1457" w:rsidRPr="006910D6" w14:paraId="5E8BF9B1" w14:textId="77777777" w:rsidTr="003D1457">
        <w:trPr>
          <w:trHeight w:val="315"/>
        </w:trPr>
        <w:tc>
          <w:tcPr>
            <w:tcW w:w="2694" w:type="dxa"/>
            <w:hideMark/>
          </w:tcPr>
          <w:p w14:paraId="7F6E5F18" w14:textId="4F1B71F4" w:rsidR="003D1457" w:rsidRPr="006910D6" w:rsidRDefault="003D1457" w:rsidP="003869E1">
            <w:pPr>
              <w:pStyle w:val="TableTextStyle"/>
            </w:pPr>
            <w:r w:rsidRPr="006910D6">
              <w:t>Yu et al. [</w:t>
            </w:r>
            <w:r w:rsidR="005221C1">
              <w:rPr>
                <w:rFonts w:hint="eastAsia"/>
              </w:rPr>
              <w:t>13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4843271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33F4B2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E3256E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C3BD56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E77685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5EB0F8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5C0594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F2EF14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76EC33CB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599C3908" w14:textId="77777777" w:rsidTr="003D1457">
        <w:trPr>
          <w:trHeight w:val="315"/>
        </w:trPr>
        <w:tc>
          <w:tcPr>
            <w:tcW w:w="2694" w:type="dxa"/>
            <w:hideMark/>
          </w:tcPr>
          <w:p w14:paraId="3AF6DA63" w14:textId="20D75BD6" w:rsidR="003D1457" w:rsidRPr="006910D6" w:rsidRDefault="003D1457" w:rsidP="003869E1">
            <w:pPr>
              <w:pStyle w:val="TableTextStyle"/>
            </w:pPr>
            <w:r w:rsidRPr="006910D6">
              <w:t>Fink et al. [</w:t>
            </w:r>
            <w:r w:rsidR="005221C1">
              <w:rPr>
                <w:rFonts w:hint="eastAsia"/>
              </w:rPr>
              <w:t>14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2B24CEB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E1A6E7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70D7380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A14B0E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06D402C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0E7BA394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383F0DF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60805E9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CD7B088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3C8A6A68" w14:textId="77777777" w:rsidTr="003D1457">
        <w:trPr>
          <w:trHeight w:val="315"/>
        </w:trPr>
        <w:tc>
          <w:tcPr>
            <w:tcW w:w="2694" w:type="dxa"/>
            <w:hideMark/>
          </w:tcPr>
          <w:p w14:paraId="5944C9C3" w14:textId="354E07E1" w:rsidR="003D1457" w:rsidRPr="006910D6" w:rsidRDefault="003D1457" w:rsidP="003869E1">
            <w:pPr>
              <w:pStyle w:val="TableTextStyle"/>
            </w:pPr>
            <w:r w:rsidRPr="006910D6">
              <w:t>Yucel et al. [</w:t>
            </w:r>
            <w:r w:rsidR="005221C1">
              <w:rPr>
                <w:rFonts w:hint="eastAsia"/>
              </w:rPr>
              <w:t>15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3EFD203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FC9F12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134C20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004591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71DB8DD1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0EDC7481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3A6E29CB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F461BAD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FA087E7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7BB7EFF0" w14:textId="77777777" w:rsidTr="003D1457">
        <w:trPr>
          <w:trHeight w:val="315"/>
        </w:trPr>
        <w:tc>
          <w:tcPr>
            <w:tcW w:w="2694" w:type="dxa"/>
            <w:hideMark/>
          </w:tcPr>
          <w:p w14:paraId="2520E82E" w14:textId="4A24487B" w:rsidR="003D1457" w:rsidRPr="006910D6" w:rsidRDefault="003D1457" w:rsidP="003869E1">
            <w:pPr>
              <w:pStyle w:val="TableTextStyle"/>
            </w:pPr>
            <w:r w:rsidRPr="006910D6">
              <w:t>Aleksić et al. [</w:t>
            </w:r>
            <w:r w:rsidR="005221C1">
              <w:rPr>
                <w:rFonts w:hint="eastAsia"/>
              </w:rPr>
              <w:t>16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7A7802B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90D877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713B23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9A969E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34FE4E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B0C8D8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B9DCB8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F9509C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33A5D3B7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5C0D45C1" w14:textId="77777777" w:rsidTr="003D1457">
        <w:trPr>
          <w:trHeight w:val="315"/>
        </w:trPr>
        <w:tc>
          <w:tcPr>
            <w:tcW w:w="2694" w:type="dxa"/>
            <w:hideMark/>
          </w:tcPr>
          <w:p w14:paraId="5A7CCFEF" w14:textId="047830D7" w:rsidR="003D1457" w:rsidRPr="006910D6" w:rsidRDefault="003D1457" w:rsidP="003869E1">
            <w:pPr>
              <w:pStyle w:val="TableTextStyle"/>
            </w:pPr>
            <w:r w:rsidRPr="006910D6">
              <w:t>Yoshinaga et al. [</w:t>
            </w:r>
            <w:r w:rsidR="005221C1">
              <w:rPr>
                <w:rFonts w:hint="eastAsia"/>
              </w:rPr>
              <w:t>17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0141E68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834C52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B7CE87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1EE635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164BE5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0E6037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320CFF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CD8073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369A6479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23D586B1" w14:textId="77777777" w:rsidTr="003D1457">
        <w:trPr>
          <w:trHeight w:val="315"/>
        </w:trPr>
        <w:tc>
          <w:tcPr>
            <w:tcW w:w="2694" w:type="dxa"/>
            <w:hideMark/>
          </w:tcPr>
          <w:p w14:paraId="0439E81D" w14:textId="20A0B613" w:rsidR="003D1457" w:rsidRPr="006910D6" w:rsidRDefault="003D1457" w:rsidP="003869E1">
            <w:pPr>
              <w:pStyle w:val="TableTextStyle"/>
            </w:pPr>
            <w:r w:rsidRPr="006910D6">
              <w:t>Trefz et al. [</w:t>
            </w:r>
            <w:r w:rsidR="005221C1">
              <w:rPr>
                <w:rFonts w:hint="eastAsia"/>
              </w:rPr>
              <w:t>18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3C8A62B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3F92F6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99CCCC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F699F6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214FE7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A73298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F0CAAA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3FCCD7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746362E3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355A768C" w14:textId="77777777" w:rsidTr="003D1457">
        <w:trPr>
          <w:trHeight w:val="315"/>
        </w:trPr>
        <w:tc>
          <w:tcPr>
            <w:tcW w:w="2694" w:type="dxa"/>
            <w:hideMark/>
          </w:tcPr>
          <w:p w14:paraId="519D0140" w14:textId="1313E3EA" w:rsidR="003D1457" w:rsidRPr="006910D6" w:rsidRDefault="003D1457" w:rsidP="003869E1">
            <w:pPr>
              <w:pStyle w:val="TableTextStyle"/>
            </w:pPr>
            <w:r w:rsidRPr="006910D6">
              <w:t>Novak et al. [</w:t>
            </w:r>
            <w:r w:rsidR="005221C1">
              <w:rPr>
                <w:rFonts w:hint="eastAsia"/>
              </w:rPr>
              <w:t>19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0F45E2F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72215F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1B0BF6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34ACA29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DE7886C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16698F33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AA74395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DD8A3D7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B123A7B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4937F450" w14:textId="77777777" w:rsidTr="003D1457">
        <w:trPr>
          <w:trHeight w:val="315"/>
        </w:trPr>
        <w:tc>
          <w:tcPr>
            <w:tcW w:w="2694" w:type="dxa"/>
            <w:hideMark/>
          </w:tcPr>
          <w:p w14:paraId="6A82A80E" w14:textId="2BEC04E0" w:rsidR="003D1457" w:rsidRPr="006910D6" w:rsidRDefault="003D1457" w:rsidP="003869E1">
            <w:pPr>
              <w:pStyle w:val="TableTextStyle"/>
            </w:pPr>
            <w:r w:rsidRPr="006910D6">
              <w:t>Obermeier et al. [</w:t>
            </w:r>
            <w:r w:rsidR="005221C1">
              <w:rPr>
                <w:rFonts w:hint="eastAsia"/>
              </w:rPr>
              <w:t>20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3176211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BDF45F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F8B144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7596C16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3387BC02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94455C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4D9C2802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AB7B7D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515324F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20CC04D6" w14:textId="77777777" w:rsidTr="003D1457">
        <w:trPr>
          <w:trHeight w:val="315"/>
        </w:trPr>
        <w:tc>
          <w:tcPr>
            <w:tcW w:w="2694" w:type="dxa"/>
            <w:hideMark/>
          </w:tcPr>
          <w:p w14:paraId="02A48565" w14:textId="363BFDB4" w:rsidR="003D1457" w:rsidRPr="006910D6" w:rsidRDefault="003D1457" w:rsidP="003869E1">
            <w:pPr>
              <w:pStyle w:val="TableTextStyle"/>
            </w:pPr>
            <w:r w:rsidRPr="006910D6">
              <w:t>Yang et al. [</w:t>
            </w:r>
            <w:r w:rsidR="005221C1">
              <w:rPr>
                <w:rFonts w:hint="eastAsia"/>
              </w:rPr>
              <w:t>21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7C9E2F7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B907FF0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1890D80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1D7D63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042F43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39EFCA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55062D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7EDDFA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BAAC17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</w:tr>
      <w:tr w:rsidR="003D1457" w:rsidRPr="006910D6" w14:paraId="6DAFD655" w14:textId="77777777" w:rsidTr="003D1457">
        <w:trPr>
          <w:trHeight w:val="315"/>
        </w:trPr>
        <w:tc>
          <w:tcPr>
            <w:tcW w:w="2694" w:type="dxa"/>
            <w:hideMark/>
          </w:tcPr>
          <w:p w14:paraId="4DE25816" w14:textId="2226A71E" w:rsidR="003D1457" w:rsidRPr="006910D6" w:rsidRDefault="003D1457" w:rsidP="003869E1">
            <w:pPr>
              <w:pStyle w:val="TableTextStyle"/>
            </w:pPr>
            <w:r w:rsidRPr="006910D6">
              <w:t>Khan et al. [</w:t>
            </w:r>
            <w:r w:rsidR="005221C1">
              <w:rPr>
                <w:rFonts w:hint="eastAsia"/>
              </w:rPr>
              <w:t>22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7F5A35B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2CC3CC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0452D4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68E80950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8BA2532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0831AE8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5024AA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3F81841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0FC7590C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33360BA7" w14:textId="77777777" w:rsidTr="003D1457">
        <w:trPr>
          <w:trHeight w:val="315"/>
        </w:trPr>
        <w:tc>
          <w:tcPr>
            <w:tcW w:w="2694" w:type="dxa"/>
            <w:hideMark/>
          </w:tcPr>
          <w:p w14:paraId="0DBE64D5" w14:textId="4B02E33A" w:rsidR="003D1457" w:rsidRPr="006910D6" w:rsidRDefault="003D1457" w:rsidP="003869E1">
            <w:pPr>
              <w:pStyle w:val="TableTextStyle"/>
            </w:pPr>
            <w:r w:rsidRPr="006910D6">
              <w:t>Chien et al. [</w:t>
            </w:r>
            <w:r w:rsidR="005221C1">
              <w:rPr>
                <w:rFonts w:hint="eastAsia"/>
              </w:rPr>
              <w:t>23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5C2EECD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F41979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260D29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77B01A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4FB62F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B10B53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B05A34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255A48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A95785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</w:tr>
      <w:tr w:rsidR="003D1457" w:rsidRPr="006910D6" w14:paraId="0FBE1377" w14:textId="77777777" w:rsidTr="003D1457">
        <w:trPr>
          <w:trHeight w:val="315"/>
        </w:trPr>
        <w:tc>
          <w:tcPr>
            <w:tcW w:w="2694" w:type="dxa"/>
            <w:hideMark/>
          </w:tcPr>
          <w:p w14:paraId="3B69D70A" w14:textId="4E5B146D" w:rsidR="003D1457" w:rsidRPr="006910D6" w:rsidRDefault="003D1457" w:rsidP="003869E1">
            <w:pPr>
              <w:pStyle w:val="TableTextStyle"/>
            </w:pPr>
            <w:r w:rsidRPr="006910D6">
              <w:t>Tanda et al. [</w:t>
            </w:r>
            <w:r w:rsidR="005221C1">
              <w:rPr>
                <w:rFonts w:hint="eastAsia"/>
              </w:rPr>
              <w:t>24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666B7E8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4E1464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152C23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EF2052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5BBCFE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124AA7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6AD4CC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166960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6796656E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4419B335" w14:textId="77777777" w:rsidTr="003D1457">
        <w:trPr>
          <w:trHeight w:val="315"/>
        </w:trPr>
        <w:tc>
          <w:tcPr>
            <w:tcW w:w="2694" w:type="dxa"/>
            <w:hideMark/>
          </w:tcPr>
          <w:p w14:paraId="09FD824B" w14:textId="11872698" w:rsidR="003D1457" w:rsidRPr="006910D6" w:rsidRDefault="003D1457" w:rsidP="003869E1">
            <w:pPr>
              <w:pStyle w:val="TableTextStyle"/>
            </w:pPr>
            <w:r w:rsidRPr="006910D6">
              <w:lastRenderedPageBreak/>
              <w:t>Lekha &amp; Suchetha [</w:t>
            </w:r>
            <w:r w:rsidR="005221C1">
              <w:rPr>
                <w:rFonts w:hint="eastAsia"/>
              </w:rPr>
              <w:t>25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5D7C245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E8B77D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782846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51EF7F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01C1C5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179276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FE876E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4272EE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E3F0E70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</w:tr>
      <w:tr w:rsidR="003D1457" w:rsidRPr="006910D6" w14:paraId="649548DB" w14:textId="77777777" w:rsidTr="003D1457">
        <w:trPr>
          <w:trHeight w:val="315"/>
        </w:trPr>
        <w:tc>
          <w:tcPr>
            <w:tcW w:w="2694" w:type="dxa"/>
            <w:hideMark/>
          </w:tcPr>
          <w:p w14:paraId="28FCCDE6" w14:textId="735345E8" w:rsidR="003D1457" w:rsidRPr="006910D6" w:rsidRDefault="003D1457" w:rsidP="003869E1">
            <w:pPr>
              <w:pStyle w:val="TableTextStyle"/>
            </w:pPr>
            <w:r w:rsidRPr="006910D6">
              <w:t>Parmar et al. [</w:t>
            </w:r>
            <w:r w:rsidR="005221C1">
              <w:rPr>
                <w:rFonts w:hint="eastAsia"/>
              </w:rPr>
              <w:t>26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0573BBA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3F20FD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8568AB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B145FA0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07A57277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1250416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341ABD6C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00E1B4C6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DE0CFEA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742666ED" w14:textId="77777777" w:rsidTr="003D1457">
        <w:trPr>
          <w:trHeight w:val="315"/>
        </w:trPr>
        <w:tc>
          <w:tcPr>
            <w:tcW w:w="2694" w:type="dxa"/>
            <w:hideMark/>
          </w:tcPr>
          <w:p w14:paraId="4E18E0E2" w14:textId="01B86EFF" w:rsidR="003D1457" w:rsidRPr="006910D6" w:rsidRDefault="003D1457" w:rsidP="003869E1">
            <w:pPr>
              <w:pStyle w:val="TableTextStyle"/>
            </w:pPr>
            <w:r w:rsidRPr="006910D6">
              <w:t>Malysheva et al. [</w:t>
            </w:r>
            <w:r w:rsidR="005221C1">
              <w:rPr>
                <w:rFonts w:hint="eastAsia"/>
              </w:rPr>
              <w:t>27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2B782A7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C014A4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88B711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87E5D6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2D19D9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E97A90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B3B94E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7CD5B2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1C2FE30F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45182A40" w14:textId="77777777" w:rsidTr="003D1457">
        <w:trPr>
          <w:trHeight w:val="315"/>
        </w:trPr>
        <w:tc>
          <w:tcPr>
            <w:tcW w:w="2694" w:type="dxa"/>
            <w:hideMark/>
          </w:tcPr>
          <w:p w14:paraId="00477FF2" w14:textId="158E108C" w:rsidR="003D1457" w:rsidRPr="006910D6" w:rsidRDefault="003D1457" w:rsidP="003869E1">
            <w:pPr>
              <w:pStyle w:val="TableTextStyle"/>
            </w:pPr>
            <w:r w:rsidRPr="006910D6">
              <w:t>Saidi et al. [</w:t>
            </w:r>
            <w:r w:rsidR="005221C1">
              <w:rPr>
                <w:rFonts w:hint="eastAsia"/>
              </w:rPr>
              <w:t>28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5204257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41EACD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7DA5F9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7F9224BB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49803F6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6DCA8BD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0A425998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E73C44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A3EC4FF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06B179F2" w14:textId="77777777" w:rsidTr="003D1457">
        <w:trPr>
          <w:trHeight w:val="315"/>
        </w:trPr>
        <w:tc>
          <w:tcPr>
            <w:tcW w:w="2694" w:type="dxa"/>
            <w:hideMark/>
          </w:tcPr>
          <w:p w14:paraId="4B19BB41" w14:textId="0DA0A878" w:rsidR="003D1457" w:rsidRPr="006910D6" w:rsidRDefault="003D1457" w:rsidP="003869E1">
            <w:pPr>
              <w:pStyle w:val="TableTextStyle"/>
            </w:pPr>
            <w:r w:rsidRPr="006910D6">
              <w:t>Smieja et al. [</w:t>
            </w:r>
            <w:r w:rsidR="005221C1">
              <w:rPr>
                <w:rFonts w:hint="eastAsia"/>
              </w:rPr>
              <w:t>29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35319CE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B5E3B0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90AD92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03978B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27D8221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9A10654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17C97E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43DCA5DA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02D37EBB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1C542DD0" w14:textId="77777777" w:rsidTr="003D1457">
        <w:trPr>
          <w:trHeight w:val="315"/>
        </w:trPr>
        <w:tc>
          <w:tcPr>
            <w:tcW w:w="2694" w:type="dxa"/>
            <w:hideMark/>
          </w:tcPr>
          <w:p w14:paraId="619FDA42" w14:textId="692F7901" w:rsidR="003D1457" w:rsidRPr="006910D6" w:rsidRDefault="003D1457" w:rsidP="003869E1">
            <w:pPr>
              <w:pStyle w:val="TableTextStyle"/>
            </w:pPr>
            <w:r w:rsidRPr="006910D6">
              <w:t>Tazi et al. [</w:t>
            </w:r>
            <w:r w:rsidR="005221C1">
              <w:rPr>
                <w:rFonts w:hint="eastAsia"/>
              </w:rPr>
              <w:t>30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4C85004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568FE2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7EA43B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01352D90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0218B82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1F1DBC9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46898011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402E20C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1DA69FFB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7A7D6E6C" w14:textId="77777777" w:rsidTr="003D1457">
        <w:trPr>
          <w:trHeight w:val="315"/>
        </w:trPr>
        <w:tc>
          <w:tcPr>
            <w:tcW w:w="2694" w:type="dxa"/>
            <w:hideMark/>
          </w:tcPr>
          <w:p w14:paraId="646E3EEE" w14:textId="3B997624" w:rsidR="003D1457" w:rsidRPr="006910D6" w:rsidRDefault="003D1457" w:rsidP="003869E1">
            <w:pPr>
              <w:pStyle w:val="TableTextStyle"/>
            </w:pPr>
            <w:r w:rsidRPr="006910D6">
              <w:t>Sha et al. [</w:t>
            </w:r>
            <w:r w:rsidR="005221C1">
              <w:rPr>
                <w:rFonts w:hint="eastAsia"/>
              </w:rPr>
              <w:t>31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74711D6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281FCA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FC6F68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EEC5AA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C5FA38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C11FFA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988D88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1E74B05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135DD7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</w:tr>
      <w:tr w:rsidR="003D1457" w:rsidRPr="006910D6" w14:paraId="1EACC3FA" w14:textId="77777777" w:rsidTr="003D1457">
        <w:trPr>
          <w:trHeight w:val="315"/>
        </w:trPr>
        <w:tc>
          <w:tcPr>
            <w:tcW w:w="2694" w:type="dxa"/>
            <w:hideMark/>
          </w:tcPr>
          <w:p w14:paraId="390229C9" w14:textId="266CCD3C" w:rsidR="003D1457" w:rsidRPr="006910D6" w:rsidRDefault="003D1457" w:rsidP="003869E1">
            <w:pPr>
              <w:pStyle w:val="TableTextStyle"/>
            </w:pPr>
            <w:proofErr w:type="spellStart"/>
            <w:r w:rsidRPr="006910D6">
              <w:t>Yazdankhah</w:t>
            </w:r>
            <w:proofErr w:type="spellEnd"/>
            <w:r w:rsidRPr="006910D6">
              <w:t xml:space="preserve"> et al. [</w:t>
            </w:r>
            <w:r w:rsidR="005221C1">
              <w:rPr>
                <w:rFonts w:hint="eastAsia"/>
              </w:rPr>
              <w:t>32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2309C3E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8AE7F5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9580C70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1E20AB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7C2DDA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9BD7C1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54F9D2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A4CF6F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25AAA5F1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112C75C5" w14:textId="77777777" w:rsidTr="003D1457">
        <w:trPr>
          <w:trHeight w:val="315"/>
        </w:trPr>
        <w:tc>
          <w:tcPr>
            <w:tcW w:w="2694" w:type="dxa"/>
            <w:hideMark/>
          </w:tcPr>
          <w:p w14:paraId="64E714DA" w14:textId="5B53ACF4" w:rsidR="003D1457" w:rsidRPr="006910D6" w:rsidRDefault="003D1457" w:rsidP="003869E1">
            <w:pPr>
              <w:pStyle w:val="TableTextStyle"/>
            </w:pPr>
            <w:r w:rsidRPr="006910D6">
              <w:t>Mansouri et al. [</w:t>
            </w:r>
            <w:r w:rsidR="005221C1">
              <w:rPr>
                <w:rFonts w:hint="eastAsia"/>
              </w:rPr>
              <w:t>33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1017D08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CA7A30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625670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23ED8521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A190ED0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E5A3ADF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469159C6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512DD5D3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670D1C6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6635534F" w14:textId="77777777" w:rsidTr="003D1457">
        <w:trPr>
          <w:trHeight w:val="315"/>
        </w:trPr>
        <w:tc>
          <w:tcPr>
            <w:tcW w:w="2694" w:type="dxa"/>
            <w:hideMark/>
          </w:tcPr>
          <w:p w14:paraId="71AEBC10" w14:textId="6F5FF9A2" w:rsidR="003D1457" w:rsidRPr="006910D6" w:rsidRDefault="003D1457" w:rsidP="003869E1">
            <w:pPr>
              <w:pStyle w:val="TableTextStyle"/>
            </w:pPr>
            <w:proofErr w:type="spellStart"/>
            <w:r w:rsidRPr="006910D6">
              <w:t>Manchukutty</w:t>
            </w:r>
            <w:proofErr w:type="spellEnd"/>
            <w:r w:rsidRPr="006910D6">
              <w:t xml:space="preserve"> et al. [</w:t>
            </w:r>
            <w:r w:rsidR="005221C1">
              <w:rPr>
                <w:rFonts w:hint="eastAsia"/>
              </w:rPr>
              <w:t>34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5771A62D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E00E9A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40FCB2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CF1BF8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514DA3DD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2A943EDC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143C5524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99B0A09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7BDCF1CE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3A67D803" w14:textId="77777777" w:rsidTr="003D1457">
        <w:trPr>
          <w:trHeight w:val="315"/>
        </w:trPr>
        <w:tc>
          <w:tcPr>
            <w:tcW w:w="2694" w:type="dxa"/>
            <w:hideMark/>
          </w:tcPr>
          <w:p w14:paraId="26C9F80F" w14:textId="0ED11DCC" w:rsidR="003D1457" w:rsidRPr="006910D6" w:rsidRDefault="003D1457" w:rsidP="003869E1">
            <w:pPr>
              <w:pStyle w:val="TableTextStyle"/>
            </w:pPr>
            <w:r w:rsidRPr="006910D6">
              <w:t>Samudrala et al. [</w:t>
            </w:r>
            <w:r w:rsidR="005221C1">
              <w:rPr>
                <w:rFonts w:hint="eastAsia"/>
              </w:rPr>
              <w:t>35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2D3E22A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3C52EC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EA0394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3C2EA8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7AB453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108BD7A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FDC043E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169BA6AD" w14:textId="77777777" w:rsidR="003D1457" w:rsidRPr="006910D6" w:rsidRDefault="003D1457" w:rsidP="003869E1">
            <w:pPr>
              <w:pStyle w:val="TableTextStyle"/>
            </w:pPr>
          </w:p>
        </w:tc>
        <w:tc>
          <w:tcPr>
            <w:tcW w:w="1512" w:type="dxa"/>
            <w:hideMark/>
          </w:tcPr>
          <w:p w14:paraId="6C5600C1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700A1913" w14:textId="77777777" w:rsidTr="003D1457">
        <w:trPr>
          <w:trHeight w:val="315"/>
        </w:trPr>
        <w:tc>
          <w:tcPr>
            <w:tcW w:w="2694" w:type="dxa"/>
            <w:hideMark/>
          </w:tcPr>
          <w:p w14:paraId="3CD6B425" w14:textId="6782BA35" w:rsidR="003D1457" w:rsidRPr="006910D6" w:rsidRDefault="003D1457" w:rsidP="003869E1">
            <w:pPr>
              <w:pStyle w:val="TableTextStyle"/>
            </w:pPr>
            <w:r w:rsidRPr="006910D6">
              <w:t>Patel [</w:t>
            </w:r>
            <w:r w:rsidR="005221C1">
              <w:rPr>
                <w:rFonts w:hint="eastAsia"/>
              </w:rPr>
              <w:t>36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13C9CD1B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FCE3A3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59CD6D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CEA645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718824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24B80E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59C782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EBA5B64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2E50E265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05D4B10A" w14:textId="77777777" w:rsidTr="003D1457">
        <w:trPr>
          <w:trHeight w:val="315"/>
        </w:trPr>
        <w:tc>
          <w:tcPr>
            <w:tcW w:w="2694" w:type="dxa"/>
            <w:hideMark/>
          </w:tcPr>
          <w:p w14:paraId="4E70ECAE" w14:textId="1E47BF6A" w:rsidR="003D1457" w:rsidRPr="006910D6" w:rsidRDefault="003D1457" w:rsidP="003869E1">
            <w:pPr>
              <w:pStyle w:val="TableTextStyle"/>
            </w:pPr>
            <w:r w:rsidRPr="006910D6">
              <w:t>Jiang et al. [</w:t>
            </w:r>
            <w:r w:rsidR="005221C1">
              <w:rPr>
                <w:rFonts w:hint="eastAsia"/>
              </w:rPr>
              <w:t>37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5D34B5F0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4A34932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DFE064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54393BA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C8740C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BCCF60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10714F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7BBA723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✗</w:t>
            </w:r>
          </w:p>
        </w:tc>
        <w:tc>
          <w:tcPr>
            <w:tcW w:w="1512" w:type="dxa"/>
            <w:hideMark/>
          </w:tcPr>
          <w:p w14:paraId="3507C31B" w14:textId="77777777" w:rsidR="003D1457" w:rsidRPr="006910D6" w:rsidRDefault="003D1457" w:rsidP="003869E1">
            <w:pPr>
              <w:pStyle w:val="TableTextStyle"/>
            </w:pPr>
          </w:p>
        </w:tc>
      </w:tr>
      <w:tr w:rsidR="003D1457" w:rsidRPr="006910D6" w14:paraId="216499D6" w14:textId="77777777" w:rsidTr="003D1457">
        <w:trPr>
          <w:trHeight w:val="315"/>
        </w:trPr>
        <w:tc>
          <w:tcPr>
            <w:tcW w:w="2694" w:type="dxa"/>
            <w:hideMark/>
          </w:tcPr>
          <w:p w14:paraId="4B987206" w14:textId="2BCF600D" w:rsidR="003D1457" w:rsidRPr="006910D6" w:rsidRDefault="003D1457" w:rsidP="003869E1">
            <w:pPr>
              <w:pStyle w:val="TableTextStyle"/>
            </w:pPr>
            <w:r w:rsidRPr="006910D6">
              <w:t>Li et al. [</w:t>
            </w:r>
            <w:r w:rsidR="005221C1">
              <w:rPr>
                <w:rFonts w:hint="eastAsia"/>
              </w:rPr>
              <w:t>38</w:t>
            </w:r>
            <w:r w:rsidRPr="006910D6">
              <w:t>]</w:t>
            </w:r>
          </w:p>
        </w:tc>
        <w:tc>
          <w:tcPr>
            <w:tcW w:w="1512" w:type="dxa"/>
            <w:hideMark/>
          </w:tcPr>
          <w:p w14:paraId="325B1C28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C540B6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6F46B606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06C20031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5B8DFC97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1200DCF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75BEC00C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31DA8452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12" w:type="dxa"/>
            <w:hideMark/>
          </w:tcPr>
          <w:p w14:paraId="27131049" w14:textId="77777777" w:rsidR="003D1457" w:rsidRPr="006910D6" w:rsidRDefault="003D1457" w:rsidP="003869E1">
            <w:pPr>
              <w:pStyle w:val="TableTextStyle"/>
            </w:pPr>
            <w:r w:rsidRPr="006910D6">
              <w:rPr>
                <w:rFonts w:ascii="Segoe UI Symbol" w:hAnsi="Segoe UI Symbol" w:cs="Segoe UI Symbol"/>
              </w:rPr>
              <w:t>✓</w:t>
            </w:r>
          </w:p>
        </w:tc>
      </w:tr>
      <w:tr w:rsidR="003D1457" w:rsidRPr="006910D6" w14:paraId="5C8E9FE4" w14:textId="77777777" w:rsidTr="003D1457">
        <w:trPr>
          <w:trHeight w:val="315"/>
        </w:trPr>
        <w:tc>
          <w:tcPr>
            <w:tcW w:w="2694" w:type="dxa"/>
            <w:hideMark/>
          </w:tcPr>
          <w:p w14:paraId="2B6E6E00" w14:textId="77777777" w:rsidR="003D1457" w:rsidRPr="006910D6" w:rsidRDefault="003D1457" w:rsidP="003869E1">
            <w:pPr>
              <w:pStyle w:val="TableTextStyle"/>
            </w:pPr>
            <w:r w:rsidRPr="006910D6">
              <w:lastRenderedPageBreak/>
              <w:t>Failures / Assessed</w:t>
            </w:r>
          </w:p>
        </w:tc>
        <w:tc>
          <w:tcPr>
            <w:tcW w:w="1512" w:type="dxa"/>
            <w:hideMark/>
          </w:tcPr>
          <w:p w14:paraId="467EC5E0" w14:textId="77777777" w:rsidR="003D1457" w:rsidRPr="006910D6" w:rsidRDefault="003D1457" w:rsidP="003869E1">
            <w:pPr>
              <w:pStyle w:val="TableTextStyle"/>
            </w:pPr>
            <w:r w:rsidRPr="006910D6">
              <w:t>0 / 38</w:t>
            </w:r>
          </w:p>
        </w:tc>
        <w:tc>
          <w:tcPr>
            <w:tcW w:w="1512" w:type="dxa"/>
            <w:hideMark/>
          </w:tcPr>
          <w:p w14:paraId="0879EDFB" w14:textId="77777777" w:rsidR="003D1457" w:rsidRPr="006910D6" w:rsidRDefault="003D1457" w:rsidP="003869E1">
            <w:pPr>
              <w:pStyle w:val="TableTextStyle"/>
            </w:pPr>
            <w:r w:rsidRPr="006910D6">
              <w:t>0 / 38</w:t>
            </w:r>
          </w:p>
        </w:tc>
        <w:tc>
          <w:tcPr>
            <w:tcW w:w="1512" w:type="dxa"/>
            <w:hideMark/>
          </w:tcPr>
          <w:p w14:paraId="48AB7439" w14:textId="77777777" w:rsidR="003D1457" w:rsidRPr="006910D6" w:rsidRDefault="003D1457" w:rsidP="003869E1">
            <w:pPr>
              <w:pStyle w:val="TableTextStyle"/>
            </w:pPr>
            <w:r w:rsidRPr="006910D6">
              <w:t>9 / 38</w:t>
            </w:r>
          </w:p>
        </w:tc>
        <w:tc>
          <w:tcPr>
            <w:tcW w:w="1512" w:type="dxa"/>
            <w:hideMark/>
          </w:tcPr>
          <w:p w14:paraId="749697D4" w14:textId="77777777" w:rsidR="003D1457" w:rsidRPr="006910D6" w:rsidRDefault="003D1457" w:rsidP="003869E1">
            <w:pPr>
              <w:pStyle w:val="TableTextStyle"/>
            </w:pPr>
            <w:r w:rsidRPr="006910D6">
              <w:t>9 / 29</w:t>
            </w:r>
          </w:p>
        </w:tc>
        <w:tc>
          <w:tcPr>
            <w:tcW w:w="1512" w:type="dxa"/>
            <w:hideMark/>
          </w:tcPr>
          <w:p w14:paraId="504B9A26" w14:textId="77777777" w:rsidR="003D1457" w:rsidRPr="006910D6" w:rsidRDefault="003D1457" w:rsidP="003869E1">
            <w:pPr>
              <w:pStyle w:val="TableTextStyle"/>
            </w:pPr>
            <w:r w:rsidRPr="006910D6">
              <w:t>0 / 20</w:t>
            </w:r>
          </w:p>
        </w:tc>
        <w:tc>
          <w:tcPr>
            <w:tcW w:w="1512" w:type="dxa"/>
            <w:hideMark/>
          </w:tcPr>
          <w:p w14:paraId="7F6580A3" w14:textId="77777777" w:rsidR="003D1457" w:rsidRPr="006910D6" w:rsidRDefault="003D1457" w:rsidP="003869E1">
            <w:pPr>
              <w:pStyle w:val="TableTextStyle"/>
            </w:pPr>
            <w:r w:rsidRPr="006910D6">
              <w:t>0 / 20</w:t>
            </w:r>
          </w:p>
        </w:tc>
        <w:tc>
          <w:tcPr>
            <w:tcW w:w="1512" w:type="dxa"/>
            <w:hideMark/>
          </w:tcPr>
          <w:p w14:paraId="7404EF70" w14:textId="77777777" w:rsidR="003D1457" w:rsidRPr="006910D6" w:rsidRDefault="003D1457" w:rsidP="003869E1">
            <w:pPr>
              <w:pStyle w:val="TableTextStyle"/>
            </w:pPr>
            <w:r w:rsidRPr="006910D6">
              <w:t>1 / 20</w:t>
            </w:r>
          </w:p>
        </w:tc>
        <w:tc>
          <w:tcPr>
            <w:tcW w:w="1512" w:type="dxa"/>
            <w:hideMark/>
          </w:tcPr>
          <w:p w14:paraId="7C629033" w14:textId="77777777" w:rsidR="003D1457" w:rsidRPr="006910D6" w:rsidRDefault="003D1457" w:rsidP="003869E1">
            <w:pPr>
              <w:pStyle w:val="TableTextStyle"/>
            </w:pPr>
            <w:r w:rsidRPr="006910D6">
              <w:t>11 / 19</w:t>
            </w:r>
          </w:p>
        </w:tc>
        <w:tc>
          <w:tcPr>
            <w:tcW w:w="1512" w:type="dxa"/>
            <w:hideMark/>
          </w:tcPr>
          <w:p w14:paraId="6C42DFBF" w14:textId="77777777" w:rsidR="003D1457" w:rsidRPr="006910D6" w:rsidRDefault="003D1457" w:rsidP="003869E1">
            <w:pPr>
              <w:pStyle w:val="TableTextStyle"/>
            </w:pPr>
            <w:r w:rsidRPr="006910D6">
              <w:t>2 / 8</w:t>
            </w:r>
          </w:p>
        </w:tc>
      </w:tr>
    </w:tbl>
    <w:p w14:paraId="3826FBD5" w14:textId="77777777" w:rsidR="003D1457" w:rsidRDefault="003D1457" w:rsidP="004A6CD6"/>
    <w:p w14:paraId="13DBEC88" w14:textId="77777777" w:rsidR="003D1457" w:rsidRDefault="003D1457" w:rsidP="004A6CD6"/>
    <w:p w14:paraId="0FD13BBE" w14:textId="77777777" w:rsidR="003D1457" w:rsidRDefault="003D1457" w:rsidP="004A6CD6"/>
    <w:p w14:paraId="13B73DE1" w14:textId="77777777" w:rsidR="003D1457" w:rsidRDefault="003D1457" w:rsidP="004A6CD6"/>
    <w:p w14:paraId="347EBDC0" w14:textId="77777777" w:rsidR="003D1457" w:rsidRDefault="003D1457" w:rsidP="004A6CD6"/>
    <w:p w14:paraId="4892AF90" w14:textId="77777777" w:rsidR="003D1457" w:rsidRDefault="003D1457" w:rsidP="004A6CD6"/>
    <w:p w14:paraId="65036517" w14:textId="77777777" w:rsidR="003D1457" w:rsidRDefault="003D1457" w:rsidP="004A6CD6"/>
    <w:p w14:paraId="63FEC4E0" w14:textId="5DBC35CB" w:rsidR="003D1457" w:rsidRDefault="005221C1" w:rsidP="005221C1">
      <w:pPr>
        <w:pStyle w:val="Heading1"/>
      </w:pPr>
      <w:r w:rsidRPr="005221C1">
        <w:t>References for Supplementary Material</w:t>
      </w:r>
    </w:p>
    <w:p w14:paraId="065D6229" w14:textId="77777777" w:rsidR="005221C1" w:rsidRDefault="005221C1" w:rsidP="005221C1">
      <w:pPr>
        <w:pStyle w:val="References"/>
      </w:pPr>
      <w:r>
        <w:rPr>
          <w:rFonts w:hint="eastAsia"/>
        </w:rPr>
        <w:t>1</w:t>
      </w:r>
      <w:r w:rsidRPr="00452BB5">
        <w:rPr>
          <w:rFonts w:hint="eastAsia"/>
        </w:rPr>
        <w:t xml:space="preserve">. </w:t>
      </w:r>
      <w:proofErr w:type="spellStart"/>
      <w:r w:rsidRPr="00452BB5">
        <w:rPr>
          <w:rFonts w:hint="eastAsia"/>
        </w:rPr>
        <w:t>Mazzatenta</w:t>
      </w:r>
      <w:proofErr w:type="spellEnd"/>
      <w:r w:rsidRPr="00452BB5">
        <w:rPr>
          <w:rFonts w:hint="eastAsia"/>
        </w:rPr>
        <w:t xml:space="preserve"> A, Pokorski M, Di Giulio C. Real-time breath analysis in type 2 diabetes patients during cognitive effort. Adv Exp Med Biol. 2013;788 (</w:t>
      </w:r>
      <w:proofErr w:type="spellStart"/>
      <w:r w:rsidRPr="00452BB5">
        <w:rPr>
          <w:rFonts w:hint="eastAsia"/>
        </w:rPr>
        <w:t>Mazzatenta</w:t>
      </w:r>
      <w:proofErr w:type="spellEnd"/>
      <w:r w:rsidRPr="00452BB5">
        <w:rPr>
          <w:rFonts w:hint="eastAsia"/>
        </w:rPr>
        <w:t xml:space="preserve"> A.; Di Giulio C.) Sensorial Physiology Unit, Department of Neuroscience and Imaging, University of Chieti-Pescara </w:t>
      </w:r>
      <w:r w:rsidRPr="00452BB5">
        <w:rPr>
          <w:rFonts w:hint="eastAsia"/>
        </w:rPr>
        <w:t>“</w:t>
      </w:r>
      <w:r w:rsidRPr="00452BB5">
        <w:rPr>
          <w:rFonts w:hint="eastAsia"/>
        </w:rPr>
        <w:t>G. d</w:t>
      </w:r>
      <w:r w:rsidRPr="00452BB5">
        <w:rPr>
          <w:rFonts w:hint="eastAsia"/>
        </w:rPr>
        <w:t>’</w:t>
      </w:r>
      <w:r w:rsidRPr="00452BB5">
        <w:rPr>
          <w:rFonts w:hint="eastAsia"/>
        </w:rPr>
        <w:t>Annunzio,</w:t>
      </w:r>
      <w:r w:rsidRPr="00452BB5">
        <w:rPr>
          <w:rFonts w:hint="eastAsia"/>
        </w:rPr>
        <w:t>”</w:t>
      </w:r>
      <w:r w:rsidRPr="00452BB5">
        <w:rPr>
          <w:rFonts w:hint="eastAsia"/>
        </w:rPr>
        <w:t xml:space="preserve"> Chieti, Italy:247</w:t>
      </w:r>
      <w:r w:rsidRPr="00452BB5">
        <w:rPr>
          <w:rFonts w:hint="eastAsia"/>
        </w:rPr>
        <w:t>–</w:t>
      </w:r>
      <w:r w:rsidRPr="00452BB5">
        <w:rPr>
          <w:rFonts w:hint="eastAsia"/>
        </w:rPr>
        <w:t xml:space="preserve">53. </w:t>
      </w:r>
      <w:hyperlink r:id="rId6" w:history="1">
        <w:r w:rsidRPr="00203743">
          <w:rPr>
            <w:rStyle w:val="af3"/>
            <w:rFonts w:hint="eastAsia"/>
          </w:rPr>
          <w:t>https://doi.org/10.1007/978-94-007-6627-3-35</w:t>
        </w:r>
      </w:hyperlink>
      <w:r w:rsidRPr="00452BB5">
        <w:rPr>
          <w:rFonts w:hint="eastAsia"/>
        </w:rPr>
        <w:t>.</w:t>
      </w:r>
    </w:p>
    <w:p w14:paraId="478B6E2D" w14:textId="77777777" w:rsidR="005221C1" w:rsidRDefault="005221C1" w:rsidP="005221C1">
      <w:pPr>
        <w:pStyle w:val="References"/>
        <w:rPr>
          <w:lang w:val="de-DE"/>
        </w:rPr>
      </w:pPr>
      <w:r>
        <w:rPr>
          <w:rFonts w:hint="eastAsia"/>
        </w:rPr>
        <w:t xml:space="preserve">2. Phillips M, Cataneo RN, Cheema T, Greenberg J. Increased breath biomarkers of oxidative stress in diabetes mellitus. </w:t>
      </w:r>
      <w:r w:rsidRPr="00452BB5">
        <w:rPr>
          <w:rFonts w:hint="eastAsia"/>
          <w:lang w:val="de-DE"/>
        </w:rPr>
        <w:t>Clin Chim Acta. 2004;344:189</w:t>
      </w:r>
      <w:r w:rsidRPr="00452BB5">
        <w:rPr>
          <w:rFonts w:hint="eastAsia"/>
          <w:lang w:val="de-DE"/>
        </w:rPr>
        <w:t>–</w:t>
      </w:r>
      <w:r w:rsidRPr="00452BB5">
        <w:rPr>
          <w:rFonts w:hint="eastAsia"/>
          <w:lang w:val="de-DE"/>
        </w:rPr>
        <w:t xml:space="preserve">94. </w:t>
      </w:r>
      <w:r>
        <w:rPr>
          <w:lang w:val="de-DE"/>
        </w:rPr>
        <w:fldChar w:fldCharType="begin"/>
      </w:r>
      <w:r>
        <w:rPr>
          <w:rFonts w:hint="eastAsia"/>
          <w:lang w:val="de-DE"/>
        </w:rPr>
        <w:instrText>HYPERLINK "</w:instrText>
      </w:r>
      <w:r w:rsidRPr="00452BB5">
        <w:rPr>
          <w:rFonts w:hint="eastAsia"/>
          <w:lang w:val="de-DE"/>
        </w:rPr>
        <w:instrText>https://doi.org/10.1016/j.cccn.2004.02.025</w:instrText>
      </w:r>
      <w:r>
        <w:rPr>
          <w:rFonts w:hint="eastAsia"/>
          <w:lang w:val="de-DE"/>
        </w:rPr>
        <w:instrText>"</w:instrText>
      </w:r>
      <w:r>
        <w:rPr>
          <w:lang w:val="de-DE"/>
        </w:rPr>
        <w:fldChar w:fldCharType="separate"/>
      </w:r>
      <w:r w:rsidRPr="00203743">
        <w:rPr>
          <w:rStyle w:val="af3"/>
          <w:rFonts w:hint="eastAsia"/>
          <w:lang w:val="de-DE"/>
        </w:rPr>
        <w:t>https://doi.org/10.1016/j.cccn.2004.02.025</w:t>
      </w:r>
      <w:r>
        <w:rPr>
          <w:lang w:val="de-DE"/>
        </w:rPr>
        <w:fldChar w:fldCharType="end"/>
      </w:r>
      <w:r w:rsidRPr="00452BB5">
        <w:rPr>
          <w:rFonts w:hint="eastAsia"/>
          <w:lang w:val="de-DE"/>
        </w:rPr>
        <w:t>.</w:t>
      </w:r>
    </w:p>
    <w:p w14:paraId="4B0E7F6D" w14:textId="77777777" w:rsidR="005221C1" w:rsidRPr="00452BB5" w:rsidRDefault="005221C1" w:rsidP="005221C1">
      <w:pPr>
        <w:pStyle w:val="References"/>
        <w:rPr>
          <w:lang w:val="de-DE"/>
        </w:rPr>
      </w:pPr>
      <w:r>
        <w:rPr>
          <w:rFonts w:hint="eastAsia"/>
          <w:lang w:val="de-DE"/>
        </w:rPr>
        <w:t>3</w:t>
      </w:r>
      <w:r w:rsidRPr="00452BB5">
        <w:rPr>
          <w:rFonts w:hint="eastAsia"/>
          <w:lang w:val="de-DE"/>
        </w:rPr>
        <w:t xml:space="preserve">. Greiter MB, Keck L, Siegmund T, Hoeschen C, Oeh U, Paretzke HG. </w:t>
      </w:r>
      <w:r>
        <w:rPr>
          <w:rFonts w:hint="eastAsia"/>
        </w:rPr>
        <w:t xml:space="preserve">Differences in exhaled gas profiles between patients with type 2 diabetes and healthy controls. </w:t>
      </w:r>
      <w:r w:rsidRPr="006910D6">
        <w:rPr>
          <w:rFonts w:hint="eastAsia"/>
          <w:lang w:val="de-DE"/>
        </w:rPr>
        <w:t>Diabetes Technol Ther. 2010;12:455</w:t>
      </w:r>
      <w:r w:rsidRPr="006910D6">
        <w:rPr>
          <w:rFonts w:hint="eastAsia"/>
          <w:lang w:val="de-DE"/>
        </w:rPr>
        <w:t>–</w:t>
      </w:r>
      <w:r w:rsidRPr="006910D6">
        <w:rPr>
          <w:rFonts w:hint="eastAsia"/>
          <w:lang w:val="de-DE"/>
        </w:rPr>
        <w:t xml:space="preserve">63. </w:t>
      </w:r>
      <w:r>
        <w:fldChar w:fldCharType="begin"/>
      </w:r>
      <w:r w:rsidRPr="006910D6">
        <w:rPr>
          <w:rFonts w:hint="eastAsia"/>
          <w:lang w:val="de-DE"/>
        </w:rPr>
        <w:instrText>HYPERLINK "https://doi.org/10.1089/dia.2009.0181"</w:instrText>
      </w:r>
      <w:r>
        <w:fldChar w:fldCharType="separate"/>
      </w:r>
      <w:r w:rsidRPr="00452BB5">
        <w:rPr>
          <w:rStyle w:val="af3"/>
          <w:rFonts w:hint="eastAsia"/>
          <w:lang w:val="de-DE"/>
        </w:rPr>
        <w:t>https://doi.org/10.1089/dia.2009.0181</w:t>
      </w:r>
      <w:r>
        <w:fldChar w:fldCharType="end"/>
      </w:r>
      <w:r w:rsidRPr="00452BB5">
        <w:rPr>
          <w:rFonts w:hint="eastAsia"/>
          <w:lang w:val="de-DE"/>
        </w:rPr>
        <w:t>.</w:t>
      </w:r>
    </w:p>
    <w:p w14:paraId="063B5297" w14:textId="77777777" w:rsidR="005221C1" w:rsidRDefault="005221C1" w:rsidP="005221C1">
      <w:pPr>
        <w:pStyle w:val="References"/>
      </w:pPr>
      <w:r>
        <w:rPr>
          <w:rFonts w:hint="eastAsia"/>
          <w:lang w:val="de-DE"/>
        </w:rPr>
        <w:lastRenderedPageBreak/>
        <w:t>4</w:t>
      </w:r>
      <w:r w:rsidRPr="00452BB5">
        <w:rPr>
          <w:rFonts w:hint="eastAsia"/>
          <w:lang w:val="de-DE"/>
        </w:rPr>
        <w:t xml:space="preserve">. Worrall AD, Qian Z, Bernstein JA, Angelopoulos AP. </w:t>
      </w:r>
      <w:r>
        <w:rPr>
          <w:rFonts w:hint="eastAsia"/>
        </w:rPr>
        <w:t xml:space="preserve">Water-resistant polymeric acid membrane catalyst for acetone detection in the exhaled breath of diabetics. Anal Chem. </w:t>
      </w:r>
      <w:proofErr w:type="gramStart"/>
      <w:r>
        <w:rPr>
          <w:rFonts w:hint="eastAsia"/>
        </w:rPr>
        <w:t>2018;90:1819</w:t>
      </w:r>
      <w:proofErr w:type="gramEnd"/>
      <w:r>
        <w:rPr>
          <w:rFonts w:hint="eastAsia"/>
        </w:rPr>
        <w:t>–</w:t>
      </w:r>
      <w:r>
        <w:rPr>
          <w:rFonts w:hint="eastAsia"/>
        </w:rPr>
        <w:t xml:space="preserve">26. </w:t>
      </w:r>
      <w:hyperlink r:id="rId7" w:history="1">
        <w:r w:rsidRPr="00203743">
          <w:rPr>
            <w:rStyle w:val="af3"/>
            <w:rFonts w:hint="eastAsia"/>
          </w:rPr>
          <w:t>https://doi.org/10.1021/acs.analchem.7b03808</w:t>
        </w:r>
      </w:hyperlink>
      <w:r>
        <w:rPr>
          <w:rFonts w:hint="eastAsia"/>
        </w:rPr>
        <w:t>.</w:t>
      </w:r>
    </w:p>
    <w:p w14:paraId="2CDC241A" w14:textId="77777777" w:rsidR="005221C1" w:rsidRDefault="005221C1" w:rsidP="005221C1">
      <w:pPr>
        <w:pStyle w:val="References"/>
      </w:pPr>
      <w:r w:rsidRPr="005221C1">
        <w:rPr>
          <w:rFonts w:hint="eastAsia"/>
        </w:rPr>
        <w:t xml:space="preserve">5. Goerl T, </w:t>
      </w:r>
      <w:proofErr w:type="spellStart"/>
      <w:r w:rsidRPr="005221C1">
        <w:rPr>
          <w:rFonts w:hint="eastAsia"/>
        </w:rPr>
        <w:t>Kischkel</w:t>
      </w:r>
      <w:proofErr w:type="spellEnd"/>
      <w:r w:rsidRPr="005221C1">
        <w:rPr>
          <w:rFonts w:hint="eastAsia"/>
        </w:rPr>
        <w:t xml:space="preserve"> S, </w:t>
      </w:r>
      <w:proofErr w:type="spellStart"/>
      <w:r w:rsidRPr="005221C1">
        <w:rPr>
          <w:rFonts w:hint="eastAsia"/>
        </w:rPr>
        <w:t>Sawacki</w:t>
      </w:r>
      <w:proofErr w:type="spellEnd"/>
      <w:r w:rsidRPr="005221C1">
        <w:rPr>
          <w:rFonts w:hint="eastAsia"/>
        </w:rPr>
        <w:t xml:space="preserve"> A, Fuchs P, </w:t>
      </w:r>
      <w:proofErr w:type="spellStart"/>
      <w:r w:rsidRPr="005221C1">
        <w:rPr>
          <w:rFonts w:hint="eastAsia"/>
        </w:rPr>
        <w:t>Miekisch</w:t>
      </w:r>
      <w:proofErr w:type="spellEnd"/>
      <w:r w:rsidRPr="005221C1">
        <w:rPr>
          <w:rFonts w:hint="eastAsia"/>
        </w:rPr>
        <w:t xml:space="preserve"> W, Schubert JK. </w:t>
      </w:r>
      <w:r>
        <w:rPr>
          <w:rFonts w:hint="eastAsia"/>
        </w:rPr>
        <w:t xml:space="preserve">Volatile breath biomarkers for patient monitoring during </w:t>
      </w:r>
      <w:proofErr w:type="spellStart"/>
      <w:r>
        <w:rPr>
          <w:rFonts w:hint="eastAsia"/>
        </w:rPr>
        <w:t>haemodialysis</w:t>
      </w:r>
      <w:proofErr w:type="spellEnd"/>
      <w:r>
        <w:rPr>
          <w:rFonts w:hint="eastAsia"/>
        </w:rPr>
        <w:t xml:space="preserve">. J Breath Res. </w:t>
      </w:r>
      <w:proofErr w:type="gramStart"/>
      <w:r>
        <w:rPr>
          <w:rFonts w:hint="eastAsia"/>
        </w:rPr>
        <w:t>2013;7:17116</w:t>
      </w:r>
      <w:proofErr w:type="gramEnd"/>
      <w:r>
        <w:rPr>
          <w:rFonts w:hint="eastAsia"/>
        </w:rPr>
        <w:t xml:space="preserve">. </w:t>
      </w:r>
      <w:hyperlink r:id="rId8" w:history="1">
        <w:r w:rsidRPr="00203743">
          <w:rPr>
            <w:rStyle w:val="af3"/>
            <w:rFonts w:hint="eastAsia"/>
          </w:rPr>
          <w:t>https://doi.org/10.1088/1752-7155/7/1/017116</w:t>
        </w:r>
      </w:hyperlink>
      <w:r>
        <w:rPr>
          <w:rFonts w:hint="eastAsia"/>
        </w:rPr>
        <w:t>.</w:t>
      </w:r>
    </w:p>
    <w:p w14:paraId="1461CA98" w14:textId="77777777" w:rsidR="005221C1" w:rsidRDefault="005221C1" w:rsidP="005221C1">
      <w:pPr>
        <w:pStyle w:val="References"/>
        <w:rPr>
          <w:rFonts w:hint="eastAsia"/>
        </w:rPr>
      </w:pPr>
      <w:r>
        <w:rPr>
          <w:rFonts w:hint="eastAsia"/>
        </w:rPr>
        <w:t>6. Kudo Y, Kino S, Matsuura Y. Vacuum ultraviolet absorption spectroscopy analysis of breath acetone using a hollow optical fiber gas cell. Sens (</w:t>
      </w:r>
      <w:proofErr w:type="spellStart"/>
      <w:r>
        <w:rPr>
          <w:rFonts w:hint="eastAsia"/>
        </w:rPr>
        <w:t>basel</w:t>
      </w:r>
      <w:proofErr w:type="spellEnd"/>
      <w:r>
        <w:rPr>
          <w:rFonts w:hint="eastAsia"/>
        </w:rPr>
        <w:t xml:space="preserve"> Switz). </w:t>
      </w:r>
      <w:proofErr w:type="gramStart"/>
      <w:r>
        <w:rPr>
          <w:rFonts w:hint="eastAsia"/>
        </w:rPr>
        <w:t>2021;21:478</w:t>
      </w:r>
      <w:proofErr w:type="gramEnd"/>
      <w:r>
        <w:rPr>
          <w:rFonts w:hint="eastAsia"/>
        </w:rPr>
        <w:t xml:space="preserve">. </w:t>
      </w:r>
      <w:hyperlink r:id="rId9" w:history="1">
        <w:r w:rsidRPr="00203743">
          <w:rPr>
            <w:rStyle w:val="af3"/>
            <w:rFonts w:hint="eastAsia"/>
          </w:rPr>
          <w:t>https://doi.org/10.3390/s21020478</w:t>
        </w:r>
      </w:hyperlink>
      <w:r>
        <w:rPr>
          <w:rFonts w:hint="eastAsia"/>
        </w:rPr>
        <w:t>.</w:t>
      </w:r>
    </w:p>
    <w:p w14:paraId="06A5F832" w14:textId="77777777" w:rsidR="005221C1" w:rsidRDefault="005221C1" w:rsidP="005221C1">
      <w:pPr>
        <w:pStyle w:val="References"/>
      </w:pPr>
      <w:r>
        <w:rPr>
          <w:rFonts w:hint="eastAsia"/>
        </w:rPr>
        <w:t xml:space="preserve">7. Walton C, Patel M, Pitts D, Knight P, Hoashi S, Evans M, et al. The use of a portable breath analysis device in monitoring type 1 diabetes patients in a </w:t>
      </w:r>
      <w:proofErr w:type="spellStart"/>
      <w:r>
        <w:rPr>
          <w:rFonts w:hint="eastAsia"/>
        </w:rPr>
        <w:t>hypoglycaemic</w:t>
      </w:r>
      <w:proofErr w:type="spellEnd"/>
      <w:r>
        <w:rPr>
          <w:rFonts w:hint="eastAsia"/>
        </w:rPr>
        <w:t xml:space="preserve"> clamp: validation with SIFT-MS data. J Breath Res. </w:t>
      </w:r>
      <w:proofErr w:type="gramStart"/>
      <w:r>
        <w:rPr>
          <w:rFonts w:hint="eastAsia"/>
        </w:rPr>
        <w:t>2014;8:37108</w:t>
      </w:r>
      <w:proofErr w:type="gramEnd"/>
      <w:r>
        <w:rPr>
          <w:rFonts w:hint="eastAsia"/>
        </w:rPr>
        <w:t xml:space="preserve">. </w:t>
      </w:r>
      <w:hyperlink r:id="rId10" w:history="1">
        <w:r w:rsidRPr="00203743">
          <w:rPr>
            <w:rStyle w:val="af3"/>
            <w:rFonts w:hint="eastAsia"/>
          </w:rPr>
          <w:t>https://doi.org/10.1088/1752-7155/8/3/037108</w:t>
        </w:r>
      </w:hyperlink>
      <w:r>
        <w:rPr>
          <w:rFonts w:hint="eastAsia"/>
        </w:rPr>
        <w:t>.</w:t>
      </w:r>
    </w:p>
    <w:p w14:paraId="282F5AE0" w14:textId="77777777" w:rsidR="005221C1" w:rsidRDefault="005221C1" w:rsidP="005221C1">
      <w:pPr>
        <w:pStyle w:val="References"/>
      </w:pPr>
      <w:r>
        <w:rPr>
          <w:rFonts w:hint="eastAsia"/>
        </w:rPr>
        <w:t xml:space="preserve">8. Grabowska-Polanowska B, Skowron M, </w:t>
      </w:r>
      <w:proofErr w:type="spellStart"/>
      <w:r>
        <w:rPr>
          <w:rFonts w:hint="eastAsia"/>
        </w:rPr>
        <w:t>Miarka</w:t>
      </w:r>
      <w:proofErr w:type="spellEnd"/>
      <w:r>
        <w:rPr>
          <w:rFonts w:hint="eastAsia"/>
        </w:rPr>
        <w:t xml:space="preserve"> P, </w:t>
      </w:r>
      <w:proofErr w:type="spellStart"/>
      <w:r>
        <w:rPr>
          <w:rFonts w:hint="eastAsia"/>
        </w:rPr>
        <w:t>Pietrzycka</w:t>
      </w:r>
      <w:proofErr w:type="spellEnd"/>
      <w:r>
        <w:rPr>
          <w:rFonts w:hint="eastAsia"/>
        </w:rPr>
        <w:t xml:space="preserve"> A, </w:t>
      </w:r>
      <w:proofErr w:type="spellStart"/>
      <w:r>
        <w:rPr>
          <w:rFonts w:ascii="Cambria" w:hAnsi="Cambria" w:cs="Cambria"/>
        </w:rPr>
        <w:t>Ś</w:t>
      </w:r>
      <w:r>
        <w:rPr>
          <w:rFonts w:hint="eastAsia"/>
        </w:rPr>
        <w:t>liwka</w:t>
      </w:r>
      <w:proofErr w:type="spellEnd"/>
      <w:r>
        <w:rPr>
          <w:rFonts w:hint="eastAsia"/>
        </w:rPr>
        <w:t xml:space="preserve"> I. The application of chromatographic breath analysis in the search of volatile biomarkers of chronic kidney disease and coexisting type 2 diabetes mellitus. J Chromatogr, B Anal Technol Biomed Life Sci. 2017;1060:103</w:t>
      </w:r>
      <w:r>
        <w:rPr>
          <w:rFonts w:hint="eastAsia"/>
        </w:rPr>
        <w:t>–</w:t>
      </w:r>
      <w:r>
        <w:rPr>
          <w:rFonts w:hint="eastAsia"/>
        </w:rPr>
        <w:t xml:space="preserve">10. </w:t>
      </w:r>
      <w:hyperlink r:id="rId11" w:history="1">
        <w:r w:rsidRPr="00203743">
          <w:rPr>
            <w:rStyle w:val="af3"/>
            <w:rFonts w:hint="eastAsia"/>
          </w:rPr>
          <w:t>https://doi.org/10.1016/j.jchromb.2017.05.030</w:t>
        </w:r>
      </w:hyperlink>
      <w:r>
        <w:rPr>
          <w:rFonts w:hint="eastAsia"/>
        </w:rPr>
        <w:t>.</w:t>
      </w:r>
    </w:p>
    <w:p w14:paraId="3BBE0C81" w14:textId="77777777" w:rsidR="005221C1" w:rsidRPr="00452BB5" w:rsidRDefault="005221C1" w:rsidP="005221C1">
      <w:pPr>
        <w:pStyle w:val="References"/>
      </w:pPr>
      <w:r>
        <w:rPr>
          <w:rFonts w:hint="eastAsia"/>
        </w:rPr>
        <w:t>9</w:t>
      </w:r>
      <w:r w:rsidRPr="00452BB5">
        <w:t xml:space="preserve">. Xing R, Xu L, Song J, Zhou C, Li Q, Liu D, et al. Preparation and gas sensing properties of In2O3/Au nanorods for detection of volatile organic compounds in exhaled breath. Sci Rep. </w:t>
      </w:r>
      <w:proofErr w:type="gramStart"/>
      <w:r w:rsidRPr="00452BB5">
        <w:t>2015;5:10717</w:t>
      </w:r>
      <w:proofErr w:type="gramEnd"/>
      <w:r w:rsidRPr="00452BB5">
        <w:t xml:space="preserve">. </w:t>
      </w:r>
      <w:hyperlink r:id="rId12" w:history="1">
        <w:r w:rsidRPr="00452BB5">
          <w:rPr>
            <w:rStyle w:val="af3"/>
          </w:rPr>
          <w:t>https://doi.org/10.1038/srep10717</w:t>
        </w:r>
      </w:hyperlink>
      <w:r w:rsidRPr="00452BB5">
        <w:t>.</w:t>
      </w:r>
    </w:p>
    <w:p w14:paraId="04F2957F" w14:textId="77777777" w:rsidR="005221C1" w:rsidRPr="00452BB5" w:rsidRDefault="005221C1" w:rsidP="005221C1">
      <w:pPr>
        <w:pStyle w:val="References"/>
      </w:pPr>
      <w:r>
        <w:rPr>
          <w:rFonts w:hint="eastAsia"/>
        </w:rPr>
        <w:lastRenderedPageBreak/>
        <w:t>10</w:t>
      </w:r>
      <w:r w:rsidRPr="00452BB5">
        <w:t xml:space="preserve">. </w:t>
      </w:r>
      <w:proofErr w:type="spellStart"/>
      <w:r w:rsidRPr="00452BB5">
        <w:t>Iscan</w:t>
      </w:r>
      <w:proofErr w:type="spellEnd"/>
      <w:r w:rsidRPr="00452BB5">
        <w:t xml:space="preserve"> TA, </w:t>
      </w:r>
      <w:proofErr w:type="spellStart"/>
      <w:r w:rsidRPr="00452BB5">
        <w:t>Ozsin-Ozler</w:t>
      </w:r>
      <w:proofErr w:type="spellEnd"/>
      <w:r w:rsidRPr="00452BB5">
        <w:t xml:space="preserve"> C, Ileri-</w:t>
      </w:r>
      <w:proofErr w:type="spellStart"/>
      <w:r w:rsidRPr="00452BB5">
        <w:t>Keceli</w:t>
      </w:r>
      <w:proofErr w:type="spellEnd"/>
      <w:r w:rsidRPr="00452BB5">
        <w:t xml:space="preserve"> T, </w:t>
      </w:r>
      <w:proofErr w:type="spellStart"/>
      <w:r w:rsidRPr="00452BB5">
        <w:t>Guciz</w:t>
      </w:r>
      <w:proofErr w:type="spellEnd"/>
      <w:r w:rsidRPr="00452BB5">
        <w:t xml:space="preserve">-Dogan B, </w:t>
      </w:r>
      <w:proofErr w:type="spellStart"/>
      <w:r w:rsidRPr="00452BB5">
        <w:t>Alikasifoglu</w:t>
      </w:r>
      <w:proofErr w:type="spellEnd"/>
      <w:r w:rsidRPr="00452BB5">
        <w:t xml:space="preserve"> A, </w:t>
      </w:r>
      <w:proofErr w:type="spellStart"/>
      <w:r w:rsidRPr="00452BB5">
        <w:t>Uzamis-Tekcicek</w:t>
      </w:r>
      <w:proofErr w:type="spellEnd"/>
      <w:r w:rsidRPr="00452BB5">
        <w:t xml:space="preserve"> M. Oral health and halitosis among type 1 diabetic and healthy children. J Breath Res. </w:t>
      </w:r>
      <w:proofErr w:type="gramStart"/>
      <w:r w:rsidRPr="00452BB5">
        <w:t>2020;14:36008</w:t>
      </w:r>
      <w:proofErr w:type="gramEnd"/>
      <w:r w:rsidRPr="00452BB5">
        <w:t xml:space="preserve">. </w:t>
      </w:r>
      <w:hyperlink r:id="rId13" w:history="1">
        <w:r w:rsidRPr="00452BB5">
          <w:rPr>
            <w:rStyle w:val="af3"/>
          </w:rPr>
          <w:t>https://doi.org/10.1088/1752-7163/ab8d8b</w:t>
        </w:r>
      </w:hyperlink>
      <w:r w:rsidRPr="00452BB5">
        <w:t>.</w:t>
      </w:r>
    </w:p>
    <w:p w14:paraId="695DDA70" w14:textId="77777777" w:rsidR="005221C1" w:rsidRPr="00452BB5" w:rsidRDefault="005221C1" w:rsidP="005221C1">
      <w:pPr>
        <w:pStyle w:val="References"/>
      </w:pPr>
      <w:r>
        <w:rPr>
          <w:rFonts w:hint="eastAsia"/>
        </w:rPr>
        <w:t>11</w:t>
      </w:r>
      <w:r w:rsidRPr="00452BB5">
        <w:t xml:space="preserve">. Gudiño-Ochoa A, García-Rodríguez JA, Ochoa-Ornelas R, Cuevas-Chávez JI, Sánchez-Arias DA. Noninvasive diabetes detection through human breath using </w:t>
      </w:r>
      <w:proofErr w:type="spellStart"/>
      <w:r w:rsidRPr="00452BB5">
        <w:t>TinyML</w:t>
      </w:r>
      <w:proofErr w:type="spellEnd"/>
      <w:r w:rsidRPr="00452BB5">
        <w:t>-powered E-nose. Sens (</w:t>
      </w:r>
      <w:proofErr w:type="spellStart"/>
      <w:r w:rsidRPr="00452BB5">
        <w:t>basel</w:t>
      </w:r>
      <w:proofErr w:type="spellEnd"/>
      <w:r w:rsidRPr="00452BB5">
        <w:t xml:space="preserve"> Switz). </w:t>
      </w:r>
      <w:proofErr w:type="gramStart"/>
      <w:r w:rsidRPr="00452BB5">
        <w:t>2024;24:1294</w:t>
      </w:r>
      <w:proofErr w:type="gramEnd"/>
      <w:r w:rsidRPr="00452BB5">
        <w:t xml:space="preserve">. </w:t>
      </w:r>
      <w:hyperlink r:id="rId14" w:history="1">
        <w:r w:rsidRPr="00452BB5">
          <w:rPr>
            <w:rStyle w:val="af3"/>
          </w:rPr>
          <w:t>https://doi.org/10.3390/s24041294</w:t>
        </w:r>
      </w:hyperlink>
      <w:r w:rsidRPr="00452BB5">
        <w:t>.</w:t>
      </w:r>
    </w:p>
    <w:p w14:paraId="5091E875" w14:textId="77777777" w:rsidR="005221C1" w:rsidRPr="00452BB5" w:rsidRDefault="005221C1" w:rsidP="005221C1">
      <w:pPr>
        <w:pStyle w:val="References"/>
      </w:pPr>
      <w:r>
        <w:rPr>
          <w:rFonts w:hint="eastAsia"/>
        </w:rPr>
        <w:t>12</w:t>
      </w:r>
      <w:r w:rsidRPr="00452BB5">
        <w:t xml:space="preserve">. </w:t>
      </w:r>
      <w:proofErr w:type="spellStart"/>
      <w:r w:rsidRPr="00452BB5">
        <w:t>Ghimenti</w:t>
      </w:r>
      <w:proofErr w:type="spellEnd"/>
      <w:r w:rsidRPr="00452BB5">
        <w:t xml:space="preserve"> S, </w:t>
      </w:r>
      <w:proofErr w:type="spellStart"/>
      <w:r w:rsidRPr="00452BB5">
        <w:t>Tabucchi</w:t>
      </w:r>
      <w:proofErr w:type="spellEnd"/>
      <w:r w:rsidRPr="00452BB5">
        <w:t xml:space="preserve"> S, Lomonaco T, Di Francesco F, Fuoco R, </w:t>
      </w:r>
      <w:proofErr w:type="spellStart"/>
      <w:r w:rsidRPr="00452BB5">
        <w:t>Onor</w:t>
      </w:r>
      <w:proofErr w:type="spellEnd"/>
      <w:r w:rsidRPr="00452BB5">
        <w:t xml:space="preserve"> M, et al. Monitoring breath during oral glucose tolerance tests. J Breath Res. </w:t>
      </w:r>
      <w:proofErr w:type="gramStart"/>
      <w:r w:rsidRPr="00452BB5">
        <w:t>2013;7:17115</w:t>
      </w:r>
      <w:proofErr w:type="gramEnd"/>
      <w:r w:rsidRPr="00452BB5">
        <w:t xml:space="preserve">. </w:t>
      </w:r>
      <w:hyperlink r:id="rId15" w:history="1">
        <w:r w:rsidRPr="00452BB5">
          <w:rPr>
            <w:rStyle w:val="af3"/>
          </w:rPr>
          <w:t>https://doi.org/10.1088/1752-7155/7/1/017115</w:t>
        </w:r>
      </w:hyperlink>
      <w:r w:rsidRPr="00452BB5">
        <w:t>.</w:t>
      </w:r>
    </w:p>
    <w:p w14:paraId="088FAE51" w14:textId="77777777" w:rsidR="005221C1" w:rsidRPr="00452BB5" w:rsidRDefault="005221C1" w:rsidP="005221C1">
      <w:pPr>
        <w:pStyle w:val="References"/>
      </w:pPr>
      <w:r w:rsidRPr="005221C1">
        <w:rPr>
          <w:rFonts w:hint="eastAsia"/>
        </w:rPr>
        <w:t>13</w:t>
      </w:r>
      <w:r w:rsidRPr="00452BB5">
        <w:t xml:space="preserve">. Yu L-Q, Su F-H, Ma M-Y, </w:t>
      </w:r>
      <w:proofErr w:type="spellStart"/>
      <w:r w:rsidRPr="00452BB5">
        <w:t>Lv</w:t>
      </w:r>
      <w:proofErr w:type="spellEnd"/>
      <w:r w:rsidRPr="00452BB5">
        <w:t xml:space="preserve"> Y-K. Metal-organic frameworks for the sorption of acetone and isopropanol in exhaled breath of diabetics prior to quantitation by gas chromatography. </w:t>
      </w:r>
      <w:proofErr w:type="spellStart"/>
      <w:r w:rsidRPr="00452BB5">
        <w:t>Mikrochim</w:t>
      </w:r>
      <w:proofErr w:type="spellEnd"/>
      <w:r w:rsidRPr="00452BB5">
        <w:t xml:space="preserve"> Acta. </w:t>
      </w:r>
      <w:proofErr w:type="gramStart"/>
      <w:r w:rsidRPr="00452BB5">
        <w:t>2019;186:588</w:t>
      </w:r>
      <w:proofErr w:type="gramEnd"/>
      <w:r w:rsidRPr="00452BB5">
        <w:t xml:space="preserve">. </w:t>
      </w:r>
      <w:hyperlink r:id="rId16" w:history="1">
        <w:r w:rsidRPr="00452BB5">
          <w:rPr>
            <w:rStyle w:val="af3"/>
          </w:rPr>
          <w:t>https://doi.org/10.1007/s00604-019-3713-1</w:t>
        </w:r>
      </w:hyperlink>
      <w:r w:rsidRPr="00452BB5">
        <w:t>.</w:t>
      </w:r>
    </w:p>
    <w:p w14:paraId="0B1F1CCA" w14:textId="77777777" w:rsidR="005221C1" w:rsidRPr="00452BB5" w:rsidRDefault="005221C1" w:rsidP="005221C1">
      <w:pPr>
        <w:pStyle w:val="References"/>
      </w:pPr>
      <w:r>
        <w:rPr>
          <w:rFonts w:hint="eastAsia"/>
        </w:rPr>
        <w:t>14</w:t>
      </w:r>
      <w:r w:rsidRPr="00452BB5">
        <w:t xml:space="preserve">. Fink H, </w:t>
      </w:r>
      <w:proofErr w:type="spellStart"/>
      <w:r w:rsidRPr="00452BB5">
        <w:t>Maihöfer</w:t>
      </w:r>
      <w:proofErr w:type="spellEnd"/>
      <w:r w:rsidRPr="00452BB5">
        <w:t xml:space="preserve"> T, Bender J, </w:t>
      </w:r>
      <w:proofErr w:type="spellStart"/>
      <w:r w:rsidRPr="00452BB5">
        <w:t>Schulat</w:t>
      </w:r>
      <w:proofErr w:type="spellEnd"/>
      <w:r w:rsidRPr="00452BB5">
        <w:t xml:space="preserve"> J. Indole as a new tentative marker in exhaled breath for non-invasive blood glucose monitoring of diabetic subjects. J Breath Res. 2022;16. </w:t>
      </w:r>
      <w:hyperlink r:id="rId17" w:history="1">
        <w:r w:rsidRPr="00452BB5">
          <w:rPr>
            <w:rStyle w:val="af3"/>
          </w:rPr>
          <w:t>https://doi.org/10.1088/1752-7163/ac4610</w:t>
        </w:r>
      </w:hyperlink>
      <w:r w:rsidRPr="00452BB5">
        <w:t>.</w:t>
      </w:r>
    </w:p>
    <w:p w14:paraId="43A0302C" w14:textId="77777777" w:rsidR="005221C1" w:rsidRPr="00452BB5" w:rsidRDefault="005221C1" w:rsidP="005221C1">
      <w:pPr>
        <w:pStyle w:val="References"/>
      </w:pPr>
      <w:r>
        <w:rPr>
          <w:rFonts w:hint="eastAsia"/>
        </w:rPr>
        <w:t>15</w:t>
      </w:r>
      <w:r w:rsidRPr="00452BB5">
        <w:t xml:space="preserve">. Yucel M, Akin O, </w:t>
      </w:r>
      <w:proofErr w:type="spellStart"/>
      <w:r w:rsidRPr="00452BB5">
        <w:t>Cayoren</w:t>
      </w:r>
      <w:proofErr w:type="spellEnd"/>
      <w:r w:rsidRPr="00452BB5">
        <w:t xml:space="preserve"> M, </w:t>
      </w:r>
      <w:proofErr w:type="spellStart"/>
      <w:r w:rsidRPr="00452BB5">
        <w:t>Akduman</w:t>
      </w:r>
      <w:proofErr w:type="spellEnd"/>
      <w:r w:rsidRPr="00452BB5">
        <w:t xml:space="preserve"> I, Palaniappan A, Liedberg B, et al. Hand-held </w:t>
      </w:r>
      <w:proofErr w:type="spellStart"/>
      <w:r w:rsidRPr="00452BB5">
        <w:t>volatilome</w:t>
      </w:r>
      <w:proofErr w:type="spellEnd"/>
      <w:r w:rsidRPr="00452BB5">
        <w:t xml:space="preserve"> analyzer based on elastically deformable nanofibers. Anal Chem. </w:t>
      </w:r>
      <w:proofErr w:type="gramStart"/>
      <w:r w:rsidRPr="00452BB5">
        <w:t>2018;90:5122</w:t>
      </w:r>
      <w:proofErr w:type="gramEnd"/>
      <w:r w:rsidRPr="00452BB5">
        <w:t xml:space="preserve">–9. </w:t>
      </w:r>
      <w:hyperlink r:id="rId18" w:history="1">
        <w:r w:rsidRPr="00452BB5">
          <w:rPr>
            <w:rStyle w:val="af3"/>
          </w:rPr>
          <w:t>https://doi.org/10.1021/acs.analchem.7b05187</w:t>
        </w:r>
      </w:hyperlink>
      <w:r w:rsidRPr="00452BB5">
        <w:t>.</w:t>
      </w:r>
    </w:p>
    <w:p w14:paraId="7364EA10" w14:textId="77777777" w:rsidR="005221C1" w:rsidRPr="00452BB5" w:rsidRDefault="005221C1" w:rsidP="005221C1">
      <w:pPr>
        <w:pStyle w:val="References"/>
      </w:pPr>
      <w:r>
        <w:rPr>
          <w:rFonts w:hint="eastAsia"/>
        </w:rPr>
        <w:t>16</w:t>
      </w:r>
      <w:r w:rsidRPr="00452BB5">
        <w:t xml:space="preserve">. Aleksić M, Simeon A, Vujić D, </w:t>
      </w:r>
      <w:proofErr w:type="spellStart"/>
      <w:r w:rsidRPr="00452BB5">
        <w:t>Giannoukos</w:t>
      </w:r>
      <w:proofErr w:type="spellEnd"/>
      <w:r w:rsidRPr="00452BB5">
        <w:t xml:space="preserve"> S, Brkić B. Food and lifestyle impact on breath VOCs using portable mass spectrometer-pilot study across </w:t>
      </w:r>
      <w:proofErr w:type="spellStart"/>
      <w:r w:rsidRPr="00452BB5">
        <w:t>european</w:t>
      </w:r>
      <w:proofErr w:type="spellEnd"/>
      <w:r w:rsidRPr="00452BB5">
        <w:t xml:space="preserve"> countries. J Breath Res. 2023;17. </w:t>
      </w:r>
      <w:hyperlink r:id="rId19" w:history="1">
        <w:r w:rsidRPr="00452BB5">
          <w:rPr>
            <w:rStyle w:val="af3"/>
          </w:rPr>
          <w:t>https://doi.org/10.1088/1752-7163/ace8b1</w:t>
        </w:r>
      </w:hyperlink>
      <w:r w:rsidRPr="00452BB5">
        <w:t>.</w:t>
      </w:r>
    </w:p>
    <w:p w14:paraId="01745F1A" w14:textId="77777777" w:rsidR="005221C1" w:rsidRPr="00452BB5" w:rsidRDefault="005221C1" w:rsidP="005221C1">
      <w:pPr>
        <w:pStyle w:val="References"/>
        <w:rPr>
          <w:lang w:val="de-DE"/>
        </w:rPr>
      </w:pPr>
      <w:r>
        <w:rPr>
          <w:rFonts w:hint="eastAsia"/>
        </w:rPr>
        <w:lastRenderedPageBreak/>
        <w:t>17</w:t>
      </w:r>
      <w:r w:rsidRPr="00452BB5">
        <w:t xml:space="preserve">. Yoshinaga K, </w:t>
      </w:r>
      <w:proofErr w:type="spellStart"/>
      <w:r w:rsidRPr="00452BB5">
        <w:t>Imasaka</w:t>
      </w:r>
      <w:proofErr w:type="spellEnd"/>
      <w:r w:rsidRPr="00452BB5">
        <w:t xml:space="preserve"> T, </w:t>
      </w:r>
      <w:proofErr w:type="spellStart"/>
      <w:r w:rsidRPr="00452BB5">
        <w:t>Imasaka</w:t>
      </w:r>
      <w:proofErr w:type="spellEnd"/>
      <w:r w:rsidRPr="00452BB5">
        <w:t xml:space="preserve"> T. Femtosecond laser ionization mass spectrometry for online analysis of human exhaled breath. </w:t>
      </w:r>
      <w:r w:rsidRPr="00452BB5">
        <w:rPr>
          <w:lang w:val="de-DE"/>
        </w:rPr>
        <w:t xml:space="preserve">Anal Chem. 2024;96:11542–8. </w:t>
      </w:r>
      <w:r w:rsidRPr="00452BB5">
        <w:rPr>
          <w:rFonts w:hint="eastAsia"/>
        </w:rPr>
        <w:fldChar w:fldCharType="begin"/>
      </w:r>
      <w:r w:rsidRPr="00452BB5">
        <w:rPr>
          <w:rFonts w:hint="eastAsia"/>
          <w:lang w:val="de-DE"/>
        </w:rPr>
        <w:instrText>HYPERLINK "https://doi.org/10.1021/acs.analchem.4c02214"</w:instrText>
      </w:r>
      <w:r w:rsidRPr="00452BB5">
        <w:rPr>
          <w:rFonts w:hint="eastAsia"/>
        </w:rPr>
      </w:r>
      <w:r w:rsidRPr="00452BB5">
        <w:rPr>
          <w:rFonts w:hint="eastAsia"/>
        </w:rPr>
        <w:fldChar w:fldCharType="separate"/>
      </w:r>
      <w:r w:rsidRPr="00452BB5">
        <w:rPr>
          <w:rStyle w:val="af3"/>
          <w:lang w:val="de-DE"/>
        </w:rPr>
        <w:t>https://doi.org/10.1021/acs.analchem.4c02214</w:t>
      </w:r>
      <w:r w:rsidRPr="00452BB5">
        <w:rPr>
          <w:rFonts w:hint="eastAsia"/>
        </w:rPr>
        <w:fldChar w:fldCharType="end"/>
      </w:r>
      <w:r w:rsidRPr="00452BB5">
        <w:rPr>
          <w:lang w:val="de-DE"/>
        </w:rPr>
        <w:t>.</w:t>
      </w:r>
    </w:p>
    <w:p w14:paraId="68712283" w14:textId="77777777" w:rsidR="005221C1" w:rsidRPr="00452BB5" w:rsidRDefault="005221C1" w:rsidP="005221C1">
      <w:pPr>
        <w:pStyle w:val="References"/>
      </w:pPr>
      <w:r>
        <w:rPr>
          <w:rFonts w:hint="eastAsia"/>
          <w:lang w:val="de-DE"/>
        </w:rPr>
        <w:t>18</w:t>
      </w:r>
      <w:r w:rsidRPr="00452BB5">
        <w:rPr>
          <w:lang w:val="de-DE"/>
        </w:rPr>
        <w:t xml:space="preserve">. Trefz P, Obermeier J, Lehbrink R, Schubert JK, Miekisch W, Fischer D-C. </w:t>
      </w:r>
      <w:r w:rsidRPr="00452BB5">
        <w:t xml:space="preserve">Exhaled volatile substances in children suffering from type 1 diabetes mellitus: results from a cross-sectional study. Sci Rep. </w:t>
      </w:r>
      <w:proofErr w:type="gramStart"/>
      <w:r w:rsidRPr="00452BB5">
        <w:t>2019;9:15707</w:t>
      </w:r>
      <w:proofErr w:type="gramEnd"/>
      <w:r w:rsidRPr="00452BB5">
        <w:t xml:space="preserve">. </w:t>
      </w:r>
      <w:hyperlink r:id="rId20" w:history="1">
        <w:r w:rsidRPr="00452BB5">
          <w:rPr>
            <w:rStyle w:val="af3"/>
          </w:rPr>
          <w:t>https://doi.org/10.1038/s41598-019-52165-x</w:t>
        </w:r>
      </w:hyperlink>
      <w:r w:rsidRPr="00452BB5">
        <w:t>.</w:t>
      </w:r>
    </w:p>
    <w:p w14:paraId="5745F307" w14:textId="77777777" w:rsidR="005221C1" w:rsidRPr="00452BB5" w:rsidRDefault="005221C1" w:rsidP="005221C1">
      <w:pPr>
        <w:pStyle w:val="References"/>
      </w:pPr>
      <w:r>
        <w:rPr>
          <w:rFonts w:hint="eastAsia"/>
        </w:rPr>
        <w:t>19</w:t>
      </w:r>
      <w:r w:rsidRPr="00452BB5">
        <w:t xml:space="preserve">. Novak BJ, Blake DR, </w:t>
      </w:r>
      <w:proofErr w:type="spellStart"/>
      <w:r w:rsidRPr="00452BB5">
        <w:t>Meinardi</w:t>
      </w:r>
      <w:proofErr w:type="spellEnd"/>
      <w:r w:rsidRPr="00452BB5">
        <w:t xml:space="preserve"> S, Rowland FS, Pontello A, Cooper DM, et al. Exhaled methyl nitrate as a noninvasive marker of hyperglycemia in type 1 diabetes. Proc Natl </w:t>
      </w:r>
      <w:proofErr w:type="spellStart"/>
      <w:r w:rsidRPr="00452BB5">
        <w:t>Acad</w:t>
      </w:r>
      <w:proofErr w:type="spellEnd"/>
      <w:r w:rsidRPr="00452BB5">
        <w:t xml:space="preserve"> Sci U S A. </w:t>
      </w:r>
      <w:proofErr w:type="gramStart"/>
      <w:r w:rsidRPr="00452BB5">
        <w:t>2007;104:15613</w:t>
      </w:r>
      <w:proofErr w:type="gramEnd"/>
      <w:r w:rsidRPr="00452BB5">
        <w:t xml:space="preserve">–8. </w:t>
      </w:r>
      <w:hyperlink r:id="rId21" w:history="1">
        <w:r w:rsidRPr="00452BB5">
          <w:rPr>
            <w:rStyle w:val="af3"/>
          </w:rPr>
          <w:t>https://doi.org/10.1073/pnas.0706533104</w:t>
        </w:r>
      </w:hyperlink>
      <w:r w:rsidRPr="00452BB5">
        <w:t>.</w:t>
      </w:r>
    </w:p>
    <w:p w14:paraId="31892704" w14:textId="77777777" w:rsidR="005221C1" w:rsidRPr="00452BB5" w:rsidRDefault="005221C1" w:rsidP="005221C1">
      <w:pPr>
        <w:pStyle w:val="References"/>
        <w:rPr>
          <w:lang w:val="de-DE"/>
        </w:rPr>
      </w:pPr>
      <w:r>
        <w:rPr>
          <w:rFonts w:hint="eastAsia"/>
        </w:rPr>
        <w:t>20</w:t>
      </w:r>
      <w:r w:rsidRPr="00452BB5">
        <w:t xml:space="preserve">. Obermeier J, Trefz P, Wex K, Sabel B, Schubert JK, </w:t>
      </w:r>
      <w:proofErr w:type="spellStart"/>
      <w:r w:rsidRPr="00452BB5">
        <w:t>Miekisch</w:t>
      </w:r>
      <w:proofErr w:type="spellEnd"/>
      <w:r w:rsidRPr="00452BB5">
        <w:t xml:space="preserve"> W. Electrochemical sensor system for breath analysis of aldehydes, CO and NO. J Breath Res. 2015;9:16008. </w:t>
      </w:r>
      <w:hyperlink r:id="rId22" w:history="1">
        <w:r w:rsidRPr="00452BB5">
          <w:rPr>
            <w:rStyle w:val="af3"/>
            <w:lang w:val="de-DE"/>
          </w:rPr>
          <w:t>https://doi.org/10.1088/1752-7155/9/1/016008</w:t>
        </w:r>
      </w:hyperlink>
      <w:r w:rsidRPr="00452BB5">
        <w:rPr>
          <w:lang w:val="de-DE"/>
        </w:rPr>
        <w:t>.</w:t>
      </w:r>
    </w:p>
    <w:p w14:paraId="75AA8543" w14:textId="77777777" w:rsidR="005221C1" w:rsidRPr="00452BB5" w:rsidRDefault="005221C1" w:rsidP="005221C1">
      <w:pPr>
        <w:pStyle w:val="References"/>
      </w:pPr>
      <w:r w:rsidRPr="009E0B2B">
        <w:rPr>
          <w:rFonts w:hint="eastAsia"/>
          <w:lang w:val="de-DE"/>
        </w:rPr>
        <w:t>21</w:t>
      </w:r>
      <w:r w:rsidRPr="00452BB5">
        <w:rPr>
          <w:lang w:val="de-DE"/>
        </w:rPr>
        <w:t xml:space="preserve">. Yang T, Gao D-X, Yu Y-L, Chen M-L, Wang J-H. </w:t>
      </w:r>
      <w:r w:rsidRPr="00452BB5">
        <w:t xml:space="preserve">Dielectric </w:t>
      </w:r>
      <w:proofErr w:type="gramStart"/>
      <w:r w:rsidRPr="00452BB5">
        <w:t>barrier</w:t>
      </w:r>
      <w:proofErr w:type="gramEnd"/>
      <w:r w:rsidRPr="00452BB5">
        <w:t xml:space="preserve"> </w:t>
      </w:r>
      <w:proofErr w:type="gramStart"/>
      <w:r w:rsidRPr="00452BB5">
        <w:t>discharge</w:t>
      </w:r>
      <w:proofErr w:type="gramEnd"/>
      <w:r w:rsidRPr="00452BB5">
        <w:t xml:space="preserve"> micro-plasma emission spectrometry for the detection of acetone in exhaled breath. </w:t>
      </w:r>
      <w:proofErr w:type="spellStart"/>
      <w:r w:rsidRPr="00452BB5">
        <w:t>Talanta</w:t>
      </w:r>
      <w:proofErr w:type="spellEnd"/>
      <w:r w:rsidRPr="00452BB5">
        <w:t xml:space="preserve">. </w:t>
      </w:r>
      <w:proofErr w:type="gramStart"/>
      <w:r w:rsidRPr="00452BB5">
        <w:t>2016;146:603</w:t>
      </w:r>
      <w:proofErr w:type="gramEnd"/>
      <w:r w:rsidRPr="00452BB5">
        <w:t xml:space="preserve">–8. </w:t>
      </w:r>
      <w:hyperlink r:id="rId23" w:history="1">
        <w:r w:rsidRPr="00452BB5">
          <w:rPr>
            <w:rStyle w:val="af3"/>
          </w:rPr>
          <w:t>https://doi.org/10.1016/j.talanta.2015.07.074</w:t>
        </w:r>
      </w:hyperlink>
      <w:r w:rsidRPr="00452BB5">
        <w:t>.</w:t>
      </w:r>
    </w:p>
    <w:p w14:paraId="29C7601D" w14:textId="77777777" w:rsidR="005221C1" w:rsidRPr="00452BB5" w:rsidRDefault="005221C1" w:rsidP="005221C1">
      <w:pPr>
        <w:pStyle w:val="References"/>
      </w:pPr>
      <w:r>
        <w:rPr>
          <w:rFonts w:hint="eastAsia"/>
        </w:rPr>
        <w:t>22</w:t>
      </w:r>
      <w:r w:rsidRPr="00452BB5">
        <w:t xml:space="preserve">. Khan MS, Cuda S, Karere GM, Cox LA, Bishop AC. Breath biomarkers of insulin resistance in pre-diabetic </w:t>
      </w:r>
      <w:proofErr w:type="spellStart"/>
      <w:r w:rsidRPr="00452BB5">
        <w:t>hispanic</w:t>
      </w:r>
      <w:proofErr w:type="spellEnd"/>
      <w:r w:rsidRPr="00452BB5">
        <w:t xml:space="preserve"> adolescents with obesity. Sci Rep. </w:t>
      </w:r>
      <w:proofErr w:type="gramStart"/>
      <w:r w:rsidRPr="00452BB5">
        <w:t>2022;12:339</w:t>
      </w:r>
      <w:proofErr w:type="gramEnd"/>
      <w:r w:rsidRPr="00452BB5">
        <w:t xml:space="preserve">. </w:t>
      </w:r>
      <w:hyperlink r:id="rId24" w:history="1">
        <w:r w:rsidRPr="00452BB5">
          <w:rPr>
            <w:rStyle w:val="af3"/>
          </w:rPr>
          <w:t>https://doi.org/10.1038/s41598-021-04072-3</w:t>
        </w:r>
      </w:hyperlink>
      <w:r w:rsidRPr="00452BB5">
        <w:t>.</w:t>
      </w:r>
    </w:p>
    <w:p w14:paraId="60BF0D47" w14:textId="77777777" w:rsidR="005221C1" w:rsidRPr="00452BB5" w:rsidRDefault="005221C1" w:rsidP="005221C1">
      <w:pPr>
        <w:pStyle w:val="References"/>
      </w:pPr>
      <w:r w:rsidRPr="00822125">
        <w:rPr>
          <w:rFonts w:hint="eastAsia"/>
        </w:rPr>
        <w:t>23</w:t>
      </w:r>
      <w:r w:rsidRPr="00452BB5">
        <w:t>. Chien P-J, Suzuki T, Tsujii M, Ye M, Minami I, Toda K, et al. Biochemical gas sensors (</w:t>
      </w:r>
      <w:proofErr w:type="spellStart"/>
      <w:r w:rsidRPr="00452BB5">
        <w:t>biosniffers</w:t>
      </w:r>
      <w:proofErr w:type="spellEnd"/>
      <w:r w:rsidRPr="00452BB5">
        <w:t xml:space="preserve">) using forward and reverse reactions of secondary alcohol dehydrogenase for breath isopropanol and acetone as potential volatile biomarkers of diabetes mellitus. Anal Chem. </w:t>
      </w:r>
      <w:proofErr w:type="gramStart"/>
      <w:r w:rsidRPr="00452BB5">
        <w:t>2017;89:12261</w:t>
      </w:r>
      <w:proofErr w:type="gramEnd"/>
      <w:r w:rsidRPr="00452BB5">
        <w:t xml:space="preserve">–8. </w:t>
      </w:r>
      <w:hyperlink r:id="rId25" w:history="1">
        <w:r w:rsidRPr="00452BB5">
          <w:rPr>
            <w:rStyle w:val="af3"/>
          </w:rPr>
          <w:t>https://doi.org/10.1021/acs.analchem.7b03191</w:t>
        </w:r>
      </w:hyperlink>
      <w:r w:rsidRPr="00452BB5">
        <w:t>.</w:t>
      </w:r>
    </w:p>
    <w:p w14:paraId="1C6D4758" w14:textId="77777777" w:rsidR="005221C1" w:rsidRPr="00452BB5" w:rsidRDefault="005221C1" w:rsidP="005221C1">
      <w:pPr>
        <w:pStyle w:val="References"/>
      </w:pPr>
      <w:r>
        <w:rPr>
          <w:rFonts w:hint="eastAsia"/>
        </w:rPr>
        <w:lastRenderedPageBreak/>
        <w:t>24</w:t>
      </w:r>
      <w:r w:rsidRPr="00452BB5">
        <w:t xml:space="preserve">. Tanda N, </w:t>
      </w:r>
      <w:proofErr w:type="spellStart"/>
      <w:r w:rsidRPr="00452BB5">
        <w:t>Hinokio</w:t>
      </w:r>
      <w:proofErr w:type="spellEnd"/>
      <w:r w:rsidRPr="00452BB5">
        <w:t xml:space="preserve"> Y, Washio J, Takahashi N, Koseki T. Analysis of ketone bodies in exhaled breath and blood of ten healthy </w:t>
      </w:r>
      <w:proofErr w:type="spellStart"/>
      <w:r w:rsidRPr="00452BB5">
        <w:t>japanese</w:t>
      </w:r>
      <w:proofErr w:type="spellEnd"/>
      <w:r w:rsidRPr="00452BB5">
        <w:t xml:space="preserve"> at OGTT using a portable gas chromatograph. J Breath Res. </w:t>
      </w:r>
      <w:proofErr w:type="gramStart"/>
      <w:r w:rsidRPr="00452BB5">
        <w:t>2014;8:46008</w:t>
      </w:r>
      <w:proofErr w:type="gramEnd"/>
      <w:r w:rsidRPr="00452BB5">
        <w:t xml:space="preserve">. </w:t>
      </w:r>
      <w:hyperlink r:id="rId26" w:history="1">
        <w:r w:rsidRPr="00452BB5">
          <w:rPr>
            <w:rStyle w:val="af3"/>
          </w:rPr>
          <w:t>https://doi.org/10.1088/1752-7155/8/4/046008</w:t>
        </w:r>
      </w:hyperlink>
      <w:r w:rsidRPr="00452BB5">
        <w:t>.</w:t>
      </w:r>
    </w:p>
    <w:p w14:paraId="2756B9B0" w14:textId="77777777" w:rsidR="005221C1" w:rsidRPr="00452BB5" w:rsidRDefault="005221C1" w:rsidP="005221C1">
      <w:pPr>
        <w:pStyle w:val="References"/>
      </w:pPr>
      <w:r>
        <w:rPr>
          <w:rFonts w:hint="eastAsia"/>
        </w:rPr>
        <w:t>25</w:t>
      </w:r>
      <w:r w:rsidRPr="00452BB5">
        <w:t xml:space="preserve">. Lekha S, Suchetha MS. Real-time non-invasive detection and classification of diabetes using modified convolution neural network. IEEE J Biomed Health Inform. </w:t>
      </w:r>
      <w:proofErr w:type="gramStart"/>
      <w:r w:rsidRPr="00452BB5">
        <w:t>2018;22:1630</w:t>
      </w:r>
      <w:proofErr w:type="gramEnd"/>
      <w:r w:rsidRPr="00452BB5">
        <w:t xml:space="preserve">–6. </w:t>
      </w:r>
      <w:hyperlink r:id="rId27" w:history="1">
        <w:r w:rsidRPr="00452BB5">
          <w:rPr>
            <w:rStyle w:val="af3"/>
          </w:rPr>
          <w:t>https://doi.org/10.1109/JBHI.2017.2757510</w:t>
        </w:r>
      </w:hyperlink>
      <w:r w:rsidRPr="00452BB5">
        <w:t>.</w:t>
      </w:r>
    </w:p>
    <w:p w14:paraId="451E49B0" w14:textId="77777777" w:rsidR="005221C1" w:rsidRPr="00452BB5" w:rsidRDefault="005221C1" w:rsidP="005221C1">
      <w:pPr>
        <w:pStyle w:val="References"/>
      </w:pPr>
      <w:r>
        <w:rPr>
          <w:rFonts w:hint="eastAsia"/>
        </w:rPr>
        <w:t>26</w:t>
      </w:r>
      <w:r w:rsidRPr="00452BB5">
        <w:t xml:space="preserve">. Parmar S, Ray B, Vishwakarma S, Rath S, Datar S. Polymer modified quartz tuning fork (QTF) sensor array for detection of breath as a biomarker for diabetes. Sens Actuators, B. 2022;358. </w:t>
      </w:r>
      <w:hyperlink r:id="rId28" w:history="1">
        <w:r w:rsidRPr="00452BB5">
          <w:rPr>
            <w:rStyle w:val="af3"/>
          </w:rPr>
          <w:t>https://doi.org/10.1016/j.snb.2022.131524</w:t>
        </w:r>
      </w:hyperlink>
      <w:r w:rsidRPr="00452BB5">
        <w:t>.</w:t>
      </w:r>
    </w:p>
    <w:p w14:paraId="35FDB9FB" w14:textId="77777777" w:rsidR="005221C1" w:rsidRPr="00452BB5" w:rsidRDefault="005221C1" w:rsidP="005221C1">
      <w:pPr>
        <w:pStyle w:val="References"/>
      </w:pPr>
      <w:r>
        <w:rPr>
          <w:rFonts w:hint="eastAsia"/>
        </w:rPr>
        <w:t>27</w:t>
      </w:r>
      <w:r w:rsidRPr="00452BB5">
        <w:t xml:space="preserve">. Malysheva AO, Baldin MN, </w:t>
      </w:r>
      <w:proofErr w:type="spellStart"/>
      <w:r w:rsidRPr="00452BB5">
        <w:t>Gruznov</w:t>
      </w:r>
      <w:proofErr w:type="spellEnd"/>
      <w:r w:rsidRPr="00452BB5">
        <w:t xml:space="preserve"> VM, Blinova LV. Non-laboratory express gas-chromatographic method of human breath analysis with automated graduation. Anal </w:t>
      </w:r>
      <w:proofErr w:type="spellStart"/>
      <w:r w:rsidRPr="00452BB5">
        <w:t>Kontrol</w:t>
      </w:r>
      <w:proofErr w:type="spellEnd"/>
      <w:r w:rsidRPr="00452BB5">
        <w:t xml:space="preserve">. </w:t>
      </w:r>
      <w:proofErr w:type="gramStart"/>
      <w:r w:rsidRPr="00452BB5">
        <w:t>2018;22:177</w:t>
      </w:r>
      <w:proofErr w:type="gramEnd"/>
      <w:r w:rsidRPr="00452BB5">
        <w:t xml:space="preserve">–85. </w:t>
      </w:r>
      <w:hyperlink r:id="rId29" w:history="1">
        <w:r w:rsidRPr="00452BB5">
          <w:rPr>
            <w:rStyle w:val="af3"/>
          </w:rPr>
          <w:t>https://doi.org/10.15826/analitika.2018.22.2.007</w:t>
        </w:r>
      </w:hyperlink>
      <w:r w:rsidRPr="00452BB5">
        <w:t>.</w:t>
      </w:r>
    </w:p>
    <w:p w14:paraId="61D4B23D" w14:textId="77777777" w:rsidR="005221C1" w:rsidRPr="00452BB5" w:rsidRDefault="005221C1" w:rsidP="005221C1">
      <w:pPr>
        <w:pStyle w:val="References"/>
      </w:pPr>
      <w:r>
        <w:rPr>
          <w:rFonts w:hint="eastAsia"/>
        </w:rPr>
        <w:t>28</w:t>
      </w:r>
      <w:r w:rsidRPr="00452BB5">
        <w:t xml:space="preserve">. Saidi T, Zaim O, </w:t>
      </w:r>
      <w:proofErr w:type="spellStart"/>
      <w:r w:rsidRPr="00452BB5">
        <w:t>Moufid</w:t>
      </w:r>
      <w:proofErr w:type="spellEnd"/>
      <w:r w:rsidRPr="00452BB5">
        <w:t xml:space="preserve"> M, El Bari N, Ionescu R, Bouchikhi B. Exhaled breath analysis using electronic nose and gas chromatography–mass spectrometry for non-invasive diagnosis of chronic kidney disease, diabetes mellitus and healthy subjects. Sens Actuators, B. 2018;257:178–88. </w:t>
      </w:r>
      <w:hyperlink r:id="rId30" w:history="1">
        <w:r w:rsidRPr="00452BB5">
          <w:rPr>
            <w:rStyle w:val="af3"/>
          </w:rPr>
          <w:t>https://doi.org/10.1016/j.snb.2017.10.178</w:t>
        </w:r>
      </w:hyperlink>
      <w:r w:rsidRPr="00452BB5">
        <w:t>.</w:t>
      </w:r>
    </w:p>
    <w:p w14:paraId="37C6C91E" w14:textId="77777777" w:rsidR="005221C1" w:rsidRPr="00452BB5" w:rsidRDefault="005221C1" w:rsidP="005221C1">
      <w:pPr>
        <w:pStyle w:val="References"/>
      </w:pPr>
      <w:r>
        <w:rPr>
          <w:rFonts w:hint="eastAsia"/>
        </w:rPr>
        <w:t>29</w:t>
      </w:r>
      <w:r w:rsidRPr="00452BB5">
        <w:t xml:space="preserve">. Smieja PJ, Lu J, Sun Q, Fu X, Zhang T. Exhaled breath </w:t>
      </w:r>
      <w:proofErr w:type="gramStart"/>
      <w:r w:rsidRPr="00452BB5">
        <w:t>analysis based</w:t>
      </w:r>
      <w:proofErr w:type="gramEnd"/>
      <w:r w:rsidRPr="00452BB5">
        <w:t xml:space="preserve"> diabetes detection with k-nearest </w:t>
      </w:r>
      <w:proofErr w:type="gramStart"/>
      <w:r w:rsidRPr="00452BB5">
        <w:t>neighbors</w:t>
      </w:r>
      <w:proofErr w:type="gramEnd"/>
      <w:r w:rsidRPr="00452BB5">
        <w:t xml:space="preserve"> classifier. In: Proc. - Int. Symp. </w:t>
      </w:r>
      <w:proofErr w:type="spellStart"/>
      <w:r w:rsidRPr="00452BB5">
        <w:t>Comput</w:t>
      </w:r>
      <w:proofErr w:type="spellEnd"/>
      <w:r w:rsidRPr="00452BB5">
        <w:t xml:space="preserve">. </w:t>
      </w:r>
      <w:proofErr w:type="spellStart"/>
      <w:r w:rsidRPr="00452BB5">
        <w:t>Intell</w:t>
      </w:r>
      <w:proofErr w:type="spellEnd"/>
      <w:r w:rsidRPr="00452BB5">
        <w:t xml:space="preserve">. Des., ISCID. Institute of Electrical and Electronics Engineers Inc.; 2023. p. 126–30. </w:t>
      </w:r>
      <w:hyperlink r:id="rId31" w:history="1">
        <w:r w:rsidRPr="00452BB5">
          <w:rPr>
            <w:rStyle w:val="af3"/>
          </w:rPr>
          <w:t>https://doi.org/10.1109/ISCID59865.2023.00037</w:t>
        </w:r>
      </w:hyperlink>
      <w:r w:rsidRPr="00452BB5">
        <w:t>.</w:t>
      </w:r>
    </w:p>
    <w:p w14:paraId="601E6082" w14:textId="77777777" w:rsidR="005221C1" w:rsidRPr="00452BB5" w:rsidRDefault="005221C1" w:rsidP="005221C1">
      <w:pPr>
        <w:pStyle w:val="References"/>
      </w:pPr>
      <w:r>
        <w:rPr>
          <w:rFonts w:hint="eastAsia"/>
        </w:rPr>
        <w:lastRenderedPageBreak/>
        <w:t>30</w:t>
      </w:r>
      <w:r w:rsidRPr="00452BB5">
        <w:t xml:space="preserve">. Tazi I, Ainur A, </w:t>
      </w:r>
      <w:proofErr w:type="spellStart"/>
      <w:r w:rsidRPr="00452BB5">
        <w:t>Purwaningrum</w:t>
      </w:r>
      <w:proofErr w:type="spellEnd"/>
      <w:r w:rsidRPr="00452BB5">
        <w:t xml:space="preserve"> E, Harini S, Falah F. Design and testing of electronic nose for determining the pattern of bad breath classification in patients with diabetes mellitus and pulmonary tuberculosis (TBC). In: R ON, W </w:t>
      </w:r>
      <w:proofErr w:type="spellStart"/>
      <w:r w:rsidRPr="00452BB5">
        <w:t>ahyudi</w:t>
      </w:r>
      <w:proofErr w:type="spellEnd"/>
      <w:r w:rsidRPr="00452BB5">
        <w:t xml:space="preserve"> D, D </w:t>
      </w:r>
      <w:proofErr w:type="spellStart"/>
      <w:r w:rsidRPr="00452BB5">
        <w:t>aryono</w:t>
      </w:r>
      <w:proofErr w:type="spellEnd"/>
      <w:r w:rsidRPr="00452BB5">
        <w:t xml:space="preserve"> RNH, Y </w:t>
      </w:r>
      <w:proofErr w:type="spellStart"/>
      <w:r w:rsidRPr="00452BB5">
        <w:t>usnawan</w:t>
      </w:r>
      <w:proofErr w:type="spellEnd"/>
      <w:r w:rsidRPr="00452BB5">
        <w:t xml:space="preserve"> E, K </w:t>
      </w:r>
      <w:proofErr w:type="spellStart"/>
      <w:r w:rsidRPr="00452BB5">
        <w:t>ikuchi</w:t>
      </w:r>
      <w:proofErr w:type="spellEnd"/>
      <w:r w:rsidRPr="00452BB5">
        <w:t xml:space="preserve"> A, editors. AIP Conf. Proc. American Institute of Physics Inc.; 2019. </w:t>
      </w:r>
      <w:hyperlink r:id="rId32" w:history="1">
        <w:r w:rsidRPr="00452BB5">
          <w:rPr>
            <w:rStyle w:val="af3"/>
          </w:rPr>
          <w:t>https://doi.org/10.1063/1.5115680</w:t>
        </w:r>
      </w:hyperlink>
      <w:r w:rsidRPr="00452BB5">
        <w:t>.</w:t>
      </w:r>
    </w:p>
    <w:p w14:paraId="0869488D" w14:textId="77777777" w:rsidR="005221C1" w:rsidRPr="00452BB5" w:rsidRDefault="005221C1" w:rsidP="005221C1">
      <w:pPr>
        <w:pStyle w:val="References"/>
      </w:pPr>
      <w:r>
        <w:rPr>
          <w:rFonts w:hint="eastAsia"/>
        </w:rPr>
        <w:t>31</w:t>
      </w:r>
      <w:r w:rsidRPr="00452BB5">
        <w:t xml:space="preserve">. Sha MS, Maurya MR, Shafath S, </w:t>
      </w:r>
      <w:proofErr w:type="spellStart"/>
      <w:r w:rsidRPr="00452BB5">
        <w:t>Cabibihan</w:t>
      </w:r>
      <w:proofErr w:type="spellEnd"/>
      <w:r w:rsidRPr="00452BB5">
        <w:t xml:space="preserve"> J-J, Al-Ali A, Malik RA, et al. Breath analysis for the in vivo detection of diabetic ketoacidosis. ACS Omega. </w:t>
      </w:r>
      <w:proofErr w:type="gramStart"/>
      <w:r w:rsidRPr="00452BB5">
        <w:t>2022;7:4257</w:t>
      </w:r>
      <w:proofErr w:type="gramEnd"/>
      <w:r w:rsidRPr="00452BB5">
        <w:t xml:space="preserve">–66. </w:t>
      </w:r>
      <w:hyperlink r:id="rId33" w:history="1">
        <w:r w:rsidRPr="00452BB5">
          <w:rPr>
            <w:rStyle w:val="af3"/>
          </w:rPr>
          <w:t>https://doi.org/10.1021/acsomega.1c05948</w:t>
        </w:r>
      </w:hyperlink>
      <w:r w:rsidRPr="00452BB5">
        <w:t>.</w:t>
      </w:r>
    </w:p>
    <w:p w14:paraId="4A10FD39" w14:textId="77777777" w:rsidR="005221C1" w:rsidRPr="00452BB5" w:rsidRDefault="005221C1" w:rsidP="005221C1">
      <w:pPr>
        <w:pStyle w:val="References"/>
      </w:pPr>
      <w:r>
        <w:rPr>
          <w:rFonts w:hint="eastAsia"/>
        </w:rPr>
        <w:t>32</w:t>
      </w:r>
      <w:r w:rsidRPr="00452BB5">
        <w:t xml:space="preserve">. </w:t>
      </w:r>
      <w:proofErr w:type="spellStart"/>
      <w:r w:rsidRPr="00452BB5">
        <w:t>Yazdankhah</w:t>
      </w:r>
      <w:proofErr w:type="spellEnd"/>
      <w:r w:rsidRPr="00452BB5">
        <w:t xml:space="preserve"> F, Tajik L, </w:t>
      </w:r>
      <w:proofErr w:type="spellStart"/>
      <w:r w:rsidRPr="00452BB5">
        <w:t>Faridan</w:t>
      </w:r>
      <w:proofErr w:type="spellEnd"/>
      <w:r w:rsidRPr="00452BB5">
        <w:t xml:space="preserve"> M. A simple and effective non-invasive method for the analysis of volatile organic compounds in exhaled air. </w:t>
      </w:r>
      <w:proofErr w:type="spellStart"/>
      <w:r w:rsidRPr="00452BB5">
        <w:t>Microchem</w:t>
      </w:r>
      <w:proofErr w:type="spellEnd"/>
      <w:r w:rsidRPr="00452BB5">
        <w:t xml:space="preserve"> J. 2024;207. </w:t>
      </w:r>
      <w:hyperlink r:id="rId34" w:history="1">
        <w:r w:rsidRPr="00452BB5">
          <w:rPr>
            <w:rStyle w:val="af3"/>
          </w:rPr>
          <w:t>https://doi.org/10.1016/j.microc.2024.111683</w:t>
        </w:r>
      </w:hyperlink>
      <w:r w:rsidRPr="00452BB5">
        <w:t>.</w:t>
      </w:r>
    </w:p>
    <w:p w14:paraId="08CF4FCC" w14:textId="77777777" w:rsidR="005221C1" w:rsidRPr="00452BB5" w:rsidRDefault="005221C1" w:rsidP="005221C1">
      <w:pPr>
        <w:pStyle w:val="References"/>
      </w:pPr>
      <w:r>
        <w:rPr>
          <w:rFonts w:hint="eastAsia"/>
        </w:rPr>
        <w:t>33</w:t>
      </w:r>
      <w:r w:rsidRPr="00452BB5">
        <w:t xml:space="preserve">. Mansouri S, Boulares S, </w:t>
      </w:r>
      <w:proofErr w:type="spellStart"/>
      <w:r w:rsidRPr="00452BB5">
        <w:t>Alhadidi</w:t>
      </w:r>
      <w:proofErr w:type="spellEnd"/>
      <w:r w:rsidRPr="00452BB5">
        <w:t xml:space="preserve"> T. Non-invasive measurement of blood glucose by breath analysis. IEEJ Trans </w:t>
      </w:r>
      <w:proofErr w:type="spellStart"/>
      <w:r w:rsidRPr="00452BB5">
        <w:t>Electr</w:t>
      </w:r>
      <w:proofErr w:type="spellEnd"/>
      <w:r w:rsidRPr="00452BB5">
        <w:t xml:space="preserve"> Electron Eng. </w:t>
      </w:r>
      <w:proofErr w:type="gramStart"/>
      <w:r w:rsidRPr="00452BB5">
        <w:t>2020;15:1457</w:t>
      </w:r>
      <w:proofErr w:type="gramEnd"/>
      <w:r w:rsidRPr="00452BB5">
        <w:t xml:space="preserve">–64. </w:t>
      </w:r>
      <w:hyperlink r:id="rId35" w:history="1">
        <w:r w:rsidRPr="00452BB5">
          <w:rPr>
            <w:rStyle w:val="af3"/>
          </w:rPr>
          <w:t>https://doi.org/10.1002/tee.23216</w:t>
        </w:r>
      </w:hyperlink>
      <w:r w:rsidRPr="00452BB5">
        <w:t>.</w:t>
      </w:r>
    </w:p>
    <w:p w14:paraId="143501A8" w14:textId="77777777" w:rsidR="005221C1" w:rsidRPr="00452BB5" w:rsidRDefault="005221C1" w:rsidP="005221C1">
      <w:pPr>
        <w:pStyle w:val="References"/>
      </w:pPr>
      <w:r>
        <w:rPr>
          <w:rFonts w:hint="eastAsia"/>
        </w:rPr>
        <w:t>34</w:t>
      </w:r>
      <w:r w:rsidRPr="00452BB5">
        <w:t xml:space="preserve">. </w:t>
      </w:r>
      <w:proofErr w:type="spellStart"/>
      <w:r w:rsidRPr="00452BB5">
        <w:t>Manchukutty</w:t>
      </w:r>
      <w:proofErr w:type="spellEnd"/>
      <w:r w:rsidRPr="00452BB5">
        <w:t xml:space="preserve"> S, Vasa NJ, Agarwal V, </w:t>
      </w:r>
      <w:proofErr w:type="spellStart"/>
      <w:r w:rsidRPr="00452BB5">
        <w:t>Chandapillai</w:t>
      </w:r>
      <w:proofErr w:type="spellEnd"/>
      <w:r w:rsidRPr="00452BB5">
        <w:t xml:space="preserve"> J. Dual photoionization source-based differential mobility sensor for trace gas detection in human breath. IEEE Sensors J. </w:t>
      </w:r>
      <w:proofErr w:type="gramStart"/>
      <w:r w:rsidRPr="00452BB5">
        <w:t>2015;15:4899</w:t>
      </w:r>
      <w:proofErr w:type="gramEnd"/>
      <w:r w:rsidRPr="00452BB5">
        <w:t xml:space="preserve">–904. </w:t>
      </w:r>
      <w:hyperlink r:id="rId36" w:history="1">
        <w:r w:rsidRPr="00452BB5">
          <w:rPr>
            <w:rStyle w:val="af3"/>
          </w:rPr>
          <w:t>https://doi.org/10.1109/JSEN.2015.2427524</w:t>
        </w:r>
      </w:hyperlink>
      <w:r w:rsidRPr="00452BB5">
        <w:t>.</w:t>
      </w:r>
    </w:p>
    <w:p w14:paraId="508D3484" w14:textId="77777777" w:rsidR="005221C1" w:rsidRPr="00452BB5" w:rsidRDefault="005221C1" w:rsidP="005221C1">
      <w:pPr>
        <w:pStyle w:val="References"/>
      </w:pPr>
      <w:r>
        <w:rPr>
          <w:rFonts w:hint="eastAsia"/>
        </w:rPr>
        <w:t>35</w:t>
      </w:r>
      <w:r w:rsidRPr="00452BB5">
        <w:t xml:space="preserve">. Samudrala D, Lammers G, Mandon J, Blanchet L, Schreuder THA, Hopman MT, et al. Breath acetone to monitor </w:t>
      </w:r>
      <w:proofErr w:type="gramStart"/>
      <w:r w:rsidRPr="00452BB5">
        <w:t>life style</w:t>
      </w:r>
      <w:proofErr w:type="gramEnd"/>
      <w:r w:rsidRPr="00452BB5">
        <w:t xml:space="preserve"> interventions in field conditions: an exploratory study. Obesity. </w:t>
      </w:r>
      <w:proofErr w:type="gramStart"/>
      <w:r w:rsidRPr="00452BB5">
        <w:t>2014;22:980</w:t>
      </w:r>
      <w:proofErr w:type="gramEnd"/>
      <w:r w:rsidRPr="00452BB5">
        <w:t xml:space="preserve">–3. </w:t>
      </w:r>
      <w:hyperlink r:id="rId37" w:history="1">
        <w:r w:rsidRPr="00452BB5">
          <w:rPr>
            <w:rStyle w:val="af3"/>
          </w:rPr>
          <w:t>https://doi.org/10.1002/oby.20696</w:t>
        </w:r>
      </w:hyperlink>
      <w:r w:rsidRPr="00452BB5">
        <w:t>.</w:t>
      </w:r>
    </w:p>
    <w:p w14:paraId="5424856B" w14:textId="77777777" w:rsidR="005221C1" w:rsidRPr="00452BB5" w:rsidRDefault="005221C1" w:rsidP="005221C1">
      <w:pPr>
        <w:pStyle w:val="References"/>
        <w:rPr>
          <w:lang w:val="de-DE"/>
        </w:rPr>
      </w:pPr>
      <w:r>
        <w:rPr>
          <w:rFonts w:hint="eastAsia"/>
        </w:rPr>
        <w:t>36</w:t>
      </w:r>
      <w:r w:rsidRPr="00452BB5">
        <w:t xml:space="preserve">. Patel MK. Analysis of volatile organic compounds in breath as a potential diagnostic modality in disease monitoring. </w:t>
      </w:r>
      <w:r w:rsidRPr="00452BB5">
        <w:rPr>
          <w:lang w:val="de-DE"/>
        </w:rPr>
        <w:t>2011.</w:t>
      </w:r>
    </w:p>
    <w:p w14:paraId="181F2F11" w14:textId="77777777" w:rsidR="005221C1" w:rsidRPr="00452BB5" w:rsidRDefault="005221C1" w:rsidP="005221C1">
      <w:pPr>
        <w:pStyle w:val="References"/>
      </w:pPr>
      <w:r>
        <w:rPr>
          <w:rFonts w:hint="eastAsia"/>
          <w:lang w:val="de-DE"/>
        </w:rPr>
        <w:lastRenderedPageBreak/>
        <w:t>37</w:t>
      </w:r>
      <w:r w:rsidRPr="00452BB5">
        <w:rPr>
          <w:lang w:val="de-DE"/>
        </w:rPr>
        <w:t xml:space="preserve">. Jiang C, Sun M, Wang Z, Chen Z, Zhao X, Yuan Y, et al. </w:t>
      </w:r>
      <w:r w:rsidRPr="00452BB5">
        <w:t xml:space="preserve">A portable real-time ringdown breath acetone analyzer: toward potential diabetic screening and management. Sens. 2016;16. </w:t>
      </w:r>
      <w:hyperlink r:id="rId38" w:history="1">
        <w:r w:rsidRPr="00452BB5">
          <w:rPr>
            <w:rStyle w:val="af3"/>
          </w:rPr>
          <w:t>https://doi.org/10.3390/s16081199</w:t>
        </w:r>
      </w:hyperlink>
      <w:r w:rsidRPr="00452BB5">
        <w:t>.</w:t>
      </w:r>
    </w:p>
    <w:p w14:paraId="7F5D66CE" w14:textId="77777777" w:rsidR="005221C1" w:rsidRPr="00452BB5" w:rsidRDefault="005221C1" w:rsidP="005221C1">
      <w:pPr>
        <w:pStyle w:val="References"/>
      </w:pPr>
      <w:r>
        <w:rPr>
          <w:rFonts w:hint="eastAsia"/>
        </w:rPr>
        <w:t>38</w:t>
      </w:r>
      <w:r w:rsidRPr="00452BB5">
        <w:t xml:space="preserve">. Li W, Liu Y, Lu X, Huang Y, Liu Y, Cheng S, et al. A cross-sectional study of breath acetone based on diabetic metabolic disorders. J Breath Res. 2015;9. </w:t>
      </w:r>
      <w:hyperlink r:id="rId39" w:history="1">
        <w:r w:rsidRPr="00452BB5">
          <w:rPr>
            <w:rStyle w:val="af3"/>
          </w:rPr>
          <w:t>https://doi.org/10.1088/1752-7155/9/1/016005</w:t>
        </w:r>
      </w:hyperlink>
      <w:r w:rsidRPr="00452BB5">
        <w:t>.</w:t>
      </w:r>
    </w:p>
    <w:p w14:paraId="04D9847A" w14:textId="77777777" w:rsidR="003D1457" w:rsidRDefault="003D1457" w:rsidP="004A6CD6"/>
    <w:p w14:paraId="2A898521" w14:textId="77777777" w:rsidR="005221C1" w:rsidRDefault="005221C1" w:rsidP="004A6CD6"/>
    <w:p w14:paraId="521F6A21" w14:textId="77777777" w:rsidR="005221C1" w:rsidRPr="003D1457" w:rsidRDefault="005221C1" w:rsidP="004A6CD6">
      <w:pPr>
        <w:rPr>
          <w:rFonts w:hint="eastAsia"/>
        </w:rPr>
      </w:pPr>
    </w:p>
    <w:sectPr w:rsidR="005221C1" w:rsidRPr="003D1457" w:rsidSect="004A6CD6">
      <w:footerReference w:type="default" r:id="rId40"/>
      <w:pgSz w:w="16837" w:h="11905" w:orient="landscape" w:code="9"/>
      <w:pgMar w:top="1800" w:right="1440" w:bottom="1800" w:left="1440" w:header="720" w:footer="720" w:gutter="0"/>
      <w:lnNumType w:countBy="1" w:restart="continuous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7B25" w14:textId="77777777" w:rsidR="00E04CA7" w:rsidRDefault="00E04CA7" w:rsidP="001256A3">
      <w:pPr>
        <w:rPr>
          <w:rFonts w:hint="eastAsia"/>
        </w:rPr>
      </w:pPr>
      <w:r>
        <w:separator/>
      </w:r>
    </w:p>
  </w:endnote>
  <w:endnote w:type="continuationSeparator" w:id="0">
    <w:p w14:paraId="19BB81A5" w14:textId="77777777" w:rsidR="00E04CA7" w:rsidRDefault="00E04CA7" w:rsidP="00125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169399"/>
      <w:docPartObj>
        <w:docPartGallery w:val="Page Numbers (Bottom of Page)"/>
        <w:docPartUnique/>
      </w:docPartObj>
    </w:sdtPr>
    <w:sdtContent>
      <w:p w14:paraId="2BC584CC" w14:textId="13AA7545" w:rsidR="001256A3" w:rsidRDefault="001256A3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6B4AB0" w14:textId="77777777" w:rsidR="001256A3" w:rsidRDefault="001256A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4C5D" w14:textId="77777777" w:rsidR="00E04CA7" w:rsidRDefault="00E04CA7" w:rsidP="001256A3">
      <w:pPr>
        <w:rPr>
          <w:rFonts w:hint="eastAsia"/>
        </w:rPr>
      </w:pPr>
      <w:r>
        <w:separator/>
      </w:r>
    </w:p>
  </w:footnote>
  <w:footnote w:type="continuationSeparator" w:id="0">
    <w:p w14:paraId="0D2A2F48" w14:textId="77777777" w:rsidR="00E04CA7" w:rsidRDefault="00E04CA7" w:rsidP="001256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20"/>
  <w:drawingGridHorizontalSpacing w:val="100"/>
  <w:drawingGridVerticalSpacing w:val="13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91"/>
    <w:rsid w:val="00037D53"/>
    <w:rsid w:val="000632DB"/>
    <w:rsid w:val="001256A3"/>
    <w:rsid w:val="001321B1"/>
    <w:rsid w:val="001326B9"/>
    <w:rsid w:val="001716A1"/>
    <w:rsid w:val="0029200B"/>
    <w:rsid w:val="002B6B44"/>
    <w:rsid w:val="00386BBB"/>
    <w:rsid w:val="003D1457"/>
    <w:rsid w:val="003E23B0"/>
    <w:rsid w:val="00436CEF"/>
    <w:rsid w:val="004A6CD6"/>
    <w:rsid w:val="004B4CC6"/>
    <w:rsid w:val="004D2760"/>
    <w:rsid w:val="004E70A3"/>
    <w:rsid w:val="005221C1"/>
    <w:rsid w:val="00537DD7"/>
    <w:rsid w:val="00556BEF"/>
    <w:rsid w:val="00652E21"/>
    <w:rsid w:val="007051C4"/>
    <w:rsid w:val="00785AE6"/>
    <w:rsid w:val="00822125"/>
    <w:rsid w:val="008547D4"/>
    <w:rsid w:val="008C1E6E"/>
    <w:rsid w:val="009D0591"/>
    <w:rsid w:val="00A57AC5"/>
    <w:rsid w:val="00AD3C3E"/>
    <w:rsid w:val="00CF0CCB"/>
    <w:rsid w:val="00DC6AF3"/>
    <w:rsid w:val="00DF13B5"/>
    <w:rsid w:val="00E013BB"/>
    <w:rsid w:val="00E04CA7"/>
    <w:rsid w:val="00E1735F"/>
    <w:rsid w:val="00E573DF"/>
    <w:rsid w:val="00E774F5"/>
    <w:rsid w:val="00F6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6AEB6"/>
  <w15:chartTrackingRefBased/>
  <w15:docId w15:val="{EAD4F4AF-94B3-4934-AE07-AC996B54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C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9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5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5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59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05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5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5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5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5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5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05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5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56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5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56A3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1256A3"/>
  </w:style>
  <w:style w:type="paragraph" w:customStyle="1" w:styleId="BMCBodyText">
    <w:name w:val="BMC_BodyText"/>
    <w:basedOn w:val="a"/>
    <w:link w:val="BMCBodyText0"/>
    <w:qFormat/>
    <w:rsid w:val="001256A3"/>
    <w:pPr>
      <w:spacing w:line="480" w:lineRule="auto"/>
      <w:ind w:firstLine="720"/>
      <w:jc w:val="left"/>
    </w:pPr>
    <w:rPr>
      <w:rFonts w:ascii="Times New Roman" w:hAnsi="Times New Roman"/>
      <w:sz w:val="24"/>
    </w:rPr>
  </w:style>
  <w:style w:type="character" w:customStyle="1" w:styleId="BMCBodyText0">
    <w:name w:val="BMC_BodyText 字符"/>
    <w:basedOn w:val="a0"/>
    <w:link w:val="BMCBodyText"/>
    <w:rsid w:val="001256A3"/>
    <w:rPr>
      <w:rFonts w:ascii="Times New Roman" w:hAnsi="Times New Roman"/>
      <w:sz w:val="24"/>
    </w:rPr>
  </w:style>
  <w:style w:type="paragraph" w:customStyle="1" w:styleId="Heading1">
    <w:name w:val="Heading1"/>
    <w:link w:val="Heading10"/>
    <w:qFormat/>
    <w:rsid w:val="00556BEF"/>
    <w:pPr>
      <w:keepNext/>
      <w:snapToGrid w:val="0"/>
      <w:spacing w:before="480" w:after="240" w:line="480" w:lineRule="auto"/>
      <w:outlineLvl w:val="0"/>
    </w:pPr>
    <w:rPr>
      <w:rFonts w:ascii="Times New Roman" w:hAnsi="Times New Roman"/>
      <w:b/>
      <w:sz w:val="28"/>
    </w:rPr>
  </w:style>
  <w:style w:type="character" w:customStyle="1" w:styleId="Heading10">
    <w:name w:val="Heading1 字符"/>
    <w:basedOn w:val="BMCBodyText0"/>
    <w:link w:val="Heading1"/>
    <w:rsid w:val="00556BEF"/>
    <w:rPr>
      <w:rFonts w:ascii="Times New Roman" w:hAnsi="Times New Roman"/>
      <w:b/>
      <w:sz w:val="28"/>
    </w:rPr>
  </w:style>
  <w:style w:type="paragraph" w:customStyle="1" w:styleId="Heading2">
    <w:name w:val="Heading2"/>
    <w:link w:val="Heading20"/>
    <w:qFormat/>
    <w:rsid w:val="00556BEF"/>
    <w:pPr>
      <w:keepNext/>
      <w:spacing w:before="360" w:after="120" w:line="480" w:lineRule="auto"/>
      <w:outlineLvl w:val="1"/>
    </w:pPr>
    <w:rPr>
      <w:rFonts w:ascii="Times New Roman" w:hAnsi="Times New Roman"/>
      <w:b/>
      <w:sz w:val="24"/>
    </w:rPr>
  </w:style>
  <w:style w:type="character" w:customStyle="1" w:styleId="Heading20">
    <w:name w:val="Heading2 字符"/>
    <w:basedOn w:val="a0"/>
    <w:link w:val="Heading2"/>
    <w:rsid w:val="00556BEF"/>
    <w:rPr>
      <w:rFonts w:ascii="Times New Roman" w:hAnsi="Times New Roman"/>
      <w:b/>
      <w:sz w:val="24"/>
    </w:rPr>
  </w:style>
  <w:style w:type="paragraph" w:customStyle="1" w:styleId="References">
    <w:name w:val="References"/>
    <w:link w:val="References0"/>
    <w:qFormat/>
    <w:rsid w:val="004E70A3"/>
    <w:pPr>
      <w:spacing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References0">
    <w:name w:val="References 字符"/>
    <w:basedOn w:val="a0"/>
    <w:link w:val="References"/>
    <w:rsid w:val="004E70A3"/>
    <w:rPr>
      <w:rFonts w:ascii="Times New Roman" w:hAnsi="Times New Roman"/>
      <w:sz w:val="24"/>
    </w:rPr>
  </w:style>
  <w:style w:type="character" w:styleId="af3">
    <w:name w:val="Hyperlink"/>
    <w:basedOn w:val="a0"/>
    <w:uiPriority w:val="99"/>
    <w:unhideWhenUsed/>
    <w:rsid w:val="008C1E6E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C1E6E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8C1E6E"/>
    <w:rPr>
      <w:color w:val="96607D" w:themeColor="followedHyperlink"/>
      <w:u w:val="single"/>
    </w:rPr>
  </w:style>
  <w:style w:type="table" w:customStyle="1" w:styleId="TableText">
    <w:name w:val="Table_Text"/>
    <w:basedOn w:val="a1"/>
    <w:uiPriority w:val="99"/>
    <w:rsid w:val="004A6CD6"/>
    <w:pPr>
      <w:spacing w:line="480" w:lineRule="auto"/>
    </w:pPr>
    <w:rPr>
      <w:rFonts w:ascii="Times New Roman" w:hAnsi="Times New Roman"/>
      <w:sz w:val="24"/>
    </w:rPr>
    <w:tblPr>
      <w:tblBorders>
        <w:top w:val="single" w:sz="8" w:space="0" w:color="auto"/>
        <w:bottom w:val="single" w:sz="8" w:space="0" w:color="auto"/>
      </w:tblBorders>
    </w:tblPr>
    <w:tcPr>
      <w:vAlign w:val="center"/>
    </w:tcPr>
  </w:style>
  <w:style w:type="paragraph" w:customStyle="1" w:styleId="TableTextStyle">
    <w:name w:val="Table Text Style"/>
    <w:link w:val="TableTextStyle0"/>
    <w:qFormat/>
    <w:rsid w:val="003D1457"/>
    <w:pPr>
      <w:spacing w:line="480" w:lineRule="auto"/>
      <w:jc w:val="center"/>
    </w:pPr>
    <w:rPr>
      <w:rFonts w:ascii="Times New Roman" w:hAnsi="Times New Roman"/>
      <w:sz w:val="22"/>
    </w:rPr>
  </w:style>
  <w:style w:type="character" w:customStyle="1" w:styleId="TableTextStyle0">
    <w:name w:val="Table Text Style 字符"/>
    <w:basedOn w:val="a0"/>
    <w:link w:val="TableTextStyle"/>
    <w:rsid w:val="003D1457"/>
    <w:rPr>
      <w:rFonts w:ascii="Times New Roman" w:hAnsi="Times New Roman"/>
      <w:sz w:val="22"/>
    </w:rPr>
  </w:style>
  <w:style w:type="paragraph" w:customStyle="1" w:styleId="TableTitle">
    <w:name w:val="Table_Title"/>
    <w:link w:val="TableTitle0"/>
    <w:qFormat/>
    <w:rsid w:val="003D1457"/>
    <w:pPr>
      <w:spacing w:before="240" w:after="120" w:line="480" w:lineRule="auto"/>
    </w:pPr>
    <w:rPr>
      <w:rFonts w:ascii="Times New Roman" w:hAnsi="Times New Roman"/>
      <w:b/>
      <w:sz w:val="24"/>
    </w:rPr>
  </w:style>
  <w:style w:type="character" w:customStyle="1" w:styleId="TableTitle0">
    <w:name w:val="Table_Title 字符"/>
    <w:basedOn w:val="References0"/>
    <w:link w:val="TableTitle"/>
    <w:rsid w:val="003D1457"/>
    <w:rPr>
      <w:rFonts w:ascii="Times New Roman" w:hAnsi="Times New Roman"/>
      <w:b/>
      <w:sz w:val="24"/>
    </w:rPr>
  </w:style>
  <w:style w:type="paragraph" w:customStyle="1" w:styleId="MDPI41tablecaption">
    <w:name w:val="MDPI_4.1_table_caption"/>
    <w:qFormat/>
    <w:rsid w:val="00DC6AF3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DC6AF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FigureLegend">
    <w:name w:val="Figure_Legend"/>
    <w:link w:val="FigureLegend0"/>
    <w:qFormat/>
    <w:rsid w:val="001716A1"/>
    <w:pPr>
      <w:spacing w:before="240" w:after="240" w:line="480" w:lineRule="auto"/>
    </w:pPr>
    <w:rPr>
      <w:rFonts w:ascii="Times New Roman" w:hAnsi="Times New Roman"/>
      <w:sz w:val="24"/>
    </w:rPr>
  </w:style>
  <w:style w:type="character" w:customStyle="1" w:styleId="FigureLegend0">
    <w:name w:val="Figure_Legend 字符"/>
    <w:basedOn w:val="a0"/>
    <w:link w:val="FigureLegend"/>
    <w:rsid w:val="001716A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8/1752-7155/7/1/017116" TargetMode="External"/><Relationship Id="rId13" Type="http://schemas.openxmlformats.org/officeDocument/2006/relationships/hyperlink" Target="https://doi.org/10.1088/1752-7163/ab8d8b" TargetMode="External"/><Relationship Id="rId18" Type="http://schemas.openxmlformats.org/officeDocument/2006/relationships/hyperlink" Target="https://doi.org/10.1021/acs.analchem.7b05187" TargetMode="External"/><Relationship Id="rId26" Type="http://schemas.openxmlformats.org/officeDocument/2006/relationships/hyperlink" Target="https://doi.org/10.1088/1752-7155/8/4/046008" TargetMode="External"/><Relationship Id="rId39" Type="http://schemas.openxmlformats.org/officeDocument/2006/relationships/hyperlink" Target="https://doi.org/10.1088/1752-7155/9/1/016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73/pnas.0706533104" TargetMode="External"/><Relationship Id="rId34" Type="http://schemas.openxmlformats.org/officeDocument/2006/relationships/hyperlink" Target="https://doi.org/10.1016/j.microc.2024.11168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i.org/10.1021/acs.analchem.7b03808" TargetMode="External"/><Relationship Id="rId12" Type="http://schemas.openxmlformats.org/officeDocument/2006/relationships/hyperlink" Target="https://doi.org/10.1038/srep10717" TargetMode="External"/><Relationship Id="rId17" Type="http://schemas.openxmlformats.org/officeDocument/2006/relationships/hyperlink" Target="https://doi.org/10.1088/1752-7163/ac4610" TargetMode="External"/><Relationship Id="rId25" Type="http://schemas.openxmlformats.org/officeDocument/2006/relationships/hyperlink" Target="https://doi.org/10.1021/acs.analchem.7b03191" TargetMode="External"/><Relationship Id="rId33" Type="http://schemas.openxmlformats.org/officeDocument/2006/relationships/hyperlink" Target="https://doi.org/10.1021/acsomega.1c05948" TargetMode="External"/><Relationship Id="rId38" Type="http://schemas.openxmlformats.org/officeDocument/2006/relationships/hyperlink" Target="https://doi.org/10.3390/s160811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7/s00604-019-3713-1" TargetMode="External"/><Relationship Id="rId20" Type="http://schemas.openxmlformats.org/officeDocument/2006/relationships/hyperlink" Target="https://doi.org/10.1038/s41598-019-52165-x" TargetMode="External"/><Relationship Id="rId29" Type="http://schemas.openxmlformats.org/officeDocument/2006/relationships/hyperlink" Target="https://doi.org/10.15826/analitika.2018.22.2.00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07/978-94-007-6627-3-35" TargetMode="External"/><Relationship Id="rId11" Type="http://schemas.openxmlformats.org/officeDocument/2006/relationships/hyperlink" Target="https://doi.org/10.1016/j.jchromb.2017.05.030" TargetMode="External"/><Relationship Id="rId24" Type="http://schemas.openxmlformats.org/officeDocument/2006/relationships/hyperlink" Target="https://doi.org/10.1038/s41598-021-04072-3" TargetMode="External"/><Relationship Id="rId32" Type="http://schemas.openxmlformats.org/officeDocument/2006/relationships/hyperlink" Target="https://doi.org/10.1063/1.5115680" TargetMode="External"/><Relationship Id="rId37" Type="http://schemas.openxmlformats.org/officeDocument/2006/relationships/hyperlink" Target="https://doi.org/10.1002/oby.20696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oi.org/10.1088/1752-7155/7/1/017115" TargetMode="External"/><Relationship Id="rId23" Type="http://schemas.openxmlformats.org/officeDocument/2006/relationships/hyperlink" Target="https://doi.org/10.1016/j.talanta.2015.07.074" TargetMode="External"/><Relationship Id="rId28" Type="http://schemas.openxmlformats.org/officeDocument/2006/relationships/hyperlink" Target="https://doi.org/10.1016/j.snb.2022.131524" TargetMode="External"/><Relationship Id="rId36" Type="http://schemas.openxmlformats.org/officeDocument/2006/relationships/hyperlink" Target="https://doi.org/10.1109/JSEN.2015.2427524" TargetMode="External"/><Relationship Id="rId10" Type="http://schemas.openxmlformats.org/officeDocument/2006/relationships/hyperlink" Target="https://doi.org/10.1088/1752-7155/8/3/037108" TargetMode="External"/><Relationship Id="rId19" Type="http://schemas.openxmlformats.org/officeDocument/2006/relationships/hyperlink" Target="https://doi.org/10.1088/1752-7163/ace8b1" TargetMode="External"/><Relationship Id="rId31" Type="http://schemas.openxmlformats.org/officeDocument/2006/relationships/hyperlink" Target="https://doi.org/10.1109/ISCID59865.2023.0003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90/s21020478" TargetMode="External"/><Relationship Id="rId14" Type="http://schemas.openxmlformats.org/officeDocument/2006/relationships/hyperlink" Target="https://doi.org/10.3390/s24041294" TargetMode="External"/><Relationship Id="rId22" Type="http://schemas.openxmlformats.org/officeDocument/2006/relationships/hyperlink" Target="https://doi.org/10.1088/1752-7155/9/1/016008" TargetMode="External"/><Relationship Id="rId27" Type="http://schemas.openxmlformats.org/officeDocument/2006/relationships/hyperlink" Target="https://doi.org/10.1109/JBHI.2017.2757510" TargetMode="External"/><Relationship Id="rId30" Type="http://schemas.openxmlformats.org/officeDocument/2006/relationships/hyperlink" Target="https://doi.org/10.1016/j.snb.2017.10.178" TargetMode="External"/><Relationship Id="rId35" Type="http://schemas.openxmlformats.org/officeDocument/2006/relationships/hyperlink" Target="https://doi.org/10.1002/tee.2321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22</Pages>
  <Words>3745</Words>
  <Characters>21353</Characters>
  <Application>Microsoft Office Word</Application>
  <DocSecurity>0</DocSecurity>
  <Lines>177</Lines>
  <Paragraphs>50</Paragraphs>
  <ScaleCrop>false</ScaleCrop>
  <Company/>
  <LinksUpToDate>false</LinksUpToDate>
  <CharactersWithSpaces>25048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Guo</dc:creator>
  <cp:keywords/>
  <dc:description/>
  <cp:lastModifiedBy>Lin Guo</cp:lastModifiedBy>
  <cp:revision>10</cp:revision>
  <dcterms:created xsi:type="dcterms:W3CDTF">2025-08-14T06:46:00Z</dcterms:created>
  <dcterms:modified xsi:type="dcterms:W3CDTF">2025-08-20T09:03:00Z</dcterms:modified>
</cp:coreProperties>
</file>