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5534" w:type="pct"/>
        <w:tblInd w:w="-510" w:type="dxa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121"/>
        <w:gridCol w:w="1718"/>
        <w:gridCol w:w="517"/>
        <w:gridCol w:w="7130"/>
        <w:gridCol w:w="1671"/>
      </w:tblGrid>
      <w:tr w:rsidR="00D8602F" w:rsidRPr="008469D3" w14:paraId="60E6461E" w14:textId="77777777" w:rsidTr="00D8602F">
        <w:trPr>
          <w:trHeight w:val="288"/>
        </w:trPr>
        <w:tc>
          <w:tcPr>
            <w:tcW w:w="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tcMar>
              <w:left w:w="57" w:type="dxa"/>
              <w:right w:w="57" w:type="dxa"/>
            </w:tcMar>
            <w:vAlign w:val="center"/>
          </w:tcPr>
          <w:p w14:paraId="557CD31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FFFFFF" w:themeColor="background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30BC31B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Section &amp; Topic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3ECC111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No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35B7C65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Item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</w:tcPr>
          <w:p w14:paraId="6640D989" w14:textId="77777777" w:rsidR="00D8602F" w:rsidRPr="008469D3" w:rsidRDefault="00D8602F" w:rsidP="00D8602F">
            <w:pPr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Reported on page #</w:t>
            </w:r>
          </w:p>
        </w:tc>
      </w:tr>
      <w:tr w:rsidR="00D8602F" w:rsidRPr="005320D9" w14:paraId="63807D87" w14:textId="77777777" w:rsidTr="00D8602F">
        <w:trPr>
          <w:trHeight w:val="20"/>
        </w:trPr>
        <w:tc>
          <w:tcPr>
            <w:tcW w:w="1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1CD592" w14:textId="77777777" w:rsidR="00D8602F" w:rsidRPr="005320D9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8"/>
                <w:lang w:val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A38B9" w14:textId="77777777" w:rsidR="00D8602F" w:rsidRPr="005320D9" w:rsidRDefault="00D8602F" w:rsidP="00ED78B5">
            <w:pPr>
              <w:spacing w:line="276" w:lineRule="auto"/>
              <w:rPr>
                <w:rFonts w:cstheme="minorHAnsi"/>
                <w:b/>
                <w:color w:val="5B9BD5" w:themeColor="accent1"/>
                <w:sz w:val="8"/>
                <w:lang w:val="en-GB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F069F" w14:textId="77777777"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DCD70" w14:textId="77777777"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F2D0F" w14:textId="77777777" w:rsidR="00D8602F" w:rsidRPr="005320D9" w:rsidRDefault="00D8602F" w:rsidP="00D8602F">
            <w:pPr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</w:tr>
      <w:tr w:rsidR="00D8602F" w:rsidRPr="008469D3" w14:paraId="36D4E8A4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5C7F2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E86F69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TITLE OR ABSTRACT</w:t>
            </w:r>
          </w:p>
        </w:tc>
        <w:tc>
          <w:tcPr>
            <w:tcW w:w="518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AAE4576" w14:textId="77777777"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AAB9476" w14:textId="77777777"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36B4F7B" w14:textId="77777777" w:rsidR="00D8602F" w:rsidRPr="008469D3" w:rsidRDefault="00D8602F" w:rsidP="00D8602F">
            <w:pPr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6898F0C6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EDB5F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A69BAA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529E21F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2D4901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Identification as a study of diagnostic accuracy using at least one measure of accuracy</w:t>
            </w:r>
          </w:p>
          <w:p w14:paraId="3FA95BA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(such as sensitivity, specificity, predictive values, or AUC)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F2D5168" w14:textId="35C992A9" w:rsidR="00D8602F" w:rsidRPr="008469D3" w:rsidRDefault="00314FEB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</w:t>
            </w:r>
          </w:p>
        </w:tc>
      </w:tr>
      <w:tr w:rsidR="00D8602F" w:rsidRPr="008469D3" w14:paraId="3D6AAD53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59CEA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6596D4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ABSTRACT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FC30941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846B3C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B6B4609" w14:textId="77777777" w:rsidR="00D8602F" w:rsidRPr="008469D3" w:rsidRDefault="00D8602F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2FE5DD2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880BC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E38240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ACB5234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51D3BB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Structured summary of study design, methods, results, and conclusions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(for specific guidance, see STARD for Abstracts)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D8845AD" w14:textId="110C3729" w:rsidR="00D8602F" w:rsidRPr="008469D3" w:rsidRDefault="00314FEB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</w:t>
            </w:r>
          </w:p>
        </w:tc>
      </w:tr>
      <w:tr w:rsidR="00D8602F" w:rsidRPr="008469D3" w14:paraId="6E254D99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62232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FEC081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INTRODUCTION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CFED0D7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69E9F6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E55D6FB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7E4562C4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1ECE8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0E528A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25600FD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870ADB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Scientific and clinical background, including the intended use and clinical role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5C55473" w14:textId="34B1328A" w:rsidR="00D8602F" w:rsidRPr="008469D3" w:rsidRDefault="00314FEB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2-3</w:t>
            </w:r>
          </w:p>
        </w:tc>
      </w:tr>
      <w:tr w:rsidR="00D8602F" w:rsidRPr="008469D3" w14:paraId="6271A659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EAF2B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E6F081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4971701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35A4C5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Study objectives and hypotheses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A30852B" w14:textId="0CECA384" w:rsidR="00D8602F" w:rsidRPr="008469D3" w:rsidRDefault="00314FEB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</w:t>
            </w:r>
          </w:p>
        </w:tc>
      </w:tr>
      <w:tr w:rsidR="00D8602F" w:rsidRPr="008469D3" w14:paraId="600C444E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079B7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7E41D1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METHODS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53CD4AC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9B791B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25EF5E6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77350711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A556A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EFB0BB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Study design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FFDD975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88C0CC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data collection was planned before the index test and reference standard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were performed (prospective study) or after (retrospective study)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FD34619" w14:textId="6FAB7BD2" w:rsidR="00D8602F" w:rsidRPr="008469D3" w:rsidRDefault="0045561A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</w:t>
            </w:r>
          </w:p>
        </w:tc>
      </w:tr>
      <w:tr w:rsidR="00D8602F" w:rsidRPr="008469D3" w14:paraId="0465F59B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5D1D2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7340BF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2BB5E9D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929981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Eligibility criteria 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BBD334D" w14:textId="0D4F67D1" w:rsidR="00D8602F" w:rsidRPr="008469D3" w:rsidRDefault="0045561A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4</w:t>
            </w:r>
          </w:p>
        </w:tc>
      </w:tr>
      <w:tr w:rsidR="00D8602F" w:rsidRPr="008469D3" w14:paraId="624C0CCC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8BEC9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1010A7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FFA6EDD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57BD7A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On what basis potentially eligible participants were identified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(such as symptoms, results from previous tests, inclusion in registry)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B0CBA18" w14:textId="3A4E842F" w:rsidR="00D8602F" w:rsidRPr="008469D3" w:rsidRDefault="0045561A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4</w:t>
            </w:r>
          </w:p>
        </w:tc>
      </w:tr>
      <w:tr w:rsidR="00D8602F" w:rsidRPr="008469D3" w14:paraId="06953DDA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93E57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6D713F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426EA9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4026B3D" w14:textId="77777777" w:rsidR="00D8602F" w:rsidRPr="008469D3" w:rsidRDefault="00D8602F" w:rsidP="00ED78B5">
            <w:pPr>
              <w:tabs>
                <w:tab w:val="left" w:pos="527"/>
              </w:tabs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Where and when potentially eligible participants were identified (setting, location and dates)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BD8C89F" w14:textId="7131CEF2" w:rsidR="00D8602F" w:rsidRPr="008469D3" w:rsidRDefault="0045561A" w:rsidP="00D8602F">
            <w:pPr>
              <w:tabs>
                <w:tab w:val="left" w:pos="527"/>
              </w:tabs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4</w:t>
            </w:r>
          </w:p>
        </w:tc>
      </w:tr>
      <w:tr w:rsidR="00D8602F" w:rsidRPr="008469D3" w14:paraId="6E45935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6728F9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3FC557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266E755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0C5777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Whether participants formed a consecutive, random or convenience series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284733C" w14:textId="03052B4A" w:rsidR="00D8602F" w:rsidRPr="008469D3" w:rsidRDefault="0045561A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4-5</w:t>
            </w:r>
          </w:p>
        </w:tc>
      </w:tr>
      <w:tr w:rsidR="00D8602F" w:rsidRPr="008469D3" w14:paraId="40E2C66A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31986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FB0FC7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methods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3D13E1C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D48A7D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Index test, in sufficient detail to allow replication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75AC922" w14:textId="131A4CAF" w:rsidR="00D8602F" w:rsidRPr="008469D3" w:rsidRDefault="002F4B8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5-7</w:t>
            </w:r>
          </w:p>
        </w:tc>
      </w:tr>
      <w:tr w:rsidR="00D8602F" w:rsidRPr="008469D3" w14:paraId="6585577A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E298A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E07888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20D638F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6B1277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Reference standard, in sufficient detail to allow replication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544A546" w14:textId="2C18F05E" w:rsidR="00D8602F" w:rsidRPr="008469D3" w:rsidRDefault="002F4B8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4-5</w:t>
            </w:r>
          </w:p>
        </w:tc>
      </w:tr>
      <w:tr w:rsidR="00D8602F" w:rsidRPr="008469D3" w14:paraId="12A90C2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79D6A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82BF39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92CF9E4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11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D7B7A5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Rationale for choosing the reference standard (if alternatives exist)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51145A1" w14:textId="08CD4608" w:rsidR="00D8602F" w:rsidRPr="008469D3" w:rsidRDefault="002F4B89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NA</w:t>
            </w:r>
          </w:p>
        </w:tc>
      </w:tr>
      <w:tr w:rsidR="00D8602F" w:rsidRPr="008469D3" w14:paraId="7411A525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4405C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E9E02A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ED7867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D4E9B5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index test,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BAA01BD" w14:textId="5EA689B4" w:rsidR="00D8602F" w:rsidRPr="008469D3" w:rsidRDefault="00F76B76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6-7</w:t>
            </w:r>
          </w:p>
        </w:tc>
      </w:tr>
      <w:tr w:rsidR="00D8602F" w:rsidRPr="008469D3" w14:paraId="7CD819E3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F9757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41BA41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37365CA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D14E96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reference standard,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64AC0EE" w14:textId="5D4870F0" w:rsidR="00D8602F" w:rsidRPr="008469D3" w:rsidRDefault="00ED3B8C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4-5</w:t>
            </w:r>
          </w:p>
        </w:tc>
      </w:tr>
      <w:tr w:rsidR="00D8602F" w:rsidRPr="008469D3" w14:paraId="4C906C5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96618D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CD3E83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880665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0E2E1B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reference standard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performers/readers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AF9CF3F" w14:textId="76C049E6" w:rsidR="00D8602F" w:rsidRPr="008469D3" w:rsidRDefault="00F76B7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4-5</w:t>
            </w:r>
          </w:p>
        </w:tc>
      </w:tr>
      <w:tr w:rsidR="00D8602F" w:rsidRPr="008469D3" w14:paraId="0AEA4B94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B99383F" w14:textId="77777777" w:rsidR="00D8602F" w:rsidRPr="008469D3" w:rsidDel="0039653F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00F9F48" w14:textId="77777777" w:rsidR="00D8602F" w:rsidRPr="008469D3" w:rsidDel="0039653F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25E513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75D9BF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index test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assessors of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D344FE7" w14:textId="5D839892" w:rsidR="00D8602F" w:rsidRPr="008469D3" w:rsidRDefault="00F76B7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6-7</w:t>
            </w:r>
          </w:p>
        </w:tc>
      </w:tr>
      <w:tr w:rsidR="00D8602F" w:rsidRPr="008469D3" w14:paraId="2C1FDBC0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622D9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67B652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Analysis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6E54417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47210E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Methods for estimating or comparing measures of diagnostic accuracy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6FF5300" w14:textId="46E9E418" w:rsidR="00D8602F" w:rsidRPr="008469D3" w:rsidRDefault="00996C0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8</w:t>
            </w:r>
          </w:p>
        </w:tc>
      </w:tr>
      <w:tr w:rsidR="00D8602F" w:rsidRPr="008469D3" w14:paraId="423540C9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3E29C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4D630C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81B236F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42B0F9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 indeterminate index test or reference standard results were handled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301415C" w14:textId="5AC88D8C" w:rsidR="00D8602F" w:rsidRPr="008469D3" w:rsidRDefault="00996C0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NA</w:t>
            </w:r>
          </w:p>
        </w:tc>
      </w:tr>
      <w:tr w:rsidR="00D8602F" w:rsidRPr="008469D3" w14:paraId="0BA2BF9D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0033B1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6FF5DB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DBB0653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AEE9DF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 missing data on the index test and reference standard were handled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F2F7B86" w14:textId="5AEB1B09" w:rsidR="00D8602F" w:rsidRPr="008469D3" w:rsidRDefault="00996C0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D8602F" w:rsidRPr="008469D3" w14:paraId="1A1026BC" w14:textId="77777777" w:rsidTr="00D8602F">
        <w:trPr>
          <w:trHeight w:val="187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9DAE4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5345F4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5389763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714945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Any analyses of variability in diagnostic accuracy, 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B8AE215" w14:textId="48A44BCC" w:rsidR="00D8602F" w:rsidRPr="008469D3" w:rsidRDefault="00840096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8-9</w:t>
            </w:r>
          </w:p>
        </w:tc>
      </w:tr>
      <w:tr w:rsidR="00D8602F" w:rsidRPr="008469D3" w14:paraId="476080B5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AAAB5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67D5AB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20EEEFC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1F309B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Intended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sample size and how it was determined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3C8BF53" w14:textId="09520EEC" w:rsidR="00D8602F" w:rsidRPr="008469D3" w:rsidRDefault="00E75943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4</w:t>
            </w:r>
          </w:p>
        </w:tc>
      </w:tr>
      <w:tr w:rsidR="00D8602F" w:rsidRPr="008469D3" w14:paraId="53E0B1D7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368A60" w14:textId="77777777" w:rsidR="00D8602F" w:rsidRPr="008469D3" w:rsidRDefault="00D8602F" w:rsidP="00ED78B5">
            <w:pPr>
              <w:spacing w:line="276" w:lineRule="auto"/>
              <w:rPr>
                <w:rFonts w:eastAsia="Times New Roman"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36770E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  <w:r w:rsidRPr="008469D3">
              <w:rPr>
                <w:rFonts w:eastAsia="Times New Roman" w:cstheme="minorHAnsi"/>
                <w:color w:val="000000" w:themeColor="text1"/>
                <w:sz w:val="18"/>
                <w:lang w:val="en-GB"/>
              </w:rPr>
              <w:br w:type="page"/>
            </w: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RESULTS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263E4BA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D4A88F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F762E72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40FDCFA3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136A8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9EBC78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552E00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76895B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Flow of participants, using a diagram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243E039" w14:textId="20DDD981" w:rsidR="00D8602F" w:rsidRPr="008469D3" w:rsidRDefault="00E75943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10</w:t>
            </w:r>
          </w:p>
        </w:tc>
      </w:tr>
      <w:tr w:rsidR="00D8602F" w:rsidRPr="008469D3" w14:paraId="090810C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136D6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858729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431D058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20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6129B9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Baseline demographic and clinical characteristics of participants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2E868C4" w14:textId="35094783" w:rsidR="00D8602F" w:rsidRPr="008469D3" w:rsidRDefault="00E75943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10</w:t>
            </w:r>
          </w:p>
        </w:tc>
      </w:tr>
      <w:tr w:rsidR="00D8602F" w:rsidRPr="008469D3" w14:paraId="5430B2C1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78798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9DA5A8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8D0A365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719412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Distribution of severity of disease in those with the target condition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EE5E28A" w14:textId="3D02911A" w:rsidR="00D8602F" w:rsidRPr="008469D3" w:rsidRDefault="00E75943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10</w:t>
            </w:r>
          </w:p>
        </w:tc>
      </w:tr>
      <w:tr w:rsidR="00D8602F" w:rsidRPr="008469D3" w14:paraId="7BB6EF36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46823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AFF15C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6F284EC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0E23C9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Distribution of</w:t>
            </w:r>
            <w:r w:rsidRPr="008469D3">
              <w:rPr>
                <w:rFonts w:cstheme="minorHAnsi"/>
                <w:color w:val="FF0000"/>
                <w:sz w:val="18"/>
                <w:lang w:val="en-GB"/>
              </w:rPr>
              <w:t xml:space="preserve">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alternative diagnoses in those without the target condition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23AFADF" w14:textId="668F8A16" w:rsidR="00D8602F" w:rsidRPr="008469D3" w:rsidRDefault="00E75943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NA</w:t>
            </w:r>
          </w:p>
        </w:tc>
      </w:tr>
      <w:tr w:rsidR="00D8602F" w:rsidRPr="008469D3" w14:paraId="4B47293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03DF4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3999FF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79A2278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22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F290C5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Time interval and any clinical interventions between index test and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4CC4386" w14:textId="371F36A7" w:rsidR="00D8602F" w:rsidRPr="008469D3" w:rsidRDefault="00092F2D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NA</w:t>
            </w:r>
          </w:p>
        </w:tc>
      </w:tr>
      <w:tr w:rsidR="00D8602F" w:rsidRPr="008469D3" w14:paraId="4BBA27D9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0441E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25FF8A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results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6D2128E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23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41E91C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Cross tabulation of the index test results (or their distribution)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by the results of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3CC3281" w14:textId="3ABC2FC8" w:rsidR="00D8602F" w:rsidRPr="008469D3" w:rsidRDefault="00092F2D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10</w:t>
            </w:r>
          </w:p>
        </w:tc>
      </w:tr>
      <w:tr w:rsidR="00D8602F" w:rsidRPr="008469D3" w14:paraId="05C28D1F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97976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597657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C1D52EA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C02A11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Estimates of diagnostic accuracy and their precision (such as 95% confidence intervals)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BE9DCA5" w14:textId="2522EFD9" w:rsidR="00D8602F" w:rsidRPr="008469D3" w:rsidRDefault="00092F2D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9-12</w:t>
            </w:r>
          </w:p>
        </w:tc>
      </w:tr>
      <w:tr w:rsidR="00D8602F" w:rsidRPr="008469D3" w14:paraId="635FE12D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AC966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F12095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1FC287D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1AA28D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Any adverse events from performing the index test or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7EE7DE1" w14:textId="711798C6" w:rsidR="00D8602F" w:rsidRPr="008469D3" w:rsidRDefault="00092F2D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NA</w:t>
            </w:r>
          </w:p>
        </w:tc>
      </w:tr>
      <w:tr w:rsidR="00D8602F" w:rsidRPr="008469D3" w14:paraId="04CCECBF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4E5D4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95D562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DISCUSSION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CBE8BE7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509FB2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AF5DA85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765D9A93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A3195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01073D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2394A1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ADC0A4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Study limitations, </w:t>
            </w:r>
            <w:r w:rsidRPr="008469D3">
              <w:rPr>
                <w:rFonts w:cstheme="minorHAnsi"/>
                <w:sz w:val="18"/>
                <w:lang w:val="en-GB"/>
              </w:rPr>
              <w:t>including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sources of potential bias, statistical uncertainty, and generalisability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68423C8" w14:textId="61583D31" w:rsidR="00D8602F" w:rsidRPr="008469D3" w:rsidRDefault="0066076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16</w:t>
            </w:r>
          </w:p>
        </w:tc>
      </w:tr>
      <w:tr w:rsidR="00D8602F" w:rsidRPr="008469D3" w14:paraId="4C03735B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00015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B3F93D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116510D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0305A1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Implications for practice, including the intended use and clinical role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9FCA2EE" w14:textId="4481F108" w:rsidR="00D8602F" w:rsidRPr="008469D3" w:rsidRDefault="0066076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13-15</w:t>
            </w:r>
          </w:p>
        </w:tc>
      </w:tr>
      <w:tr w:rsidR="00D8602F" w:rsidRPr="008469D3" w14:paraId="03865119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B6D4BB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AFD92C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OTHER INFORMATION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CF4AF17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1EDD44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BF4A5B8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0A5D4464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E1E9F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FD9D0A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22625F5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C8ADD9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Registration number and name of registry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6634BBB" w14:textId="0BE272DE" w:rsidR="00D8602F" w:rsidRPr="008469D3" w:rsidRDefault="00660766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NA</w:t>
            </w:r>
          </w:p>
        </w:tc>
      </w:tr>
      <w:tr w:rsidR="00D8602F" w:rsidRPr="008469D3" w14:paraId="777AB71E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1562A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A77897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6E0CB41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8E26B9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Where the full study protocol can be accessed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1460D59" w14:textId="5C5F7041" w:rsidR="00D8602F" w:rsidRPr="008469D3" w:rsidRDefault="00660766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NA</w:t>
            </w:r>
          </w:p>
        </w:tc>
      </w:tr>
      <w:tr w:rsidR="00D8602F" w:rsidRPr="008469D3" w14:paraId="174C88F9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9CFE50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nil"/>
              <w:right w:val="dotted" w:sz="6" w:space="0" w:color="5B9BD5" w:themeColor="accent1"/>
            </w:tcBorders>
          </w:tcPr>
          <w:p w14:paraId="7792D8F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dotted" w:sz="6" w:space="0" w:color="5B9BD5" w:themeColor="accent1"/>
            </w:tcBorders>
          </w:tcPr>
          <w:p w14:paraId="579B8E18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30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05A7187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Sources of funding and other support; role of funders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76618C33" w14:textId="297E7337" w:rsidR="00D8602F" w:rsidRPr="008469D3" w:rsidRDefault="00660766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Title page (blinded)</w:t>
            </w:r>
          </w:p>
        </w:tc>
      </w:tr>
      <w:tr w:rsidR="00D8602F" w:rsidRPr="005320D9" w14:paraId="2B5B5E68" w14:textId="77777777" w:rsidTr="00D8602F">
        <w:trPr>
          <w:trHeight w:val="70"/>
        </w:trPr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E2F8974" w14:textId="77777777"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90E8B" w14:textId="77777777"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FB773" w14:textId="77777777" w:rsidR="00D8602F" w:rsidRPr="005320D9" w:rsidRDefault="00D8602F" w:rsidP="00ED78B5">
            <w:pPr>
              <w:jc w:val="center"/>
              <w:rPr>
                <w:rFonts w:cstheme="minorHAnsi"/>
                <w:b/>
                <w:sz w:val="8"/>
                <w:lang w:val="en-GB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D7F28" w14:textId="77777777"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40D34" w14:textId="77777777" w:rsidR="00D8602F" w:rsidRPr="005320D9" w:rsidRDefault="00D8602F" w:rsidP="00D8602F">
            <w:pPr>
              <w:rPr>
                <w:rFonts w:cstheme="minorHAnsi"/>
                <w:color w:val="000000" w:themeColor="text1"/>
                <w:sz w:val="8"/>
              </w:rPr>
            </w:pPr>
          </w:p>
        </w:tc>
      </w:tr>
    </w:tbl>
    <w:p w14:paraId="6B417F70" w14:textId="77777777" w:rsidR="008469D3" w:rsidRPr="008469D3" w:rsidRDefault="008469D3" w:rsidP="0018414D">
      <w:pPr>
        <w:rPr>
          <w:caps/>
          <w:color w:val="000000" w:themeColor="text1"/>
          <w:spacing w:val="15"/>
          <w:sz w:val="28"/>
          <w:szCs w:val="22"/>
        </w:rPr>
        <w:sectPr w:rsidR="008469D3" w:rsidRPr="008469D3" w:rsidSect="0046212E">
          <w:footerReference w:type="default" r:id="rId8"/>
          <w:pgSz w:w="12240" w:h="15840"/>
          <w:pgMar w:top="794" w:right="1151" w:bottom="340" w:left="1009" w:header="289" w:footer="142" w:gutter="0"/>
          <w:cols w:space="708"/>
          <w:docGrid w:linePitch="360"/>
        </w:sectPr>
      </w:pPr>
    </w:p>
    <w:p w14:paraId="4AC2ECB7" w14:textId="77777777" w:rsidR="007B29BD" w:rsidRDefault="0084546B" w:rsidP="00306D8E">
      <w:pPr>
        <w:rPr>
          <w:sz w:val="28"/>
        </w:rPr>
      </w:pPr>
      <w:r>
        <w:rPr>
          <w:sz w:val="28"/>
        </w:rPr>
        <w:br w:type="page"/>
      </w:r>
      <w:r w:rsidR="00650885" w:rsidRPr="00877F0A">
        <w:rPr>
          <w:sz w:val="28"/>
        </w:rPr>
        <w:lastRenderedPageBreak/>
        <w:t>STARD</w:t>
      </w:r>
      <w:r w:rsidR="00411FEB">
        <w:rPr>
          <w:sz w:val="28"/>
        </w:rPr>
        <w:t xml:space="preserve"> 2015</w:t>
      </w:r>
    </w:p>
    <w:p w14:paraId="32FFFA3A" w14:textId="77777777" w:rsidR="00070D8C" w:rsidRDefault="00E22149" w:rsidP="00F31F82">
      <w:pPr>
        <w:pStyle w:val="Heading3"/>
      </w:pPr>
      <w:r>
        <w:t>AIM</w:t>
      </w:r>
      <w:r w:rsidR="00070D8C">
        <w:t xml:space="preserve"> </w:t>
      </w:r>
    </w:p>
    <w:p w14:paraId="212F636E" w14:textId="77777777" w:rsidR="00ED3C9B" w:rsidRDefault="00ED3C9B" w:rsidP="00F31F82">
      <w:r>
        <w:t>STARD stands for “Standards for Reporting Diagnostic accuracy studies”. This</w:t>
      </w:r>
      <w:r w:rsidRPr="00877F0A">
        <w:t xml:space="preserve"> list </w:t>
      </w:r>
      <w:r w:rsidR="00F31F82">
        <w:t xml:space="preserve">of items </w:t>
      </w:r>
      <w:r w:rsidRPr="00877F0A">
        <w:t xml:space="preserve">was developed to contribute to the completeness and transparency </w:t>
      </w:r>
      <w:r>
        <w:t xml:space="preserve">of reporting of </w:t>
      </w:r>
      <w:r w:rsidRPr="00877F0A">
        <w:t>diagnostic accuracy studies</w:t>
      </w:r>
      <w:r>
        <w:t xml:space="preserve">. Authors can use the list to write informative study reports. Editors and peer-reviewers can use it to evaluate whether the information has been included in manuscripts submitted for publication. </w:t>
      </w:r>
    </w:p>
    <w:p w14:paraId="32063D11" w14:textId="77777777" w:rsidR="00411FEB" w:rsidRDefault="007C5912" w:rsidP="00F31F82">
      <w:pPr>
        <w:pStyle w:val="Heading3"/>
      </w:pPr>
      <w:r>
        <w:t>Explanation</w:t>
      </w:r>
    </w:p>
    <w:p w14:paraId="3461814E" w14:textId="77777777" w:rsidR="00ED3C9B" w:rsidRDefault="00ED3C9B" w:rsidP="00F31F82">
      <w:pPr>
        <w:jc w:val="both"/>
      </w:pPr>
      <w:r w:rsidRPr="000304F3">
        <w:t>A</w:t>
      </w:r>
      <w:r w:rsidRPr="000304F3">
        <w:rPr>
          <w:b/>
        </w:rPr>
        <w:t xml:space="preserve"> diagnostic accuracy study </w:t>
      </w:r>
      <w:r w:rsidRPr="000304F3">
        <w:t xml:space="preserve">evaluates the </w:t>
      </w:r>
      <w:r w:rsidR="000E01A1">
        <w:t>ability</w:t>
      </w:r>
      <w:r w:rsidR="000E01A1" w:rsidRPr="000304F3">
        <w:t xml:space="preserve"> </w:t>
      </w:r>
      <w:r w:rsidRPr="000304F3">
        <w:t xml:space="preserve">of one or more medical tests </w:t>
      </w:r>
      <w:r w:rsidR="000E01A1">
        <w:t>to</w:t>
      </w:r>
      <w:r w:rsidRPr="000304F3">
        <w:t xml:space="preserve"> correctly classify study participants as having </w:t>
      </w:r>
      <w:r w:rsidR="00C106F1">
        <w:t>a</w:t>
      </w:r>
      <w:r w:rsidR="00C106F1" w:rsidRPr="000304F3">
        <w:t xml:space="preserve"> </w:t>
      </w:r>
      <w:r w:rsidRPr="000304F3">
        <w:rPr>
          <w:b/>
        </w:rPr>
        <w:t>target condition.</w:t>
      </w:r>
      <w:r w:rsidRPr="000304F3">
        <w:t xml:space="preserve"> </w:t>
      </w:r>
      <w:r w:rsidR="0037210E">
        <w:t>This</w:t>
      </w:r>
      <w:r w:rsidR="00370FC4">
        <w:t xml:space="preserve"> can be a disease, a disease stage, response or benefit from therapy, or an event </w:t>
      </w:r>
      <w:r w:rsidR="00D86EB5">
        <w:t xml:space="preserve">or condition </w:t>
      </w:r>
      <w:r w:rsidR="00370FC4">
        <w:t xml:space="preserve">in the future. </w:t>
      </w:r>
      <w:r w:rsidRPr="000304F3">
        <w:t xml:space="preserve">A medical </w:t>
      </w:r>
      <w:r>
        <w:t>test can</w:t>
      </w:r>
      <w:r w:rsidRPr="000304F3">
        <w:t xml:space="preserve"> be an imaging procedure, a laboratory test, elements from history and physical examination, a combination of these, or any other method for collecting inform</w:t>
      </w:r>
      <w:r>
        <w:t>ation about the current health status of a patient.</w:t>
      </w:r>
    </w:p>
    <w:p w14:paraId="1BAA55CB" w14:textId="77777777" w:rsidR="00ED3C9B" w:rsidRPr="00AF6395" w:rsidRDefault="00ED3C9B" w:rsidP="00F31F82">
      <w:pPr>
        <w:jc w:val="both"/>
        <w:rPr>
          <w:color w:val="FF0000"/>
        </w:rPr>
      </w:pPr>
      <w:r>
        <w:rPr>
          <w:color w:val="000000" w:themeColor="text1"/>
        </w:rPr>
        <w:t>The test whose accuracy is evaluated is</w:t>
      </w:r>
      <w:r w:rsidRPr="00AF6395">
        <w:rPr>
          <w:color w:val="000000" w:themeColor="text1"/>
        </w:rPr>
        <w:t xml:space="preserve"> called </w:t>
      </w:r>
      <w:r>
        <w:rPr>
          <w:b/>
          <w:color w:val="000000" w:themeColor="text1"/>
        </w:rPr>
        <w:t>index test</w:t>
      </w:r>
      <w:r w:rsidRPr="00AF6395">
        <w:rPr>
          <w:b/>
          <w:color w:val="000000" w:themeColor="text1"/>
        </w:rPr>
        <w:t xml:space="preserve">. </w:t>
      </w:r>
      <w:r w:rsidR="008948E6">
        <w:rPr>
          <w:color w:val="000000" w:themeColor="text1"/>
        </w:rPr>
        <w:t xml:space="preserve">A study can evaluate the accuracy of one or more </w:t>
      </w:r>
      <w:r w:rsidR="00F31F82">
        <w:rPr>
          <w:color w:val="000000" w:themeColor="text1"/>
        </w:rPr>
        <w:t xml:space="preserve">index </w:t>
      </w:r>
      <w:r w:rsidR="008948E6">
        <w:rPr>
          <w:color w:val="000000" w:themeColor="text1"/>
        </w:rPr>
        <w:t xml:space="preserve">tests. </w:t>
      </w:r>
      <w:r w:rsidRPr="00AF6395">
        <w:rPr>
          <w:color w:val="000000" w:themeColor="text1"/>
        </w:rPr>
        <w:t xml:space="preserve">Evaluating the </w:t>
      </w:r>
      <w:r w:rsidR="007F576E">
        <w:rPr>
          <w:color w:val="000000" w:themeColor="text1"/>
        </w:rPr>
        <w:t>ability</w:t>
      </w:r>
      <w:r w:rsidRPr="00AF6395">
        <w:rPr>
          <w:color w:val="000000" w:themeColor="text1"/>
        </w:rPr>
        <w:t xml:space="preserve"> of a medical test </w:t>
      </w:r>
      <w:r w:rsidR="007F576E">
        <w:rPr>
          <w:color w:val="000000" w:themeColor="text1"/>
        </w:rPr>
        <w:t>to</w:t>
      </w:r>
      <w:r w:rsidRPr="00AF6395">
        <w:rPr>
          <w:color w:val="000000" w:themeColor="text1"/>
        </w:rPr>
        <w:t xml:space="preserve"> correctly classify patients is typically done by comparing the </w:t>
      </w:r>
      <w:r>
        <w:rPr>
          <w:color w:val="000000" w:themeColor="text1"/>
        </w:rPr>
        <w:t xml:space="preserve">distribution of the </w:t>
      </w:r>
      <w:r w:rsidRPr="00AF6395">
        <w:rPr>
          <w:color w:val="000000" w:themeColor="text1"/>
        </w:rPr>
        <w:t xml:space="preserve">index test results with those of the </w:t>
      </w:r>
      <w:r w:rsidRPr="00AF6395">
        <w:rPr>
          <w:b/>
          <w:color w:val="000000" w:themeColor="text1"/>
        </w:rPr>
        <w:t>reference standard</w:t>
      </w:r>
      <w:r w:rsidRPr="00AF6395">
        <w:rPr>
          <w:color w:val="000000" w:themeColor="text1"/>
        </w:rPr>
        <w:t>.</w:t>
      </w:r>
      <w:r w:rsidRPr="00AF6395">
        <w:rPr>
          <w:b/>
          <w:color w:val="000000" w:themeColor="text1"/>
        </w:rPr>
        <w:t xml:space="preserve"> </w:t>
      </w:r>
      <w:r w:rsidRPr="00AF6395">
        <w:rPr>
          <w:color w:val="000000" w:themeColor="text1"/>
        </w:rPr>
        <w:t>Th</w:t>
      </w:r>
      <w:r>
        <w:rPr>
          <w:color w:val="000000" w:themeColor="text1"/>
        </w:rPr>
        <w:t>e reference standard</w:t>
      </w:r>
      <w:r w:rsidRPr="00AF6395">
        <w:rPr>
          <w:b/>
          <w:color w:val="000000" w:themeColor="text1"/>
        </w:rPr>
        <w:t xml:space="preserve"> </w:t>
      </w:r>
      <w:r w:rsidRPr="00AF6395">
        <w:rPr>
          <w:color w:val="000000" w:themeColor="text1"/>
        </w:rPr>
        <w:t>is</w:t>
      </w:r>
      <w:r w:rsidRPr="00AF6395">
        <w:rPr>
          <w:b/>
          <w:color w:val="000000" w:themeColor="text1"/>
        </w:rPr>
        <w:t xml:space="preserve"> </w:t>
      </w:r>
      <w:r w:rsidRPr="00AF6395">
        <w:rPr>
          <w:color w:val="000000" w:themeColor="text1"/>
        </w:rPr>
        <w:t xml:space="preserve">the best available </w:t>
      </w:r>
      <w:r>
        <w:rPr>
          <w:color w:val="000000" w:themeColor="text1"/>
        </w:rPr>
        <w:t xml:space="preserve">method </w:t>
      </w:r>
      <w:r w:rsidRPr="00AF6395">
        <w:rPr>
          <w:color w:val="000000" w:themeColor="text1"/>
        </w:rPr>
        <w:t xml:space="preserve">for </w:t>
      </w:r>
      <w:r w:rsidR="0081183B">
        <w:rPr>
          <w:color w:val="000000" w:themeColor="text1"/>
        </w:rPr>
        <w:t>establishing the presence or absence of</w:t>
      </w:r>
      <w:r w:rsidR="0081183B" w:rsidRPr="00AF6395">
        <w:rPr>
          <w:color w:val="000000" w:themeColor="text1"/>
        </w:rPr>
        <w:t xml:space="preserve"> </w:t>
      </w:r>
      <w:r w:rsidRPr="00AF6395">
        <w:rPr>
          <w:color w:val="000000" w:themeColor="text1"/>
        </w:rPr>
        <w:t>the target condition</w:t>
      </w:r>
      <w:r>
        <w:rPr>
          <w:color w:val="000000" w:themeColor="text1"/>
        </w:rPr>
        <w:t xml:space="preserve">. </w:t>
      </w:r>
      <w:r w:rsidR="00F31F82">
        <w:rPr>
          <w:color w:val="000000" w:themeColor="text1"/>
        </w:rPr>
        <w:t>An accuracy study can rely on one or more reference standards.</w:t>
      </w:r>
    </w:p>
    <w:p w14:paraId="70AA1905" w14:textId="77777777" w:rsidR="00ED3C9B" w:rsidRDefault="00ED3C9B" w:rsidP="00F31F82">
      <w:pPr>
        <w:jc w:val="both"/>
      </w:pPr>
      <w:r>
        <w:t xml:space="preserve">If test results are categorized as either positive or negative, </w:t>
      </w:r>
      <w:r>
        <w:rPr>
          <w:color w:val="000000" w:themeColor="text1"/>
        </w:rPr>
        <w:t>t</w:t>
      </w:r>
      <w:r w:rsidRPr="00AF6395">
        <w:rPr>
          <w:color w:val="000000" w:themeColor="text1"/>
        </w:rPr>
        <w:t xml:space="preserve">he </w:t>
      </w:r>
      <w:r>
        <w:rPr>
          <w:color w:val="000000" w:themeColor="text1"/>
        </w:rPr>
        <w:t>cross tabulation</w:t>
      </w:r>
      <w:r w:rsidRPr="00AF6395">
        <w:rPr>
          <w:color w:val="000000" w:themeColor="text1"/>
        </w:rPr>
        <w:t xml:space="preserve"> of the index test results against th</w:t>
      </w:r>
      <w:r>
        <w:rPr>
          <w:color w:val="000000" w:themeColor="text1"/>
        </w:rPr>
        <w:t>ose</w:t>
      </w:r>
      <w:r w:rsidRPr="00AF6395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Pr="00AF6395">
        <w:rPr>
          <w:color w:val="000000" w:themeColor="text1"/>
        </w:rPr>
        <w:t xml:space="preserve"> the reference standard</w:t>
      </w:r>
      <w:r>
        <w:rPr>
          <w:color w:val="000000" w:themeColor="text1"/>
        </w:rPr>
        <w:t xml:space="preserve"> </w:t>
      </w:r>
      <w:r w:rsidRPr="00AF6395">
        <w:rPr>
          <w:color w:val="000000" w:themeColor="text1"/>
        </w:rPr>
        <w:t xml:space="preserve">can be used </w:t>
      </w:r>
      <w:r>
        <w:t>to estimate the</w:t>
      </w:r>
      <w:r w:rsidRPr="00877F0A">
        <w:t xml:space="preserve"> </w:t>
      </w:r>
      <w:r w:rsidRPr="00877F0A">
        <w:rPr>
          <w:b/>
        </w:rPr>
        <w:t xml:space="preserve">sensitivity </w:t>
      </w:r>
      <w:r w:rsidRPr="00BA7F88">
        <w:t>of the index test</w:t>
      </w:r>
      <w:r>
        <w:rPr>
          <w:b/>
        </w:rPr>
        <w:t xml:space="preserve"> </w:t>
      </w:r>
      <w:r w:rsidRPr="00877F0A">
        <w:t xml:space="preserve">(the proportion of </w:t>
      </w:r>
      <w:r>
        <w:t xml:space="preserve">participants </w:t>
      </w:r>
      <w:r w:rsidRPr="00523AA2">
        <w:rPr>
          <w:i/>
        </w:rPr>
        <w:t>with</w:t>
      </w:r>
      <w:r w:rsidRPr="00877F0A">
        <w:t xml:space="preserve"> the </w:t>
      </w:r>
      <w:r>
        <w:t>target condition</w:t>
      </w:r>
      <w:r w:rsidRPr="00877F0A">
        <w:t xml:space="preserve"> </w:t>
      </w:r>
      <w:r w:rsidR="0081183B">
        <w:t xml:space="preserve">who have a positive </w:t>
      </w:r>
      <w:r>
        <w:t>index test</w:t>
      </w:r>
      <w:r w:rsidRPr="00877F0A">
        <w:t>)</w:t>
      </w:r>
      <w:r>
        <w:t>,</w:t>
      </w:r>
      <w:r w:rsidRPr="00877F0A">
        <w:t xml:space="preserve"> and </w:t>
      </w:r>
      <w:r>
        <w:t xml:space="preserve">its </w:t>
      </w:r>
      <w:r w:rsidRPr="00877F0A">
        <w:rPr>
          <w:b/>
        </w:rPr>
        <w:t xml:space="preserve">specificity </w:t>
      </w:r>
      <w:r w:rsidRPr="00877F0A">
        <w:t xml:space="preserve">(the proportion </w:t>
      </w:r>
      <w:r w:rsidRPr="00523AA2">
        <w:rPr>
          <w:i/>
        </w:rPr>
        <w:t>without</w:t>
      </w:r>
      <w:r w:rsidRPr="00877F0A">
        <w:t xml:space="preserve"> the </w:t>
      </w:r>
      <w:r>
        <w:t>target condition</w:t>
      </w:r>
      <w:r w:rsidRPr="00877F0A">
        <w:t xml:space="preserve"> </w:t>
      </w:r>
      <w:r w:rsidR="0081183B">
        <w:t xml:space="preserve">who have a negative </w:t>
      </w:r>
      <w:r>
        <w:t>index test</w:t>
      </w:r>
      <w:r w:rsidRPr="00877F0A">
        <w:t>)</w:t>
      </w:r>
      <w:r>
        <w:t xml:space="preserve">. From this cross tabulation </w:t>
      </w:r>
      <w:r w:rsidRPr="00AF6395">
        <w:rPr>
          <w:color w:val="000000" w:themeColor="text1"/>
        </w:rPr>
        <w:t>(</w:t>
      </w:r>
      <w:r>
        <w:rPr>
          <w:color w:val="000000" w:themeColor="text1"/>
        </w:rPr>
        <w:t>s</w:t>
      </w:r>
      <w:r w:rsidRPr="00AF6395">
        <w:rPr>
          <w:color w:val="000000" w:themeColor="text1"/>
        </w:rPr>
        <w:t>ome</w:t>
      </w:r>
      <w:r>
        <w:rPr>
          <w:color w:val="000000" w:themeColor="text1"/>
        </w:rPr>
        <w:t>times</w:t>
      </w:r>
      <w:r w:rsidRPr="00AF6395">
        <w:rPr>
          <w:color w:val="000000" w:themeColor="text1"/>
        </w:rPr>
        <w:t xml:space="preserve"> referred to as the </w:t>
      </w:r>
      <w:r w:rsidR="00431C4E">
        <w:rPr>
          <w:color w:val="000000" w:themeColor="text1"/>
        </w:rPr>
        <w:t xml:space="preserve">contingency or </w:t>
      </w:r>
      <w:r w:rsidRPr="00AF6395">
        <w:rPr>
          <w:color w:val="000000" w:themeColor="text1"/>
        </w:rPr>
        <w:t>“</w:t>
      </w:r>
      <w:r>
        <w:rPr>
          <w:color w:val="000000" w:themeColor="text1"/>
        </w:rPr>
        <w:t>2x2</w:t>
      </w:r>
      <w:r w:rsidR="00431C4E">
        <w:rPr>
          <w:color w:val="000000" w:themeColor="text1"/>
        </w:rPr>
        <w:t>”</w:t>
      </w:r>
      <w:r>
        <w:rPr>
          <w:color w:val="000000" w:themeColor="text1"/>
        </w:rPr>
        <w:t xml:space="preserve"> table</w:t>
      </w:r>
      <w:r w:rsidRPr="00AF6395">
        <w:rPr>
          <w:color w:val="000000" w:themeColor="text1"/>
        </w:rPr>
        <w:t>)</w:t>
      </w:r>
      <w:r>
        <w:t>, s</w:t>
      </w:r>
      <w:r w:rsidRPr="00877F0A">
        <w:t xml:space="preserve">everal other accuracy statistics </w:t>
      </w:r>
      <w:r>
        <w:t xml:space="preserve">can be estimated, such as the </w:t>
      </w:r>
      <w:r w:rsidR="00F31F82">
        <w:t xml:space="preserve">positive and negative </w:t>
      </w:r>
      <w:r w:rsidRPr="005642F8">
        <w:rPr>
          <w:b/>
        </w:rPr>
        <w:t>predictive values</w:t>
      </w:r>
      <w:r>
        <w:t xml:space="preserve"> of the test</w:t>
      </w:r>
      <w:r w:rsidRPr="00877F0A">
        <w:t>.</w:t>
      </w:r>
      <w:r w:rsidR="002434E1">
        <w:t xml:space="preserve"> </w:t>
      </w:r>
      <w:r w:rsidR="0081183B" w:rsidRPr="0081183B">
        <w:t xml:space="preserve">Confidence intervals around estimates of accuracy can </w:t>
      </w:r>
      <w:r w:rsidR="007844C4">
        <w:t xml:space="preserve">then </w:t>
      </w:r>
      <w:r w:rsidR="0081183B" w:rsidRPr="0081183B">
        <w:t xml:space="preserve">be calculated to quantify the </w:t>
      </w:r>
      <w:r w:rsidR="00CD7A3D">
        <w:t xml:space="preserve">statistical </w:t>
      </w:r>
      <w:r w:rsidR="009A6AA9">
        <w:rPr>
          <w:b/>
        </w:rPr>
        <w:t>precision</w:t>
      </w:r>
      <w:r w:rsidR="0081183B" w:rsidRPr="0081183B">
        <w:t xml:space="preserve"> of the measurements.</w:t>
      </w:r>
    </w:p>
    <w:p w14:paraId="488ED192" w14:textId="77777777" w:rsidR="00ED3C9B" w:rsidRDefault="00ED3C9B" w:rsidP="00F31F82">
      <w:pPr>
        <w:jc w:val="both"/>
      </w:pPr>
      <w:r>
        <w:t xml:space="preserve">If the index test results can take more than two values, categorization of test results as positive or negative requires a </w:t>
      </w:r>
      <w:r w:rsidRPr="00523AA2">
        <w:rPr>
          <w:rFonts w:cstheme="minorHAnsi"/>
          <w:b/>
          <w:lang w:val="en-GB"/>
        </w:rPr>
        <w:t>test positivity cut-off</w:t>
      </w:r>
      <w:r>
        <w:rPr>
          <w:rFonts w:cstheme="minorHAnsi"/>
          <w:lang w:val="en-GB"/>
        </w:rPr>
        <w:t xml:space="preserve">. When </w:t>
      </w:r>
      <w:r w:rsidRPr="00877F0A">
        <w:t xml:space="preserve">multiple </w:t>
      </w:r>
      <w:r>
        <w:t>such cut-off</w:t>
      </w:r>
      <w:r w:rsidRPr="00877F0A">
        <w:t>s</w:t>
      </w:r>
      <w:r>
        <w:t xml:space="preserve"> can be defined</w:t>
      </w:r>
      <w:r w:rsidRPr="00877F0A">
        <w:t xml:space="preserve">, </w:t>
      </w:r>
      <w:r>
        <w:t>authors can report a receiver</w:t>
      </w:r>
      <w:r w:rsidR="00431C4E">
        <w:t xml:space="preserve"> </w:t>
      </w:r>
      <w:r>
        <w:t>operating</w:t>
      </w:r>
      <w:r w:rsidR="00431C4E">
        <w:t xml:space="preserve"> </w:t>
      </w:r>
      <w:r>
        <w:t>characteristic</w:t>
      </w:r>
      <w:r w:rsidRPr="00BF3362">
        <w:rPr>
          <w:b/>
        </w:rPr>
        <w:t xml:space="preserve"> </w:t>
      </w:r>
      <w:r w:rsidRPr="00AF6395">
        <w:t>(ROC) curve</w:t>
      </w:r>
      <w:r>
        <w:t xml:space="preserve"> which graphically represents the combination of sensitivity and specificity for each possible test positivity cut-off</w:t>
      </w:r>
      <w:r w:rsidRPr="00877F0A">
        <w:t xml:space="preserve">. </w:t>
      </w:r>
      <w:r>
        <w:t xml:space="preserve">The </w:t>
      </w:r>
      <w:r w:rsidRPr="005E2FF7">
        <w:rPr>
          <w:b/>
        </w:rPr>
        <w:t>area under the ROC curve</w:t>
      </w:r>
      <w:r>
        <w:t xml:space="preserve"> informs in a single numerical value about the overall diagnostic accuracy of the index test. </w:t>
      </w:r>
    </w:p>
    <w:p w14:paraId="2A0AB884" w14:textId="77777777" w:rsidR="00E14ECA" w:rsidRDefault="00E14ECA" w:rsidP="00F31F82">
      <w:pPr>
        <w:jc w:val="both"/>
      </w:pPr>
      <w:r>
        <w:t xml:space="preserve">The </w:t>
      </w:r>
      <w:r>
        <w:rPr>
          <w:b/>
        </w:rPr>
        <w:t>intended use</w:t>
      </w:r>
      <w:r>
        <w:t xml:space="preserve"> of a medical test can be diagnosis, screening, staging, monitoring, surveillance, prediction or prognosis. The </w:t>
      </w:r>
      <w:r>
        <w:rPr>
          <w:b/>
        </w:rPr>
        <w:t xml:space="preserve">clinical </w:t>
      </w:r>
      <w:r w:rsidRPr="0037210E">
        <w:rPr>
          <w:b/>
        </w:rPr>
        <w:t>role</w:t>
      </w:r>
      <w:r>
        <w:t xml:space="preserve"> of a test </w:t>
      </w:r>
      <w:r w:rsidR="00CD7A3D">
        <w:t>explains its position</w:t>
      </w:r>
      <w:r>
        <w:t xml:space="preserve"> relative to existing tests in the clinical pathway. </w:t>
      </w:r>
      <w:r w:rsidR="00CD7A3D">
        <w:t>A replacement test, for exampl</w:t>
      </w:r>
      <w:r w:rsidR="00C17FE3">
        <w:t>e</w:t>
      </w:r>
      <w:r w:rsidR="00CD7A3D">
        <w:t xml:space="preserve">, replaces an existing test. </w:t>
      </w:r>
      <w:r>
        <w:t>A triage test</w:t>
      </w:r>
      <w:r w:rsidR="00C17FE3">
        <w:t xml:space="preserve"> </w:t>
      </w:r>
      <w:r>
        <w:t xml:space="preserve">is used before </w:t>
      </w:r>
      <w:r w:rsidR="003C5973">
        <w:t xml:space="preserve">an </w:t>
      </w:r>
      <w:r>
        <w:t>existing test</w:t>
      </w:r>
      <w:r w:rsidR="00C17FE3">
        <w:t xml:space="preserve">; an </w:t>
      </w:r>
      <w:r>
        <w:t xml:space="preserve">add-on test is used after </w:t>
      </w:r>
      <w:r w:rsidR="003C5973">
        <w:t xml:space="preserve">an </w:t>
      </w:r>
      <w:r>
        <w:t>existing test</w:t>
      </w:r>
      <w:r w:rsidR="00C17FE3">
        <w:t xml:space="preserve">. </w:t>
      </w:r>
    </w:p>
    <w:p w14:paraId="785557B2" w14:textId="77777777" w:rsidR="00ED3C9B" w:rsidRDefault="00B37D7D" w:rsidP="00F31F82">
      <w:pPr>
        <w:jc w:val="both"/>
      </w:pPr>
      <w:r>
        <w:t>Besides diagnostic</w:t>
      </w:r>
      <w:r w:rsidR="00C17FE3">
        <w:t xml:space="preserve"> </w:t>
      </w:r>
      <w:r w:rsidR="00ED3C9B">
        <w:t xml:space="preserve">accuracy, several other outcomes and statistics may be relevant in the evaluation of medical tests. </w:t>
      </w:r>
      <w:r w:rsidR="00C17FE3">
        <w:t>M</w:t>
      </w:r>
      <w:r w:rsidR="00ED3C9B">
        <w:t xml:space="preserve">edical tests can </w:t>
      </w:r>
      <w:r w:rsidR="00C17FE3">
        <w:t xml:space="preserve">also </w:t>
      </w:r>
      <w:r w:rsidR="00ED3C9B">
        <w:t xml:space="preserve">be used to classify patients for purposes </w:t>
      </w:r>
      <w:r w:rsidR="00C17FE3">
        <w:t xml:space="preserve">other </w:t>
      </w:r>
      <w:r w:rsidR="00ED3C9B">
        <w:t>than diagnosis, such as staging or prognosis</w:t>
      </w:r>
      <w:r w:rsidR="00ED3C9B" w:rsidRPr="000304F3">
        <w:t>.</w:t>
      </w:r>
      <w:r w:rsidR="00ED3C9B">
        <w:t xml:space="preserve"> </w:t>
      </w:r>
      <w:r w:rsidR="004228A5">
        <w:t>T</w:t>
      </w:r>
      <w:r w:rsidR="004228A5" w:rsidRPr="00A043D2">
        <w:t xml:space="preserve">he </w:t>
      </w:r>
      <w:r w:rsidR="004228A5">
        <w:t>STARD list was not explicitly developed for these other outcomes, statistics, and study</w:t>
      </w:r>
      <w:r w:rsidR="00ED3C9B">
        <w:t xml:space="preserve"> </w:t>
      </w:r>
      <w:r w:rsidR="004228A5">
        <w:t>types</w:t>
      </w:r>
      <w:r w:rsidR="00ED3C9B">
        <w:t xml:space="preserve">, </w:t>
      </w:r>
      <w:r w:rsidR="00ED3C9B" w:rsidRPr="00A043D2">
        <w:t xml:space="preserve">although </w:t>
      </w:r>
      <w:r w:rsidR="00ED3C9B">
        <w:t>most</w:t>
      </w:r>
      <w:r w:rsidR="00ED3C9B" w:rsidRPr="00A043D2">
        <w:t xml:space="preserve"> </w:t>
      </w:r>
      <w:r w:rsidR="00ED3C9B">
        <w:t xml:space="preserve">STARD items would </w:t>
      </w:r>
      <w:r w:rsidR="004228A5">
        <w:t xml:space="preserve">still </w:t>
      </w:r>
      <w:r w:rsidR="00ED3C9B">
        <w:t>apply.</w:t>
      </w:r>
      <w:r w:rsidR="002434E1">
        <w:t xml:space="preserve"> </w:t>
      </w:r>
    </w:p>
    <w:p w14:paraId="7D124D42" w14:textId="77777777" w:rsidR="00070D8C" w:rsidRPr="00411FEB" w:rsidRDefault="00070D8C" w:rsidP="00F31F82">
      <w:pPr>
        <w:pStyle w:val="Heading3"/>
      </w:pPr>
      <w:r>
        <w:t>DEVELOPMENT</w:t>
      </w:r>
    </w:p>
    <w:p w14:paraId="422AD815" w14:textId="77777777" w:rsidR="00411FEB" w:rsidRDefault="00ED3C9B" w:rsidP="00F31F82">
      <w:pPr>
        <w:rPr>
          <w:rStyle w:val="Hyperlink"/>
        </w:rPr>
      </w:pPr>
      <w:r>
        <w:t xml:space="preserve">This STARD list was released in 2015. The </w:t>
      </w:r>
      <w:r w:rsidR="009B4DFD">
        <w:t>30</w:t>
      </w:r>
      <w:r w:rsidR="00370FC4">
        <w:t xml:space="preserve"> </w:t>
      </w:r>
      <w:r>
        <w:t xml:space="preserve">items were identified by an international expert group of methodologists, researchers, and editors. </w:t>
      </w:r>
      <w:r w:rsidRPr="000331D0">
        <w:t>The guiding principle in the development of STARD was to select items that</w:t>
      </w:r>
      <w:r w:rsidR="001476C3">
        <w:t>, when reported,</w:t>
      </w:r>
      <w:r w:rsidRPr="000331D0">
        <w:t xml:space="preserve"> would help readers to judge the potential for bias in the study</w:t>
      </w:r>
      <w:r w:rsidR="001476C3">
        <w:t>,</w:t>
      </w:r>
      <w:r w:rsidRPr="000331D0">
        <w:t xml:space="preserve"> to appraise the applicability of the study findings</w:t>
      </w:r>
      <w:r w:rsidR="001476C3">
        <w:t xml:space="preserve"> and the validity of conclusions and recommendations</w:t>
      </w:r>
      <w:r w:rsidRPr="00877F0A">
        <w:t>.</w:t>
      </w:r>
      <w:r>
        <w:t xml:space="preserve"> The list represents an update of the first version, which was published in 2003. </w:t>
      </w:r>
      <w:r w:rsidR="00F31F82">
        <w:br/>
      </w:r>
      <w:r>
        <w:br/>
        <w:t xml:space="preserve">More information can be found on </w:t>
      </w:r>
      <w:hyperlink r:id="rId9" w:history="1">
        <w:r w:rsidRPr="00397E3F">
          <w:rPr>
            <w:rStyle w:val="Hyperlink"/>
          </w:rPr>
          <w:t>http://www.equator-network.org/reporting-guidelines/stard</w:t>
        </w:r>
      </w:hyperlink>
      <w:r w:rsidR="007A297D">
        <w:rPr>
          <w:rStyle w:val="Hyperlink"/>
        </w:rPr>
        <w:t>.</w:t>
      </w:r>
    </w:p>
    <w:p w14:paraId="21A2A001" w14:textId="77777777" w:rsidR="00EA6648" w:rsidRDefault="00EA6648" w:rsidP="00F31F82">
      <w:pPr>
        <w:rPr>
          <w:rStyle w:val="Hyperlink"/>
        </w:rPr>
      </w:pPr>
    </w:p>
    <w:sectPr w:rsidR="00EA6648" w:rsidSect="0046212E">
      <w:type w:val="continuous"/>
      <w:pgSz w:w="12240" w:h="15840"/>
      <w:pgMar w:top="794" w:right="1009" w:bottom="403" w:left="1009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DE17" w14:textId="77777777" w:rsidR="00E14A3C" w:rsidRDefault="00E14A3C" w:rsidP="00757FD1">
      <w:pPr>
        <w:spacing w:after="0" w:line="240" w:lineRule="auto"/>
      </w:pPr>
      <w:r>
        <w:separator/>
      </w:r>
    </w:p>
  </w:endnote>
  <w:endnote w:type="continuationSeparator" w:id="0">
    <w:p w14:paraId="3751CA14" w14:textId="77777777" w:rsidR="00E14A3C" w:rsidRDefault="00E14A3C" w:rsidP="0075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E485" w14:textId="77777777" w:rsidR="00306D8E" w:rsidRDefault="00306D8E">
    <w:pPr>
      <w:pStyle w:val="Footer"/>
    </w:pPr>
    <w:r>
      <w:rPr>
        <w:noProof/>
        <w:lang w:val="en-GB" w:eastAsia="en-GB"/>
      </w:rPr>
      <w:drawing>
        <wp:inline distT="0" distB="0" distL="0" distR="0" wp14:anchorId="3CB0C413" wp14:editId="645EEDA2">
          <wp:extent cx="604342" cy="208773"/>
          <wp:effectExtent l="0" t="0" r="5715" b="1270"/>
          <wp:docPr id="2" name="Picture 1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557" cy="22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14FC" w14:textId="77777777" w:rsidR="00E14A3C" w:rsidRDefault="00E14A3C" w:rsidP="00757FD1">
      <w:pPr>
        <w:spacing w:after="0" w:line="240" w:lineRule="auto"/>
      </w:pPr>
      <w:r>
        <w:separator/>
      </w:r>
    </w:p>
  </w:footnote>
  <w:footnote w:type="continuationSeparator" w:id="0">
    <w:p w14:paraId="7256B564" w14:textId="77777777" w:rsidR="00E14A3C" w:rsidRDefault="00E14A3C" w:rsidP="0075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17AAF"/>
    <w:multiLevelType w:val="hybridMultilevel"/>
    <w:tmpl w:val="0F8A8136"/>
    <w:lvl w:ilvl="0" w:tplc="A2FC35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32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85"/>
    <w:rsid w:val="00022982"/>
    <w:rsid w:val="0003566E"/>
    <w:rsid w:val="000515D4"/>
    <w:rsid w:val="00051C50"/>
    <w:rsid w:val="0006162A"/>
    <w:rsid w:val="00070C45"/>
    <w:rsid w:val="00070D8C"/>
    <w:rsid w:val="000828BB"/>
    <w:rsid w:val="000855F2"/>
    <w:rsid w:val="00092F2D"/>
    <w:rsid w:val="000B01E8"/>
    <w:rsid w:val="000C0EE8"/>
    <w:rsid w:val="000E01A1"/>
    <w:rsid w:val="000E7F9E"/>
    <w:rsid w:val="00104FCD"/>
    <w:rsid w:val="00110EEC"/>
    <w:rsid w:val="00114C52"/>
    <w:rsid w:val="001306B6"/>
    <w:rsid w:val="00131B16"/>
    <w:rsid w:val="001476C3"/>
    <w:rsid w:val="00152CED"/>
    <w:rsid w:val="00155255"/>
    <w:rsid w:val="00155CAD"/>
    <w:rsid w:val="001709BF"/>
    <w:rsid w:val="0018414D"/>
    <w:rsid w:val="00191334"/>
    <w:rsid w:val="00196601"/>
    <w:rsid w:val="001C354E"/>
    <w:rsid w:val="001D419D"/>
    <w:rsid w:val="001E19DC"/>
    <w:rsid w:val="001E4D1F"/>
    <w:rsid w:val="001F0C5A"/>
    <w:rsid w:val="001F56D5"/>
    <w:rsid w:val="0022549C"/>
    <w:rsid w:val="00233AF8"/>
    <w:rsid w:val="002434E1"/>
    <w:rsid w:val="0025102C"/>
    <w:rsid w:val="00295562"/>
    <w:rsid w:val="002A0EDF"/>
    <w:rsid w:val="002B7708"/>
    <w:rsid w:val="002F4827"/>
    <w:rsid w:val="002F4B89"/>
    <w:rsid w:val="00306D8E"/>
    <w:rsid w:val="0031458D"/>
    <w:rsid w:val="00314FEB"/>
    <w:rsid w:val="00324CB5"/>
    <w:rsid w:val="00362362"/>
    <w:rsid w:val="00370FC4"/>
    <w:rsid w:val="0037210E"/>
    <w:rsid w:val="00375622"/>
    <w:rsid w:val="003757BF"/>
    <w:rsid w:val="00375A97"/>
    <w:rsid w:val="003A2EA1"/>
    <w:rsid w:val="003B0B2A"/>
    <w:rsid w:val="003C0AB8"/>
    <w:rsid w:val="003C5973"/>
    <w:rsid w:val="003D227B"/>
    <w:rsid w:val="003D4562"/>
    <w:rsid w:val="0040769C"/>
    <w:rsid w:val="00411FEB"/>
    <w:rsid w:val="004228A5"/>
    <w:rsid w:val="00431C4E"/>
    <w:rsid w:val="004378AC"/>
    <w:rsid w:val="0045561A"/>
    <w:rsid w:val="0045755E"/>
    <w:rsid w:val="0046212E"/>
    <w:rsid w:val="0046708E"/>
    <w:rsid w:val="0048337A"/>
    <w:rsid w:val="004B4880"/>
    <w:rsid w:val="004B4D5C"/>
    <w:rsid w:val="004C1583"/>
    <w:rsid w:val="004D5338"/>
    <w:rsid w:val="004F469C"/>
    <w:rsid w:val="00506083"/>
    <w:rsid w:val="00510595"/>
    <w:rsid w:val="00522330"/>
    <w:rsid w:val="00523AA2"/>
    <w:rsid w:val="00526A0E"/>
    <w:rsid w:val="005275DF"/>
    <w:rsid w:val="005320D9"/>
    <w:rsid w:val="00540AA2"/>
    <w:rsid w:val="00555F79"/>
    <w:rsid w:val="005738B6"/>
    <w:rsid w:val="00580FAC"/>
    <w:rsid w:val="00592149"/>
    <w:rsid w:val="005A18FF"/>
    <w:rsid w:val="00637958"/>
    <w:rsid w:val="00641E60"/>
    <w:rsid w:val="00650885"/>
    <w:rsid w:val="006571B2"/>
    <w:rsid w:val="00660766"/>
    <w:rsid w:val="0067786F"/>
    <w:rsid w:val="00686D6C"/>
    <w:rsid w:val="00696A6F"/>
    <w:rsid w:val="006A141F"/>
    <w:rsid w:val="006A17F9"/>
    <w:rsid w:val="006B25B4"/>
    <w:rsid w:val="006D27D9"/>
    <w:rsid w:val="006E6207"/>
    <w:rsid w:val="00727EB9"/>
    <w:rsid w:val="00732C47"/>
    <w:rsid w:val="00751BB1"/>
    <w:rsid w:val="00757FD1"/>
    <w:rsid w:val="007844C4"/>
    <w:rsid w:val="0079547A"/>
    <w:rsid w:val="0079584B"/>
    <w:rsid w:val="007A297D"/>
    <w:rsid w:val="007B29BD"/>
    <w:rsid w:val="007B7E41"/>
    <w:rsid w:val="007C5912"/>
    <w:rsid w:val="007C7BA5"/>
    <w:rsid w:val="007F576E"/>
    <w:rsid w:val="00806612"/>
    <w:rsid w:val="0081183B"/>
    <w:rsid w:val="00826FA6"/>
    <w:rsid w:val="00831730"/>
    <w:rsid w:val="00840096"/>
    <w:rsid w:val="0084546B"/>
    <w:rsid w:val="008469D3"/>
    <w:rsid w:val="00877F0A"/>
    <w:rsid w:val="008948E6"/>
    <w:rsid w:val="00894A1C"/>
    <w:rsid w:val="008B5233"/>
    <w:rsid w:val="008B6CFB"/>
    <w:rsid w:val="008D54DA"/>
    <w:rsid w:val="008D58CC"/>
    <w:rsid w:val="008E4445"/>
    <w:rsid w:val="009124CA"/>
    <w:rsid w:val="00913EAE"/>
    <w:rsid w:val="00914894"/>
    <w:rsid w:val="00941414"/>
    <w:rsid w:val="00944221"/>
    <w:rsid w:val="00954A68"/>
    <w:rsid w:val="00996C02"/>
    <w:rsid w:val="009A1484"/>
    <w:rsid w:val="009A63F3"/>
    <w:rsid w:val="009A6AA9"/>
    <w:rsid w:val="009B41B0"/>
    <w:rsid w:val="009B4DFD"/>
    <w:rsid w:val="009C5E7C"/>
    <w:rsid w:val="009E18E2"/>
    <w:rsid w:val="00A03648"/>
    <w:rsid w:val="00A043D2"/>
    <w:rsid w:val="00A63FA9"/>
    <w:rsid w:val="00A807CA"/>
    <w:rsid w:val="00A84F5C"/>
    <w:rsid w:val="00A86360"/>
    <w:rsid w:val="00AA5FAA"/>
    <w:rsid w:val="00AD20C2"/>
    <w:rsid w:val="00B01FA8"/>
    <w:rsid w:val="00B30129"/>
    <w:rsid w:val="00B37D7D"/>
    <w:rsid w:val="00B44BD2"/>
    <w:rsid w:val="00B65AAD"/>
    <w:rsid w:val="00B727FD"/>
    <w:rsid w:val="00B82B57"/>
    <w:rsid w:val="00B97669"/>
    <w:rsid w:val="00BA3C4A"/>
    <w:rsid w:val="00BA7D5D"/>
    <w:rsid w:val="00BA7F88"/>
    <w:rsid w:val="00BC26B8"/>
    <w:rsid w:val="00BC426D"/>
    <w:rsid w:val="00BD5E18"/>
    <w:rsid w:val="00BE760E"/>
    <w:rsid w:val="00BF3362"/>
    <w:rsid w:val="00C06B3A"/>
    <w:rsid w:val="00C106F1"/>
    <w:rsid w:val="00C17FE3"/>
    <w:rsid w:val="00CA7A4B"/>
    <w:rsid w:val="00CB5C8F"/>
    <w:rsid w:val="00CB5FD4"/>
    <w:rsid w:val="00CD7A3D"/>
    <w:rsid w:val="00D50E85"/>
    <w:rsid w:val="00D52094"/>
    <w:rsid w:val="00D8602F"/>
    <w:rsid w:val="00D86EB5"/>
    <w:rsid w:val="00D86FEE"/>
    <w:rsid w:val="00DF01DB"/>
    <w:rsid w:val="00E10B3B"/>
    <w:rsid w:val="00E149C3"/>
    <w:rsid w:val="00E14A3C"/>
    <w:rsid w:val="00E14ECA"/>
    <w:rsid w:val="00E22149"/>
    <w:rsid w:val="00E27216"/>
    <w:rsid w:val="00E27BEB"/>
    <w:rsid w:val="00E369C4"/>
    <w:rsid w:val="00E56886"/>
    <w:rsid w:val="00E678CA"/>
    <w:rsid w:val="00E75943"/>
    <w:rsid w:val="00E76C0A"/>
    <w:rsid w:val="00E96785"/>
    <w:rsid w:val="00EA6648"/>
    <w:rsid w:val="00EC26B5"/>
    <w:rsid w:val="00ED3B8C"/>
    <w:rsid w:val="00ED3C9B"/>
    <w:rsid w:val="00ED3FC2"/>
    <w:rsid w:val="00ED78B5"/>
    <w:rsid w:val="00EE7F52"/>
    <w:rsid w:val="00F23B78"/>
    <w:rsid w:val="00F25B4D"/>
    <w:rsid w:val="00F31F82"/>
    <w:rsid w:val="00F44B11"/>
    <w:rsid w:val="00F554CC"/>
    <w:rsid w:val="00F55FA3"/>
    <w:rsid w:val="00F76B76"/>
    <w:rsid w:val="00F97967"/>
    <w:rsid w:val="00FA7052"/>
    <w:rsid w:val="00FC07B7"/>
    <w:rsid w:val="00FC7C79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20BFF"/>
  <w15:docId w15:val="{72E0EA02-2D45-4F7F-84FE-DC69DFB0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EB"/>
  </w:style>
  <w:style w:type="paragraph" w:styleId="Heading1">
    <w:name w:val="heading 1"/>
    <w:basedOn w:val="Normal"/>
    <w:next w:val="Normal"/>
    <w:link w:val="Heading1Char"/>
    <w:uiPriority w:val="9"/>
    <w:qFormat/>
    <w:rsid w:val="00411FE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FE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FE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FE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FE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FE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FE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F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F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FE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11FEB"/>
    <w:rPr>
      <w:caps/>
      <w:spacing w:val="15"/>
      <w:shd w:val="clear" w:color="auto" w:fill="DEEAF6" w:themeFill="accent1" w:themeFillTint="33"/>
    </w:rPr>
  </w:style>
  <w:style w:type="paragraph" w:styleId="ListParagraph">
    <w:name w:val="List Paragraph"/>
    <w:basedOn w:val="Normal"/>
    <w:uiPriority w:val="34"/>
    <w:qFormat/>
    <w:rsid w:val="006508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11FEB"/>
    <w:rPr>
      <w:caps/>
      <w:color w:val="1F4D78" w:themeColor="accent1" w:themeShade="7F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686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D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D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D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FD1"/>
  </w:style>
  <w:style w:type="paragraph" w:styleId="Footer">
    <w:name w:val="footer"/>
    <w:basedOn w:val="Normal"/>
    <w:link w:val="FooterChar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FD1"/>
  </w:style>
  <w:style w:type="character" w:customStyle="1" w:styleId="Heading4Char">
    <w:name w:val="Heading 4 Char"/>
    <w:basedOn w:val="DefaultParagraphFont"/>
    <w:link w:val="Heading4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F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FE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1FEB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1FE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FE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F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11FE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11FEB"/>
    <w:rPr>
      <w:b/>
      <w:bCs/>
    </w:rPr>
  </w:style>
  <w:style w:type="character" w:styleId="Emphasis">
    <w:name w:val="Emphasis"/>
    <w:uiPriority w:val="20"/>
    <w:qFormat/>
    <w:rsid w:val="00411FEB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11F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1FE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1FE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FE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FEB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11FEB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11FEB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11FEB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11FEB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11FE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1FE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11FE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4FCD"/>
    <w:pPr>
      <w:spacing w:before="0" w:after="0" w:line="240" w:lineRule="auto"/>
    </w:pPr>
    <w:rPr>
      <w:rFonts w:ascii="Times New Roman" w:eastAsia="Calibri" w:hAnsi="Times New Roman" w:cs="Times New Roman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dotted" w:sz="4" w:space="0" w:color="auto"/>
        <w:insideV w:val="dotted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table" w:customStyle="1" w:styleId="Grilledutableau1">
    <w:name w:val="Grille du tableau1"/>
    <w:basedOn w:val="TableNormal"/>
    <w:next w:val="TableGrid"/>
    <w:uiPriority w:val="59"/>
    <w:rsid w:val="008469D3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quator-network.org/reporting-guidelines/star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666B9A-1304-4B77-930E-C2554EE2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1123</Words>
  <Characters>6406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STARD 2015</vt:lpstr>
      <vt:lpstr>STARD 2015</vt:lpstr>
      <vt:lpstr>STARD 2015</vt:lpstr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STARD 2015</dc:title>
  <dc:creator>STARD 2015</dc:creator>
  <cp:lastModifiedBy>Raju, Viprav</cp:lastModifiedBy>
  <cp:revision>13</cp:revision>
  <cp:lastPrinted>2015-10-23T10:20:00Z</cp:lastPrinted>
  <dcterms:created xsi:type="dcterms:W3CDTF">2025-07-09T17:29:00Z</dcterms:created>
  <dcterms:modified xsi:type="dcterms:W3CDTF">2025-08-25T14:03:00Z</dcterms:modified>
</cp:coreProperties>
</file>