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A59BC" w14:textId="47B8AB1D" w:rsidR="00D527BE" w:rsidRDefault="00410D32">
      <w:r>
        <w:t>Fig. 1(C)</w:t>
      </w:r>
    </w:p>
    <w:p w14:paraId="720C3C5D" w14:textId="77777777" w:rsidR="00410D32" w:rsidRDefault="00410D32" w:rsidP="00410D32">
      <w:pPr>
        <w:autoSpaceDE w:val="0"/>
        <w:autoSpaceDN w:val="0"/>
        <w:adjustRightInd w:val="0"/>
        <w:spacing w:after="0" w:line="240" w:lineRule="auto"/>
        <w:rPr>
          <w:rFonts w:ascii="NimbusRomNo9L-Regu" w:hAnsi="NimbusRomNo9L-Regu" w:cs="NimbusRomNo9L-Regu"/>
          <w:sz w:val="20"/>
          <w:szCs w:val="20"/>
        </w:rPr>
      </w:pPr>
      <w:r>
        <w:rPr>
          <w:rFonts w:ascii="NimbusRomNo9L-Regu" w:hAnsi="NimbusRomNo9L-Regu" w:cs="NimbusRomNo9L-Regu"/>
          <w:sz w:val="20"/>
          <w:szCs w:val="20"/>
        </w:rPr>
        <w:t>End-point RT-PCR of total RNA extracts isolated from untreated (U), mock-inoculated (M),</w:t>
      </w:r>
      <w:r>
        <w:rPr>
          <w:rFonts w:ascii="NimbusRomNo9L-Regu" w:hAnsi="NimbusRomNo9L-Regu" w:cs="NimbusRomNo9L-Regu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sz w:val="20"/>
          <w:szCs w:val="20"/>
        </w:rPr>
        <w:t>and UCBSV-inoculated plants at 88 dpi. The upper panel shows a 445-bp band corresponding to UCBSV</w:t>
      </w:r>
      <w:r>
        <w:rPr>
          <w:rFonts w:ascii="NimbusRomNo9L-Regu" w:hAnsi="NimbusRomNo9L-Regu" w:cs="NimbusRomNo9L-Regu"/>
          <w:sz w:val="20"/>
          <w:szCs w:val="20"/>
        </w:rPr>
        <w:t xml:space="preserve"> panel</w:t>
      </w:r>
      <w:r>
        <w:rPr>
          <w:rFonts w:ascii="NimbusRomNo9L-Regu" w:hAnsi="NimbusRomNo9L-Regu" w:cs="NimbusRomNo9L-Regu"/>
          <w:sz w:val="20"/>
          <w:szCs w:val="20"/>
        </w:rPr>
        <w:t xml:space="preserve">. </w:t>
      </w:r>
    </w:p>
    <w:p w14:paraId="46E1BE2F" w14:textId="77777777" w:rsidR="00410D32" w:rsidRDefault="00410D32" w:rsidP="00410D32">
      <w:pPr>
        <w:autoSpaceDE w:val="0"/>
        <w:autoSpaceDN w:val="0"/>
        <w:adjustRightInd w:val="0"/>
        <w:spacing w:after="0" w:line="240" w:lineRule="auto"/>
        <w:rPr>
          <w:rFonts w:ascii="NimbusRomNo9L-Regu" w:hAnsi="NimbusRomNo9L-Regu" w:cs="NimbusRomNo9L-Regu"/>
          <w:sz w:val="20"/>
          <w:szCs w:val="20"/>
        </w:rPr>
      </w:pPr>
    </w:p>
    <w:p w14:paraId="2C33DF50" w14:textId="76E88EA2" w:rsidR="00410D32" w:rsidRPr="00410D32" w:rsidRDefault="00410D32" w:rsidP="00410D32">
      <w:pPr>
        <w:autoSpaceDE w:val="0"/>
        <w:autoSpaceDN w:val="0"/>
        <w:adjustRightInd w:val="0"/>
        <w:spacing w:after="0" w:line="240" w:lineRule="auto"/>
        <w:rPr>
          <w:rFonts w:ascii="NimbusRomNo9L-Regu" w:hAnsi="NimbusRomNo9L-Regu" w:cs="NimbusRomNo9L-Regu"/>
          <w:sz w:val="20"/>
          <w:szCs w:val="20"/>
        </w:rPr>
      </w:pPr>
      <w:r>
        <w:rPr>
          <w:rFonts w:ascii="NimbusRomNo9L-Regu" w:hAnsi="NimbusRomNo9L-Regu" w:cs="NimbusRomNo9L-Regu"/>
          <w:sz w:val="20"/>
          <w:szCs w:val="20"/>
        </w:rPr>
        <w:t xml:space="preserve">The </w:t>
      </w:r>
      <w:proofErr w:type="spellStart"/>
      <w:r>
        <w:rPr>
          <w:rFonts w:ascii="NimbusRomNo9L-Regu" w:hAnsi="NimbusRomNo9L-Regu" w:cs="NimbusRomNo9L-Regu"/>
          <w:sz w:val="20"/>
          <w:szCs w:val="20"/>
        </w:rPr>
        <w:t>RbcS</w:t>
      </w:r>
      <w:proofErr w:type="spellEnd"/>
      <w:r>
        <w:rPr>
          <w:rFonts w:ascii="NimbusRomNo9L-Regu" w:hAnsi="NimbusRomNo9L-Regu" w:cs="NimbusRomNo9L-Regu"/>
          <w:sz w:val="20"/>
          <w:szCs w:val="20"/>
        </w:rPr>
        <w:t xml:space="preserve"> panel</w:t>
      </w:r>
      <w:r>
        <w:rPr>
          <w:rFonts w:ascii="NimbusRomNo9L-Regu" w:hAnsi="NimbusRomNo9L-Regu" w:cs="NimbusRomNo9L-Regu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sz w:val="20"/>
          <w:szCs w:val="20"/>
        </w:rPr>
        <w:t xml:space="preserve">shows a 619-bp band corresponding to a cassava </w:t>
      </w:r>
      <w:proofErr w:type="spellStart"/>
      <w:r>
        <w:rPr>
          <w:rFonts w:ascii="NimbusRomNo9L-Regu" w:hAnsi="NimbusRomNo9L-Regu" w:cs="NimbusRomNo9L-Regu"/>
          <w:sz w:val="20"/>
          <w:szCs w:val="20"/>
        </w:rPr>
        <w:t>RbcS</w:t>
      </w:r>
      <w:proofErr w:type="spellEnd"/>
      <w:r>
        <w:rPr>
          <w:rFonts w:ascii="NimbusRomNo9L-Regu" w:hAnsi="NimbusRomNo9L-Regu" w:cs="NimbusRomNo9L-Regu"/>
          <w:sz w:val="20"/>
          <w:szCs w:val="20"/>
        </w:rPr>
        <w:t xml:space="preserve"> transcript, which served as a positive control for the isolation of</w:t>
      </w:r>
      <w:r>
        <w:rPr>
          <w:rFonts w:ascii="NimbusRomNo9L-Regu" w:hAnsi="NimbusRomNo9L-Regu" w:cs="NimbusRomNo9L-Regu"/>
          <w:sz w:val="20"/>
          <w:szCs w:val="20"/>
        </w:rPr>
        <w:t xml:space="preserve"> </w:t>
      </w:r>
      <w:r>
        <w:rPr>
          <w:rFonts w:ascii="NimbusRomNo9L-Regu" w:hAnsi="NimbusRomNo9L-Regu" w:cs="NimbusRomNo9L-Regu"/>
          <w:sz w:val="20"/>
          <w:szCs w:val="20"/>
        </w:rPr>
        <w:t>amplifiable RNA.</w:t>
      </w:r>
    </w:p>
    <w:p w14:paraId="7FF816E5" w14:textId="77777777" w:rsidR="00410D32" w:rsidRDefault="00410D32"/>
    <w:sectPr w:rsidR="00410D32" w:rsidSect="008C430E">
      <w:pgSz w:w="11907" w:h="16840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mbusRomNo9L-Regu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D32"/>
    <w:rsid w:val="00410D32"/>
    <w:rsid w:val="008C430E"/>
    <w:rsid w:val="00D52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C08B3"/>
  <w15:chartTrackingRefBased/>
  <w15:docId w15:val="{4176DB5B-63D5-4263-9209-7D771609C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Hujun Yin</dc:creator>
  <cp:keywords/>
  <dc:description/>
  <cp:lastModifiedBy>Hujun Yin</cp:lastModifiedBy>
  <cp:revision>1</cp:revision>
  <dcterms:created xsi:type="dcterms:W3CDTF">2021-07-29T15:41:00Z</dcterms:created>
  <dcterms:modified xsi:type="dcterms:W3CDTF">2021-07-29T15:43:00Z</dcterms:modified>
</cp:coreProperties>
</file>