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AC6E" w14:textId="59F1C4A6" w:rsidR="00BF21E1" w:rsidRPr="00081D03" w:rsidRDefault="00081D03">
      <w:pPr>
        <w:rPr>
          <w:rFonts w:ascii="Arial Unicode MS" w:eastAsia="Arial Unicode MS" w:hAnsi="Arial Unicode MS" w:cs="Arial Unicode MS"/>
        </w:rPr>
      </w:pPr>
      <w:r w:rsidRPr="00081D03">
        <w:rPr>
          <w:rFonts w:ascii="Arial Unicode MS" w:eastAsia="Arial Unicode MS" w:hAnsi="Arial Unicode MS" w:cs="Arial Unicode MS"/>
        </w:rPr>
        <w:t>Supplementary Table 1. Overview of Included RCTs</w:t>
      </w:r>
    </w:p>
    <w:tbl>
      <w:tblPr>
        <w:tblW w:w="9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1040"/>
        <w:gridCol w:w="1040"/>
        <w:gridCol w:w="1960"/>
        <w:gridCol w:w="3760"/>
      </w:tblGrid>
      <w:tr w:rsidR="00081D03" w:rsidRPr="00081D03" w14:paraId="5C848C84" w14:textId="77777777" w:rsidTr="00081D03">
        <w:trPr>
          <w:trHeight w:val="480"/>
        </w:trPr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843FA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  <w14:ligatures w14:val="none"/>
              </w:rPr>
              <w:t>First Author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8B207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6A636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745A5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  <w14:ligatures w14:val="none"/>
              </w:rPr>
              <w:t>Primary Outcome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BA48B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8"/>
                <w:szCs w:val="18"/>
                <w14:ligatures w14:val="none"/>
              </w:rPr>
              <w:t>Key Finding</w:t>
            </w:r>
          </w:p>
        </w:tc>
      </w:tr>
      <w:tr w:rsidR="00081D03" w:rsidRPr="00081D03" w14:paraId="38A8EC81" w14:textId="77777777" w:rsidTr="00081D03">
        <w:trPr>
          <w:trHeight w:val="5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7D5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Davison SP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86732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B4EB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110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675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A23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DermACELL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better than </w:t>
            </w: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AlloDerm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(seroma, incorporation)</w:t>
            </w:r>
          </w:p>
        </w:tc>
      </w:tr>
      <w:tr w:rsidR="00081D03" w:rsidRPr="00081D03" w14:paraId="58F6EA26" w14:textId="77777777" w:rsidTr="00081D03">
        <w:trPr>
          <w:trHeight w:val="67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D72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Wong JS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32CF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E18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BA7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6-mo PWB change, chest wall toxicity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16D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HF PMRT is as safe as CF; in &lt;45y,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HF improves QOL</w:t>
            </w:r>
          </w:p>
        </w:tc>
      </w:tr>
      <w:tr w:rsidR="00081D03" w:rsidRPr="00081D03" w14:paraId="4F2E8324" w14:textId="77777777" w:rsidTr="00081D03">
        <w:trPr>
          <w:trHeight w:val="65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A3A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Hwang JW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DE9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304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276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038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Skin complication rate,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nipple necrosis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8BC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IV PGE1 reduces necrosis</w:t>
            </w:r>
          </w:p>
        </w:tc>
      </w:tr>
      <w:tr w:rsidR="00081D03" w:rsidRPr="00081D03" w14:paraId="4F6BE425" w14:textId="77777777" w:rsidTr="00081D03">
        <w:trPr>
          <w:trHeight w:val="5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EAF9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Mendenhall SD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25B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3CA9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167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0A2B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 rate, patient satisfaction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E751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AlloDerm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= </w:t>
            </w: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DermaMatrix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outcomes</w:t>
            </w:r>
          </w:p>
        </w:tc>
      </w:tr>
      <w:tr w:rsidR="00081D03" w:rsidRPr="00081D03" w14:paraId="0A8B4EE0" w14:textId="77777777" w:rsidTr="00081D03">
        <w:trPr>
          <w:trHeight w:val="7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317C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Xia 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5E4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A9E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C4A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Recovery,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 xml:space="preserve">pain,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opioid use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5FE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ERAS improves outcomes,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reduced pain and opioid use</w:t>
            </w:r>
          </w:p>
        </w:tc>
      </w:tr>
      <w:tr w:rsidR="00081D03" w:rsidRPr="00081D03" w14:paraId="621442DD" w14:textId="77777777" w:rsidTr="00E61D71">
        <w:trPr>
          <w:trHeight w:val="122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9ED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Song 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C804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003F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2C9C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Venous congestion,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 xml:space="preserve">flap necrosis rates,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flap safety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0D1A" w14:textId="77777777" w:rsidR="00E61D71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Pedicle length measurement reduces venous congestion and </w:t>
            </w:r>
          </w:p>
          <w:p w14:paraId="5A9A073B" w14:textId="0072E2FF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flap necrosis after DIEP flap</w:t>
            </w:r>
          </w:p>
        </w:tc>
      </w:tr>
      <w:tr w:rsidR="00081D03" w:rsidRPr="00081D03" w14:paraId="1845D8AD" w14:textId="77777777" w:rsidTr="00081D03">
        <w:trPr>
          <w:trHeight w:val="4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60FB9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Mutter RW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5F43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6AAD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651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62994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HF proton PMRT was as safe as conventional</w:t>
            </w:r>
          </w:p>
        </w:tc>
      </w:tr>
      <w:tr w:rsidR="00081D03" w:rsidRPr="00081D03" w14:paraId="44693E14" w14:textId="77777777" w:rsidTr="00E61D71">
        <w:trPr>
          <w:trHeight w:val="11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62A61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Colakoglu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BAA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9CB1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63 flaps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D0E3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Flap dissection,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 xml:space="preserve">OR time,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0F22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Preoperative CTA reduces flap dissection and OR time, with no difference in complications</w:t>
            </w:r>
          </w:p>
        </w:tc>
      </w:tr>
      <w:tr w:rsidR="00081D03" w:rsidRPr="00081D03" w14:paraId="7F0A9D0D" w14:textId="77777777" w:rsidTr="00081D03">
        <w:trPr>
          <w:trHeight w:val="57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5DFC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Muller-</w:t>
            </w: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Sloof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426B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F3B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F7C3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Donor-site wound dehiscence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B248" w14:textId="77777777" w:rsidR="00E61D71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ciNPWT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reduces dehiscence </w:t>
            </w:r>
          </w:p>
          <w:p w14:paraId="310DF206" w14:textId="028A39CA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(19.4% vs 41%)</w:t>
            </w:r>
          </w:p>
        </w:tc>
      </w:tr>
      <w:tr w:rsidR="00081D03" w:rsidRPr="00081D03" w14:paraId="6835AF61" w14:textId="77777777" w:rsidTr="00081D03">
        <w:trPr>
          <w:trHeight w:val="65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809DC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Hanson 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2CC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227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FED5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Fat necrosis,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E4E6" w14:textId="77777777" w:rsidR="003D76BA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No difference between fat processing techniques; prior BCT increases </w:t>
            </w:r>
          </w:p>
          <w:p w14:paraId="39AE2106" w14:textId="1AC65B0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necrosis risk</w:t>
            </w:r>
          </w:p>
        </w:tc>
      </w:tr>
      <w:tr w:rsidR="00081D03" w:rsidRPr="00081D03" w14:paraId="34CB41D4" w14:textId="77777777" w:rsidTr="00081D03">
        <w:trPr>
          <w:trHeight w:val="5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120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Tallroth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5EB4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3CFDF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657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Complications, QOL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90DF" w14:textId="77777777" w:rsidR="003D76BA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DIEP higher satisfaction but </w:t>
            </w:r>
          </w:p>
          <w:p w14:paraId="01E4778E" w14:textId="58C01EB9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more complications</w:t>
            </w:r>
          </w:p>
        </w:tc>
      </w:tr>
      <w:tr w:rsidR="00081D03" w:rsidRPr="00081D03" w14:paraId="37D0BE8B" w14:textId="77777777" w:rsidTr="00081D03">
        <w:trPr>
          <w:trHeight w:val="41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9212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Hansson 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D74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721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48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D30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6245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Synthetic mesh superior to biological mesh</w:t>
            </w:r>
          </w:p>
        </w:tc>
      </w:tr>
      <w:tr w:rsidR="00081D03" w:rsidRPr="00081D03" w14:paraId="3A3B7F7E" w14:textId="77777777" w:rsidTr="00081D03">
        <w:trPr>
          <w:trHeight w:val="4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AD4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Asaad 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E51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EC0A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103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7E3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0E3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Similar outcomes HADM vs BADM</w:t>
            </w:r>
          </w:p>
        </w:tc>
      </w:tr>
      <w:tr w:rsidR="00081D03" w:rsidRPr="00081D03" w14:paraId="25494A1D" w14:textId="77777777" w:rsidTr="00081D03">
        <w:trPr>
          <w:trHeight w:val="59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D60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Lembo 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C6D95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ADB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355A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Seroma rate, QOL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787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Early drain removal safe; reduces seroma, improves QoL</w:t>
            </w:r>
          </w:p>
        </w:tc>
      </w:tr>
      <w:tr w:rsidR="00081D03" w:rsidRPr="00081D03" w14:paraId="14ECD277" w14:textId="77777777" w:rsidTr="00081D03">
        <w:trPr>
          <w:trHeight w:val="56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03E5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Tokumoto 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1500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16C4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B4DE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Drain volume,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drain removal days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7BE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AFG reduces drainage and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drainage period at donor site</w:t>
            </w:r>
          </w:p>
        </w:tc>
      </w:tr>
      <w:tr w:rsidR="00081D03" w:rsidRPr="00081D03" w14:paraId="2D596D52" w14:textId="77777777" w:rsidTr="00081D03">
        <w:trPr>
          <w:trHeight w:val="3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E3A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Broyles JM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3DE32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194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384 breasts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8F09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Matrix complications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28BB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No difference </w:t>
            </w: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FlexHD</w:t>
            </w:r>
            <w:proofErr w:type="spellEnd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vs </w:t>
            </w:r>
            <w:proofErr w:type="spellStart"/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AlloDerm</w:t>
            </w:r>
            <w:proofErr w:type="spellEnd"/>
          </w:p>
        </w:tc>
      </w:tr>
      <w:tr w:rsidR="00081D03" w:rsidRPr="00081D03" w14:paraId="03BC9604" w14:textId="77777777" w:rsidTr="00081D03">
        <w:trPr>
          <w:trHeight w:val="52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9F0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Suh YC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D13F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2179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F2A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Drainage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C66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Hydrochlorothiazide (25mg/day)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reduces drainage</w:t>
            </w:r>
          </w:p>
        </w:tc>
      </w:tr>
      <w:tr w:rsidR="00081D03" w:rsidRPr="00081D03" w14:paraId="5EA07B64" w14:textId="77777777" w:rsidTr="00081D03">
        <w:trPr>
          <w:trHeight w:val="3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C6F4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lastRenderedPageBreak/>
              <w:t>Anker AM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84FC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EAB9D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6772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Flap Perfusion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F7034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No difference vasopressor vs fluids</w:t>
            </w:r>
          </w:p>
        </w:tc>
      </w:tr>
      <w:tr w:rsidR="00081D03" w:rsidRPr="00081D03" w14:paraId="15B3D11E" w14:textId="77777777" w:rsidTr="00081D03">
        <w:trPr>
          <w:trHeight w:val="59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A98F3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Brorson 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A7227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A0DC6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Not specified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F22F8" w14:textId="77777777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Complications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7C6F8" w14:textId="692DA9E7" w:rsidR="00E61D71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Similar rates TD</w:t>
            </w:r>
            <w:r w:rsidR="003D76BA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(Implant) vs </w:t>
            </w:r>
          </w:p>
          <w:p w14:paraId="3CDD6D38" w14:textId="2408D96F" w:rsidR="00081D03" w:rsidRPr="00081D03" w:rsidRDefault="00081D03" w:rsidP="00081D03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14:ligatures w14:val="none"/>
              </w:rPr>
            </w:pP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>Tissue expander,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br/>
              <w:t>Similar rates LD</w:t>
            </w:r>
            <w:r w:rsidR="00E61D71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81D03"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14:ligatures w14:val="none"/>
              </w:rPr>
              <w:t xml:space="preserve">(Implant) vs DIEP flap </w:t>
            </w:r>
          </w:p>
        </w:tc>
      </w:tr>
    </w:tbl>
    <w:p w14:paraId="6AA1CAD6" w14:textId="1ECEF288" w:rsidR="00081D03" w:rsidRDefault="00081D03">
      <w:pPr>
        <w:rPr>
          <w:rFonts w:ascii="Arial Unicode MS" w:eastAsia="Arial Unicode MS" w:hAnsi="Arial Unicode MS" w:cs="Arial Unicode MS"/>
          <w:sz w:val="18"/>
          <w:szCs w:val="18"/>
        </w:rPr>
      </w:pPr>
      <w:r w:rsidRPr="00F364B8">
        <w:rPr>
          <w:rFonts w:ascii="Arial Unicode MS" w:eastAsia="Arial Unicode MS" w:hAnsi="Arial Unicode MS" w:cs="Arial Unicode MS" w:hint="eastAsia"/>
          <w:sz w:val="18"/>
          <w:szCs w:val="18"/>
        </w:rPr>
        <w:t>*</w:t>
      </w:r>
      <w:r w:rsidRPr="00F364B8">
        <w:rPr>
          <w:rFonts w:ascii="Arial Unicode MS" w:eastAsia="Arial Unicode MS" w:hAnsi="Arial Unicode MS" w:cs="Arial Unicode MS"/>
          <w:sz w:val="18"/>
          <w:szCs w:val="18"/>
        </w:rPr>
        <w:t xml:space="preserve">AFG: Autologous fibrin glue; BADM: Bovine acellular dermal matrix; CF: Conventional fractionation; </w:t>
      </w:r>
      <w:proofErr w:type="spellStart"/>
      <w:r w:rsidRPr="00F364B8">
        <w:rPr>
          <w:rFonts w:ascii="Arial Unicode MS" w:eastAsia="Arial Unicode MS" w:hAnsi="Arial Unicode MS" w:cs="Arial Unicode MS"/>
          <w:sz w:val="18"/>
          <w:szCs w:val="18"/>
        </w:rPr>
        <w:t>ciNPWT</w:t>
      </w:r>
      <w:proofErr w:type="spellEnd"/>
      <w:r w:rsidRPr="00F364B8">
        <w:rPr>
          <w:rFonts w:ascii="Arial Unicode MS" w:eastAsia="Arial Unicode MS" w:hAnsi="Arial Unicode MS" w:cs="Arial Unicode MS"/>
          <w:sz w:val="18"/>
          <w:szCs w:val="18"/>
        </w:rPr>
        <w:t>: Closed-incision negative pressure wound therapy; CTA: CT angiography; ERAS: Enhanced recovery after surgery; HADM: Human acellular dermal matrix; HF: Hypofractionation; LD: Latissimus dorsi muscle flap; PMRT: Postmastectomy radiation therapy; PWB: Physical well-being; QOL: Quality of life; TD: Thoracodorsal artery perforator flap</w:t>
      </w:r>
    </w:p>
    <w:p w14:paraId="2543D140" w14:textId="77777777" w:rsidR="004F579C" w:rsidRDefault="004F579C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06B044CA" w14:textId="77777777" w:rsidR="00BA6DAF" w:rsidRDefault="00BA6DAF">
      <w:pPr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fldChar w:fldCharType="begin"/>
      </w:r>
      <w:r>
        <w:rPr>
          <w:rFonts w:ascii="Arial Unicode MS" w:eastAsia="Arial Unicode MS" w:hAnsi="Arial Unicode MS" w:cs="Arial Unicode MS"/>
          <w:sz w:val="18"/>
          <w:szCs w:val="18"/>
        </w:rPr>
        <w:instrText xml:space="preserve"> ADDIN EN.CITE &lt;EndNote&gt;&lt;Cite&gt;&lt;Author&gt;Pinell-White&lt;/Author&gt;&lt;Year&gt;2014&lt;/Year&gt;&lt;RecNum&gt;21&lt;/RecNum&gt;&lt;DisplayText&gt;&lt;style face="superscript"&gt;1&lt;/style&gt;&lt;/DisplayText&gt;&lt;record&gt;&lt;rec-number&gt;21&lt;/rec-number&gt;&lt;foreign-keys&gt;&lt;key app="EN" db-id="9vfzs05vssp9aiewxwa5zweevp90azse5ded" timestamp="1754316087"&gt;21&lt;/key&gt;&lt;/foreign-keys&gt;&lt;ref-type name="Journal Article"&gt;17&lt;/ref-type&gt;&lt;contributors&gt;&lt;authors&gt;&lt;author&gt;Pinell-White, Ximena A&lt;/author&gt;&lt;author&gt;Kapadia, Sameer M&lt;/author&gt;&lt;author&gt;Losken, Albert&lt;/author&gt;&lt;/authors&gt;&lt;/contributors&gt;&lt;titles&gt;&lt;title&gt;The management of abdominal contour defects following TRAM flap breast reconstruction&lt;/title&gt;&lt;secondary-title&gt;Aesthetic Surgery Journal&lt;/secondary-title&gt;&lt;/titles&gt;&lt;periodical&gt;&lt;full-title&gt;Aesthetic Surgery Journal&lt;/full-title&gt;&lt;/periodical&gt;&lt;pages&gt;264-271&lt;/pages&gt;&lt;volume&gt;34&lt;/volume&gt;&lt;number&gt;2&lt;/number&gt;&lt;dates&gt;&lt;year&gt;2014&lt;/year&gt;&lt;/dates&gt;&lt;isbn&gt;1527-330X&lt;/isbn&gt;&lt;urls&gt;&lt;/urls&gt;&lt;/record&gt;&lt;/Cite&gt;&lt;/EndNote&gt;</w:instrText>
      </w:r>
      <w:r>
        <w:rPr>
          <w:rFonts w:ascii="Arial Unicode MS" w:eastAsia="Arial Unicode MS" w:hAnsi="Arial Unicode MS" w:cs="Arial Unicode MS"/>
          <w:sz w:val="18"/>
          <w:szCs w:val="18"/>
        </w:rPr>
        <w:fldChar w:fldCharType="separate"/>
      </w:r>
      <w:r w:rsidRPr="00BA6DAF">
        <w:rPr>
          <w:rFonts w:ascii="Arial Unicode MS" w:eastAsia="Arial Unicode MS" w:hAnsi="Arial Unicode MS" w:cs="Arial Unicode MS"/>
          <w:noProof/>
          <w:sz w:val="18"/>
          <w:szCs w:val="18"/>
          <w:vertAlign w:val="superscript"/>
        </w:rPr>
        <w:t>1</w:t>
      </w:r>
      <w:r>
        <w:rPr>
          <w:rFonts w:ascii="Arial Unicode MS" w:eastAsia="Arial Unicode MS" w:hAnsi="Arial Unicode MS" w:cs="Arial Unicode MS"/>
          <w:sz w:val="18"/>
          <w:szCs w:val="18"/>
        </w:rPr>
        <w:fldChar w:fldCharType="end"/>
      </w:r>
    </w:p>
    <w:p w14:paraId="76A3E314" w14:textId="77777777" w:rsidR="00BA6DAF" w:rsidRDefault="00BA6DAF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00A863C1" w14:textId="77777777" w:rsidR="00BA6DAF" w:rsidRPr="00BA6DAF" w:rsidRDefault="00BA6DAF" w:rsidP="00BA6DAF">
      <w:pPr>
        <w:pStyle w:val="EndNoteBibliography"/>
        <w:ind w:left="720" w:hanging="720"/>
      </w:pPr>
      <w:r>
        <w:rPr>
          <w:rFonts w:ascii="Arial Unicode MS" w:eastAsia="Arial Unicode MS" w:hAnsi="Arial Unicode MS" w:cs="Arial Unicode MS"/>
          <w:sz w:val="18"/>
          <w:szCs w:val="18"/>
        </w:rPr>
        <w:fldChar w:fldCharType="begin"/>
      </w:r>
      <w:r>
        <w:rPr>
          <w:rFonts w:ascii="Arial Unicode MS" w:eastAsia="Arial Unicode MS" w:hAnsi="Arial Unicode MS" w:cs="Arial Unicode MS"/>
          <w:sz w:val="18"/>
          <w:szCs w:val="18"/>
        </w:rPr>
        <w:instrText xml:space="preserve"> ADDIN EN.REFLIST </w:instrText>
      </w:r>
      <w:r>
        <w:rPr>
          <w:rFonts w:ascii="Arial Unicode MS" w:eastAsia="Arial Unicode MS" w:hAnsi="Arial Unicode MS" w:cs="Arial Unicode MS"/>
          <w:sz w:val="18"/>
          <w:szCs w:val="18"/>
        </w:rPr>
        <w:fldChar w:fldCharType="separate"/>
      </w:r>
      <w:r w:rsidRPr="00BA6DAF">
        <w:t>1</w:t>
      </w:r>
      <w:r w:rsidRPr="00BA6DAF">
        <w:tab/>
        <w:t xml:space="preserve">Pinell-White, X. A., Kapadia, S. M. &amp; Losken, A. The management of abdominal contour defects following TRAM flap breast reconstruction. </w:t>
      </w:r>
      <w:r w:rsidRPr="00BA6DAF">
        <w:rPr>
          <w:i/>
        </w:rPr>
        <w:t>Aesthetic Surgery Journal</w:t>
      </w:r>
      <w:r w:rsidRPr="00BA6DAF">
        <w:t xml:space="preserve"> </w:t>
      </w:r>
      <w:r w:rsidRPr="00BA6DAF">
        <w:rPr>
          <w:b/>
        </w:rPr>
        <w:t>34</w:t>
      </w:r>
      <w:r w:rsidRPr="00BA6DAF">
        <w:t xml:space="preserve">, 264-271 (2014). </w:t>
      </w:r>
    </w:p>
    <w:p w14:paraId="04B561A4" w14:textId="6D30B54E" w:rsidR="004F579C" w:rsidRPr="00F364B8" w:rsidRDefault="00BA6DAF">
      <w:pPr>
        <w:rPr>
          <w:rFonts w:ascii="Arial Unicode MS" w:eastAsia="Arial Unicode MS" w:hAnsi="Arial Unicode MS" w:cs="Arial Unicode MS" w:hint="eastAsia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fldChar w:fldCharType="end"/>
      </w:r>
    </w:p>
    <w:sectPr w:rsidR="004F579C" w:rsidRPr="00F364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FB6D" w14:textId="77777777" w:rsidR="00737C4B" w:rsidRDefault="00737C4B" w:rsidP="00F364B8">
      <w:pPr>
        <w:spacing w:after="0"/>
      </w:pPr>
      <w:r>
        <w:separator/>
      </w:r>
    </w:p>
  </w:endnote>
  <w:endnote w:type="continuationSeparator" w:id="0">
    <w:p w14:paraId="60F18364" w14:textId="77777777" w:rsidR="00737C4B" w:rsidRDefault="00737C4B" w:rsidP="00F3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AB4A" w14:textId="77777777" w:rsidR="00737C4B" w:rsidRDefault="00737C4B" w:rsidP="00F364B8">
      <w:pPr>
        <w:spacing w:after="0"/>
      </w:pPr>
      <w:r>
        <w:separator/>
      </w:r>
    </w:p>
  </w:footnote>
  <w:footnote w:type="continuationSeparator" w:id="0">
    <w:p w14:paraId="21BEB53C" w14:textId="77777777" w:rsidR="00737C4B" w:rsidRDefault="00737C4B" w:rsidP="00F364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맑은 고딕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fzs05vssp9aiewxwa5zweevp90azse5ded&quot;&gt;유방재건 판례분석 엔드노트&lt;record-ids&gt;&lt;item&gt;21&lt;/item&gt;&lt;/record-ids&gt;&lt;/item&gt;&lt;/Libraries&gt;"/>
  </w:docVars>
  <w:rsids>
    <w:rsidRoot w:val="00081D03"/>
    <w:rsid w:val="00081D03"/>
    <w:rsid w:val="0035192D"/>
    <w:rsid w:val="003D76BA"/>
    <w:rsid w:val="00411B5B"/>
    <w:rsid w:val="004F579C"/>
    <w:rsid w:val="00612A26"/>
    <w:rsid w:val="00737C4B"/>
    <w:rsid w:val="00806B22"/>
    <w:rsid w:val="00BA6DAF"/>
    <w:rsid w:val="00BF21E1"/>
    <w:rsid w:val="00DE0F10"/>
    <w:rsid w:val="00E61D71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12840"/>
  <w15:chartTrackingRefBased/>
  <w15:docId w15:val="{78FB4FA4-8358-4188-BACA-2419545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81D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1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1D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1D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1D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1D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1D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1D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81D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81D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81D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81D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81D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8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1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81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81D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1D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1D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1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81D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1D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364B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364B8"/>
  </w:style>
  <w:style w:type="paragraph" w:styleId="ab">
    <w:name w:val="footer"/>
    <w:basedOn w:val="a"/>
    <w:link w:val="Char4"/>
    <w:uiPriority w:val="99"/>
    <w:unhideWhenUsed/>
    <w:rsid w:val="00F364B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364B8"/>
  </w:style>
  <w:style w:type="paragraph" w:customStyle="1" w:styleId="EndNoteBibliographyTitle">
    <w:name w:val="EndNote Bibliography Title"/>
    <w:basedOn w:val="a"/>
    <w:link w:val="EndNoteBibliographyTitleChar"/>
    <w:rsid w:val="00BA6DAF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A6DAF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BA6DAF"/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BA6DAF"/>
    <w:rPr>
      <w:rFonts w:ascii="맑은 고딕" w:eastAsia="맑은 고딕" w:hAnsi="맑은 고딕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대훈 강</dc:creator>
  <cp:keywords/>
  <dc:description/>
  <cp:lastModifiedBy>대훈 강</cp:lastModifiedBy>
  <cp:revision>6</cp:revision>
  <dcterms:created xsi:type="dcterms:W3CDTF">2025-08-03T13:23:00Z</dcterms:created>
  <dcterms:modified xsi:type="dcterms:W3CDTF">2025-08-04T14:01:00Z</dcterms:modified>
</cp:coreProperties>
</file>