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AC90">
      <w:pPr>
        <w:widowControl/>
        <w:spacing w:line="480" w:lineRule="auto"/>
        <w:ind w:firstLine="210" w:firstLineChars="100"/>
        <w:jc w:val="center"/>
        <w:rPr>
          <w:rFonts w:ascii="Times New Roman" w:hAnsi="Times New Roman" w:eastAsia="Segoe UI" w:cs="Times New Roman"/>
          <w:szCs w:val="21"/>
        </w:rPr>
      </w:pPr>
      <w:bookmarkStart w:id="0" w:name="_GoBack"/>
      <w:bookmarkEnd w:id="0"/>
      <w:r>
        <w:rPr>
          <w:rFonts w:ascii="Times New Roman" w:hAnsi="Times New Roman" w:eastAsia="Segoe UI" w:cs="Times New Roman"/>
          <w:szCs w:val="21"/>
        </w:rPr>
        <w:t>Table S1. ICD Codes Used to Define COPD in This Study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210"/>
      </w:tblGrid>
      <w:tr w14:paraId="5616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E39ACFC">
            <w:pPr>
              <w:jc w:val="center"/>
              <w:rPr>
                <w:rFonts w:ascii="Times New Roman Bold" w:hAnsi="Times New Roman Bold" w:eastAsia="宋体" w:cs="Times New Roman Bold"/>
                <w:b/>
                <w:bCs/>
                <w:szCs w:val="21"/>
                <w:shd w:val="clear" w:color="auto" w:fill="FFFFFF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szCs w:val="21"/>
                <w:shd w:val="clear" w:color="auto" w:fill="FFFFFF"/>
              </w:rPr>
              <w:t>ICD Version</w:t>
            </w:r>
          </w:p>
        </w:tc>
        <w:tc>
          <w:tcPr>
            <w:tcW w:w="32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76DBAFD">
            <w:pPr>
              <w:jc w:val="center"/>
              <w:rPr>
                <w:rFonts w:ascii="Times New Roman Bold" w:hAnsi="Times New Roman Bold" w:eastAsia="宋体" w:cs="Times New Roman Bold"/>
                <w:b/>
                <w:bCs/>
                <w:szCs w:val="21"/>
                <w:shd w:val="clear" w:color="auto" w:fill="FFFFFF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szCs w:val="21"/>
                <w:shd w:val="clear" w:color="auto" w:fill="FFFFFF"/>
              </w:rPr>
              <w:t>Diagnosis Codes</w:t>
            </w:r>
          </w:p>
        </w:tc>
      </w:tr>
      <w:tr w14:paraId="61D0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E5282E7"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ICD-9</w:t>
            </w:r>
          </w:p>
        </w:tc>
        <w:tc>
          <w:tcPr>
            <w:tcW w:w="321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2C4BC62"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491.20 - 491.22</w:t>
            </w:r>
          </w:p>
        </w:tc>
      </w:tr>
      <w:tr w14:paraId="3542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1147B1"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ICD-10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6AD900"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J44, J44.0, J44.1, J44.9, N11.1</w:t>
            </w:r>
          </w:p>
        </w:tc>
      </w:tr>
    </w:tbl>
    <w:p w14:paraId="2B600B15">
      <w:pPr>
        <w:rPr>
          <w:rFonts w:ascii="Times New Roman Regular" w:hAnsi="Times New Roman Regular" w:cs="Times New Roman Regular"/>
        </w:rPr>
      </w:pPr>
    </w:p>
    <w:p w14:paraId="3516F29D"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Note: COPD was identified based on ICD-9 codes 491.20–491.22 and ICD-10 codes J44, J44.0, J44.1,</w:t>
      </w:r>
      <w:r>
        <w:rPr>
          <w:rFonts w:hint="eastAsia" w:ascii="Times New Roman Regular" w:hAnsi="Times New Roman Regular" w:cs="Times New Roman Regular"/>
        </w:rPr>
        <w:t xml:space="preserve"> </w:t>
      </w:r>
      <w:r>
        <w:rPr>
          <w:rFonts w:ascii="Times New Roman Regular" w:hAnsi="Times New Roman Regular" w:cs="Times New Roman Regular"/>
        </w:rPr>
        <w:t>J44.9</w:t>
      </w:r>
      <w:r>
        <w:rPr>
          <w:rFonts w:hint="eastAsia"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</w:rPr>
        <w:t xml:space="preserve"> and </w:t>
      </w:r>
      <w:r>
        <w:rPr>
          <w:rFonts w:hint="eastAsia" w:ascii="Times New Roman Regular" w:hAnsi="Times New Roman Regular" w:cs="Times New Roman Regular"/>
        </w:rPr>
        <w:t>N11.1</w:t>
      </w:r>
      <w:r>
        <w:rPr>
          <w:rFonts w:ascii="Times New Roman Regular" w:hAnsi="Times New Roman Regular" w:cs="Times New Roman Regular"/>
        </w:rPr>
        <w:t>.</w:t>
      </w:r>
    </w:p>
    <w:p w14:paraId="3EDDD7EF"/>
    <w:p w14:paraId="2CD7FF60">
      <w:pPr>
        <w:widowControl/>
        <w:jc w:val="left"/>
        <w:rPr>
          <w:rFonts w:ascii="Times New Roman" w:hAnsi="Times New Roman" w:eastAsia="Segoe UI" w:cs="Times New Roman"/>
          <w:szCs w:val="21"/>
        </w:rPr>
      </w:pPr>
      <w:r>
        <w:rPr>
          <w:rFonts w:ascii="Times New Roman" w:hAnsi="Times New Roman" w:eastAsia="Segoe UI" w:cs="Times New Roman"/>
          <w:szCs w:val="21"/>
        </w:rPr>
        <w:br w:type="page"/>
      </w:r>
    </w:p>
    <w:p w14:paraId="3EBEBD3F">
      <w:pPr>
        <w:widowControl/>
        <w:spacing w:line="480" w:lineRule="auto"/>
        <w:jc w:val="center"/>
        <w:rPr>
          <w:rFonts w:ascii="Times New Roman" w:hAnsi="Times New Roman" w:eastAsia="Segoe UI" w:cs="Times New Roman"/>
          <w:szCs w:val="21"/>
        </w:rPr>
      </w:pPr>
      <w:r>
        <w:rPr>
          <w:rFonts w:ascii="Times New Roman" w:hAnsi="Times New Roman" w:eastAsia="Segoe UI" w:cs="Times New Roman"/>
          <w:szCs w:val="21"/>
        </w:rPr>
        <w:t>Table S2. Overview of Missing Data in the Study Sample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447"/>
        <w:gridCol w:w="1657"/>
        <w:gridCol w:w="1483"/>
      </w:tblGrid>
      <w:tr w14:paraId="5846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7492A6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3DF7C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Valid Samples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0A8D5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Missing Samples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CA300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Missing Ratios</w:t>
            </w:r>
          </w:p>
        </w:tc>
      </w:tr>
      <w:tr w14:paraId="2F85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D068F">
            <w:pPr>
              <w:widowControl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  <w:t>Demographic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64FBD">
            <w:pPr>
              <w:widowControl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A05FD">
            <w:pPr>
              <w:widowControl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7AEBD">
            <w:pPr>
              <w:widowControl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</w:p>
        </w:tc>
      </w:tr>
      <w:tr w14:paraId="742B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13AC2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10C5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7CD0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82BE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22D5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D90EB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0200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FBF8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5654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3EA7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D1DE3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  <w:t>Health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2D16D">
            <w:pPr>
              <w:widowControl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3C537">
            <w:pPr>
              <w:widowControl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3DC0B">
            <w:pPr>
              <w:widowControl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</w:p>
        </w:tc>
      </w:tr>
      <w:tr w14:paraId="7751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4391A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2ACE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A74F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F8FD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002F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0E4F4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Atrial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ibrillation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9D95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99CA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2698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4399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979D9">
            <w:pPr>
              <w:widowControl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  <w:t>Anthropometric Measures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638BB">
            <w:pPr>
              <w:widowControl/>
              <w:rPr>
                <w:rFonts w:ascii="Times New Roman" w:hAnsi="Times New Roman" w:eastAsia="等线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5AED1">
            <w:pPr>
              <w:widowControl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</w:p>
        </w:tc>
      </w:tr>
      <w:tr w14:paraId="5D20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B7ABD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agnesium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A505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368A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EE89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3.436</w:t>
            </w:r>
          </w:p>
        </w:tc>
      </w:tr>
      <w:tr w14:paraId="13AC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C9840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5968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4C6C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116B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10.309</w:t>
            </w:r>
          </w:p>
        </w:tc>
      </w:tr>
      <w:tr w14:paraId="5D10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59802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 blood cells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1980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948C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EC8B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0.344</w:t>
            </w:r>
          </w:p>
        </w:tc>
      </w:tr>
      <w:tr w14:paraId="38C7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98940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W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hite blood cells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DAE5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B471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C13B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0.344</w:t>
            </w:r>
          </w:p>
        </w:tc>
      </w:tr>
      <w:tr w14:paraId="2A7B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32A67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F8E0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DD3D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2877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0.344</w:t>
            </w:r>
          </w:p>
        </w:tc>
      </w:tr>
      <w:tr w14:paraId="1936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BD1A6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RDW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9428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61A5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7398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0.344</w:t>
            </w:r>
          </w:p>
        </w:tc>
      </w:tr>
      <w:tr w14:paraId="7848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27822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2823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5F17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F6BB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0.687</w:t>
            </w:r>
          </w:p>
        </w:tc>
      </w:tr>
      <w:tr w14:paraId="01D8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E21C6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F509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4799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C1DF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10.538</w:t>
            </w:r>
          </w:p>
        </w:tc>
      </w:tr>
      <w:tr w14:paraId="2D600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13C8C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611C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065F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5462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10.538</w:t>
            </w:r>
          </w:p>
        </w:tc>
      </w:tr>
      <w:tr w14:paraId="7E55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A107A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Live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6786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8186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26D0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5E20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F11ED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First 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C94D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244E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CB45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3834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F30CB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HbA1c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E0C1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9C2A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56EB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1997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EB3B9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3D7D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E7CF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A24F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6F06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625ED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28-day</w:t>
            </w:r>
            <w:r>
              <w:rPr>
                <w:rFonts w:ascii="Times New Roman" w:hAnsi="Times New Roman" w:eastAsia="Segoe UI" w:cs="Times New Roman"/>
                <w:szCs w:val="21"/>
                <w:shd w:val="clear" w:color="auto" w:fill="FFFFFF"/>
              </w:rPr>
              <w:t xml:space="preserve">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7D1E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C968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5FF7C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  <w:tr w14:paraId="1314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4D41716">
            <w:pPr>
              <w:widowControl/>
              <w:ind w:firstLine="210" w:firstLineChars="10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365-day</w:t>
            </w:r>
            <w:r>
              <w:rPr>
                <w:rFonts w:ascii="Times New Roman" w:hAnsi="Times New Roman" w:eastAsia="Segoe UI" w:cs="Times New Roman"/>
                <w:szCs w:val="21"/>
                <w:shd w:val="clear" w:color="auto" w:fill="FFFFFF"/>
              </w:rPr>
              <w:t xml:space="preserve"> mortality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12C6E4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8546B5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851E98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</w:t>
            </w:r>
          </w:p>
        </w:tc>
      </w:tr>
    </w:tbl>
    <w:p w14:paraId="38DB2C51">
      <w:pPr>
        <w:tabs>
          <w:tab w:val="left" w:pos="1619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Note: This table summarizes the missing data for each variable in the study cohort, including the number of valid samples, missing samples, and the corresponding missing rates.</w:t>
      </w:r>
    </w:p>
    <w:p w14:paraId="7006B4F5">
      <w:r>
        <w:br w:type="page"/>
      </w:r>
    </w:p>
    <w:p w14:paraId="77419768">
      <w:pPr>
        <w:spacing w:line="480" w:lineRule="auto"/>
        <w:jc w:val="center"/>
        <w:rPr>
          <w:rFonts w:ascii="Times New Roman" w:hAnsi="Times New Roman" w:eastAsia="Segoe UI" w:cs="Times New Roman"/>
          <w:szCs w:val="21"/>
          <w:shd w:val="clear" w:color="auto" w:fill="FFFFFF"/>
        </w:rPr>
      </w:pPr>
      <w:r>
        <w:rPr>
          <w:rFonts w:ascii="Times New Roman" w:hAnsi="Times New Roman" w:eastAsia="Segoe UI" w:cs="Times New Roman"/>
          <w:szCs w:val="21"/>
          <w:shd w:val="clear" w:color="auto" w:fill="FFFFFF"/>
        </w:rPr>
        <w:t>Table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S3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. Univariate Cox Regression Analysis for 28-Day and 365-Day Mortality</w:t>
      </w:r>
    </w:p>
    <w:tbl>
      <w:tblPr>
        <w:tblStyle w:val="5"/>
        <w:tblW w:w="9707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013"/>
        <w:gridCol w:w="1559"/>
        <w:gridCol w:w="1756"/>
        <w:gridCol w:w="1552"/>
      </w:tblGrid>
      <w:tr w14:paraId="6321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D471B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Item</w:t>
            </w:r>
          </w:p>
        </w:tc>
        <w:tc>
          <w:tcPr>
            <w:tcW w:w="357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A7DA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Segoe UI" w:cs="Times New Roman"/>
                <w:bCs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Times New Roman" w:hAnsi="Times New Roman" w:eastAsia="Segoe UI" w:cs="Times New Roman"/>
                <w:bCs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bCs/>
                <w:color w:val="000000"/>
                <w:szCs w:val="21"/>
                <w:shd w:val="clear" w:color="auto" w:fill="FFFFFF"/>
              </w:rPr>
              <w:t>mortality</w:t>
            </w:r>
          </w:p>
        </w:tc>
        <w:tc>
          <w:tcPr>
            <w:tcW w:w="3308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6CBE5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  <w:t>365-</w:t>
            </w:r>
            <w:r>
              <w:rPr>
                <w:rFonts w:ascii="Times New Roman" w:hAnsi="Times New Roman" w:eastAsia="Segoe UI" w:cs="Times New Roman"/>
                <w:bCs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bCs/>
                <w:color w:val="000000"/>
                <w:szCs w:val="21"/>
                <w:shd w:val="clear" w:color="auto" w:fill="FFFFFF"/>
              </w:rPr>
              <w:t>mortality</w:t>
            </w:r>
          </w:p>
        </w:tc>
      </w:tr>
      <w:tr w14:paraId="469B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vMerge w:val="continue"/>
            <w:tcBorders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8A294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6FC8D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HR(95%CI)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C19B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P-value</w:t>
            </w:r>
          </w:p>
        </w:tc>
        <w:tc>
          <w:tcPr>
            <w:tcW w:w="175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6F46F8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HR(95%CI)</w:t>
            </w:r>
          </w:p>
        </w:tc>
        <w:tc>
          <w:tcPr>
            <w:tcW w:w="155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8868A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P-value</w:t>
            </w:r>
          </w:p>
        </w:tc>
      </w:tr>
      <w:tr w14:paraId="60A7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7AD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Sex (Male vs Female)</w:t>
            </w:r>
          </w:p>
        </w:tc>
        <w:tc>
          <w:tcPr>
            <w:tcW w:w="201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577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1.06 (0.73,1.55)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B4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0.753</w:t>
            </w:r>
          </w:p>
        </w:tc>
        <w:tc>
          <w:tcPr>
            <w:tcW w:w="175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FA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0.83 (0.65,1.07)</w:t>
            </w:r>
          </w:p>
        </w:tc>
        <w:tc>
          <w:tcPr>
            <w:tcW w:w="155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AE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0.145</w:t>
            </w:r>
          </w:p>
        </w:tc>
      </w:tr>
      <w:tr w14:paraId="5ECE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D09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Admission age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0D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1.04 (1.02,1.06)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92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E0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(1.02,1.04)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13C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14:paraId="0FD9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A29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Magnesium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87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0.61 (0.42,0.91)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27F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0.014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763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0.65 (0.50,0.83)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9F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14:paraId="4534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A32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Calcium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E6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1.06 (0.87,1.30)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4D9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0.552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98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1.13 (1.00,1.27)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8A5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0.056</w:t>
            </w:r>
          </w:p>
        </w:tc>
      </w:tr>
      <w:tr w14:paraId="286F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907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RBC 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79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0.99 (0.79,1.25)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AC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0.939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B28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(0.84,1.14)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0E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0.793</w:t>
            </w:r>
          </w:p>
        </w:tc>
      </w:tr>
      <w:tr w14:paraId="4526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107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HB 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64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 (0.92,1.08)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D8C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0.935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C8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0.96 (0.91,1.02)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CE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0.183</w:t>
            </w:r>
          </w:p>
        </w:tc>
      </w:tr>
      <w:tr w14:paraId="708F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459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PLT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FD8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(1.00,1.00)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85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C2E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(1.00,1.00)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BA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0.054</w:t>
            </w:r>
          </w:p>
        </w:tc>
      </w:tr>
      <w:tr w14:paraId="5C5B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E4A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INR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BA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1.15 (0.95,1.38)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AAE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57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1.14 (1.00,1.30)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01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</w:tr>
      <w:tr w14:paraId="10C2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6FD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PT 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C5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 (1.00,1.03)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04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0.110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716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 (1.00,1.02)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CE9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</w:tr>
      <w:tr w14:paraId="42D3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617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Diabetes (Yes vs No)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CAB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1.12 (0.78,1.61)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CC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0.542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9E0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1.17 (0.91,1.49)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103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</w:tr>
      <w:tr w14:paraId="38F9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EAD71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Atrial Fibrillation (Yes vs No)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B1BF4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1.03 (0.71,1.48)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9E43C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0.895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38E17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1.11 (0.87,1.41)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A9654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0.422</w:t>
            </w:r>
          </w:p>
        </w:tc>
      </w:tr>
    </w:tbl>
    <w:p w14:paraId="5E0224EF">
      <w:pPr>
        <w:jc w:val="left"/>
        <w:rPr>
          <w:rFonts w:ascii="Times New Roman" w:hAnsi="Times New Roman" w:eastAsia="宋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w:t>Note: HR = Hazard ratio; CI = Confidence interval. P-values were derived from Wald tests in univariate Cox regression models.</w:t>
      </w:r>
    </w:p>
    <w:p w14:paraId="6BC24084">
      <w:pPr>
        <w:jc w:val="center"/>
        <w:rPr>
          <w:rFonts w:ascii="Times New Roman" w:hAnsi="Times New Roman" w:eastAsia="等线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Cs w:val="21"/>
        </w:rPr>
        <w:t xml:space="preserve">Table S4. Sensitivity Analyses Using SHR Quartiles to Evaluate the Association </w:t>
      </w:r>
      <w:r>
        <w:rPr>
          <w:rFonts w:ascii="Times New Roman" w:hAnsi="Times New Roman" w:eastAsia="等线" w:cs="Times New Roman"/>
          <w:color w:val="000000"/>
          <w:kern w:val="0"/>
          <w:szCs w:val="21"/>
        </w:rPr>
        <w:t>between</w:t>
      </w:r>
      <w:r>
        <w:rPr>
          <w:rFonts w:hint="eastAsia" w:ascii="Times New Roman" w:hAnsi="Times New Roman" w:eastAsia="等线" w:cs="Times New Roman"/>
          <w:color w:val="000000"/>
          <w:kern w:val="0"/>
          <w:szCs w:val="21"/>
        </w:rPr>
        <w:t xml:space="preserve"> SHR and Mortality in COPD Patients</w:t>
      </w:r>
    </w:p>
    <w:tbl>
      <w:tblPr>
        <w:tblStyle w:val="5"/>
        <w:tblpPr w:leftFromText="180" w:rightFromText="180" w:vertAnchor="text" w:horzAnchor="page" w:tblpX="901" w:tblpY="250"/>
        <w:tblOverlap w:val="never"/>
        <w:tblW w:w="1530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654"/>
        <w:gridCol w:w="1710"/>
        <w:gridCol w:w="1636"/>
        <w:gridCol w:w="1582"/>
        <w:gridCol w:w="1727"/>
        <w:gridCol w:w="1164"/>
        <w:gridCol w:w="2327"/>
        <w:gridCol w:w="1582"/>
      </w:tblGrid>
      <w:tr w14:paraId="0DB7E8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592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Categories</w:t>
            </w:r>
          </w:p>
        </w:tc>
        <w:tc>
          <w:tcPr>
            <w:tcW w:w="336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CD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Unadjusted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Model</w:t>
            </w:r>
          </w:p>
        </w:tc>
        <w:tc>
          <w:tcPr>
            <w:tcW w:w="321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96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1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0E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2</w:t>
            </w:r>
          </w:p>
        </w:tc>
        <w:tc>
          <w:tcPr>
            <w:tcW w:w="3909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A6F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3</w:t>
            </w:r>
          </w:p>
        </w:tc>
      </w:tr>
      <w:tr w14:paraId="374AB9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vMerge w:val="continue"/>
            <w:tcBorders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5B3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E97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35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1A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3E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27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F99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758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62BF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6BC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14:paraId="665DAA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450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mortality</w:t>
            </w:r>
          </w:p>
        </w:tc>
        <w:tc>
          <w:tcPr>
            <w:tcW w:w="1654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08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570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6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F73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82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21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0D3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9A7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EE8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AE2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485C4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F67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SHR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B34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(1.15~1.85)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2B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8DE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1.39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(1.11~1.76)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343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1B8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(1.05~1.75)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BF9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0.021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D28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(1.04~1.73)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C0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0.024</w:t>
            </w:r>
          </w:p>
        </w:tc>
      </w:tr>
      <w:tr w14:paraId="1A3160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634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Quartiles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7DB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F69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767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AC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32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5F6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E4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CEA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D362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64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T1(0.28~0.84)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945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E03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09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890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CA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158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BF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0D2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966BD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C15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T2(0.84~1.04)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93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(0.60~2.02)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5B0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32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(0.58~1.94)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F13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0.853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63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1 .00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(0.54~1.85)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1B0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32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0.99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(0.53~1.84)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EA3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0.965</w:t>
            </w:r>
          </w:p>
        </w:tc>
      </w:tr>
      <w:tr w14:paraId="7D6A68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5D9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T3(1.04~1.31)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893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(0.95~2.89)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A2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71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(0.90~2.76)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1D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0.109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F0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1.43 (0.81~2.54)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931E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0.219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70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1.43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(0.81~2.55)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EB2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0.223</w:t>
            </w:r>
          </w:p>
        </w:tc>
      </w:tr>
      <w:tr w14:paraId="636190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47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T4(1.31~5.62)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D9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2.24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(1.31~3.81)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A0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7ED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2.30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(1.35~3.92)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69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0.002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536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1.94 (1.12~3.34)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02C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028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(1.12~3.33)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234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</w:t>
            </w:r>
          </w:p>
        </w:tc>
      </w:tr>
      <w:tr w14:paraId="66E46B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ADD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 for trend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15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F154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14C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EA9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759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0A5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0.006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7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6A5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0.006</w:t>
            </w:r>
          </w:p>
        </w:tc>
      </w:tr>
      <w:tr w14:paraId="416C29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6FD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365-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mortality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1F70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43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F93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751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11C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64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2D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27C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2086B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E3A8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SHR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9C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(1.21~1.69)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33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E72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(1.16~1.61)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98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3CC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(1.11~1.59)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8BC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0.002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D4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(1.11~1.59)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717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0.002</w:t>
            </w:r>
          </w:p>
        </w:tc>
      </w:tr>
      <w:tr w14:paraId="7039C3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A64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Quartiles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C9A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28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DF2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5C3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950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C55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3A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82A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19122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38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T1(0.28~0.84)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86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9E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AE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A65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505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2F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D28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C8B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DA341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96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T2(0.84~1.04)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4B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(0.91~1.94)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0D1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79B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(0.88~1.87)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0C2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0.201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32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(0.83~1.77)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305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0.331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6BE2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(0.84~1.82)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EEB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0.293</w:t>
            </w:r>
          </w:p>
        </w:tc>
      </w:tr>
      <w:tr w14:paraId="32E1E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3DE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T3(1.04~1.31)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85E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(1.05~2.20)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06F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0.027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CD5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(1.00~2.10)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BF3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0.049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0F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(0.93~1.98)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E7D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0.120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F07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(0.93~2.00)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838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0.118</w:t>
            </w:r>
          </w:p>
        </w:tc>
      </w:tr>
      <w:tr w14:paraId="7E0559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9CC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T4(1.31~5.62)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68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(1.31~2.69)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7E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746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(1.32~2.71)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90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FE9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(1.13~2.37)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F0C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0.010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A49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(1.13~2.38)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F0E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0.009</w:t>
            </w:r>
          </w:p>
        </w:tc>
      </w:tr>
      <w:tr w14:paraId="5CAEA9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DA6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 for trend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0C1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4CB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93D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96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165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0E5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0.008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48A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A11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0.004</w:t>
            </w:r>
          </w:p>
        </w:tc>
      </w:tr>
    </w:tbl>
    <w:p w14:paraId="35A2415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Note: T = Tertile; SHR = Stress hyperglycemia ratio; HR = H</w:t>
      </w:r>
      <w:r>
        <w:rPr>
          <w:rFonts w:ascii="Times New Roman" w:hAnsi="Times New Roman" w:eastAsia="宋体" w:cs="Times New Roman"/>
          <w:color w:val="1B1B1B"/>
          <w:szCs w:val="21"/>
          <w:shd w:val="clear" w:color="auto" w:fill="FFFFFF"/>
        </w:rPr>
        <w:t>azard ratio</w:t>
      </w:r>
      <w:r>
        <w:rPr>
          <w:rFonts w:hint="eastAsia" w:ascii="Times New Roman" w:hAnsi="Times New Roman" w:eastAsia="宋体" w:cs="Times New Roman"/>
          <w:szCs w:val="21"/>
        </w:rPr>
        <w:t>; CI = Confidence interval; Ref. = Reference.</w:t>
      </w:r>
    </w:p>
    <w:p w14:paraId="179A198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1: Adjusted for age and sex.</w:t>
      </w:r>
    </w:p>
    <w:p w14:paraId="2E57082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2: Adjusted as in Model 1, additionally including magnesium, calcium, red blood cell count, hemoglobin, platelet count, international normalized ratio (INR), and prothrombin time (PT).</w:t>
      </w:r>
    </w:p>
    <w:p w14:paraId="4E4B871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3: Adjusted as in Model 2, plus diabetes and atrial fibrillation.</w:t>
      </w:r>
    </w:p>
    <w:p w14:paraId="748F2ECF">
      <w:pPr>
        <w:jc w:val="left"/>
        <w:rPr>
          <w:rFonts w:ascii="Times New Roman Regular" w:hAnsi="Times New Roman Regular" w:cs="Times New Roman Regular"/>
          <w:bCs/>
          <w:sz w:val="24"/>
        </w:rPr>
        <w:sectPr>
          <w:pgSz w:w="16838" w:h="11906" w:orient="landscape"/>
          <w:pgMar w:top="726" w:right="760" w:bottom="726" w:left="760" w:header="851" w:footer="992" w:gutter="0"/>
          <w:cols w:space="0" w:num="1"/>
          <w:docGrid w:type="lines" w:linePitch="316" w:charSpace="0"/>
        </w:sectPr>
      </w:pPr>
    </w:p>
    <w:p w14:paraId="0F6D3283">
      <w:pPr>
        <w:jc w:val="center"/>
        <w:rPr>
          <w:rFonts w:ascii="Times New Roman" w:hAnsi="Times New Roman" w:eastAsia="Segoe UI" w:cs="Times New Roman"/>
          <w:szCs w:val="21"/>
          <w:shd w:val="clear" w:color="auto" w:fill="FFFFFF"/>
        </w:rPr>
      </w:pPr>
      <w:r>
        <w:rPr>
          <w:rFonts w:ascii="Times New Roman" w:hAnsi="Times New Roman" w:eastAsia="Segoe UI" w:cs="Times New Roman"/>
          <w:szCs w:val="21"/>
          <w:shd w:val="clear" w:color="auto" w:fill="FFFFFF"/>
        </w:rPr>
        <w:t>Table S5. Sensitivity Analyses Using SHR Quartiles and Quintiles to Evaluate the Association between SHR and Mortality in COPD Patients</w:t>
      </w:r>
    </w:p>
    <w:tbl>
      <w:tblPr>
        <w:tblStyle w:val="5"/>
        <w:tblpPr w:leftFromText="180" w:rightFromText="180" w:vertAnchor="text" w:horzAnchor="page" w:tblpX="887" w:tblpY="287"/>
        <w:tblOverlap w:val="never"/>
        <w:tblW w:w="1528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062"/>
        <w:gridCol w:w="1000"/>
        <w:gridCol w:w="2055"/>
        <w:gridCol w:w="964"/>
        <w:gridCol w:w="2163"/>
        <w:gridCol w:w="1237"/>
        <w:gridCol w:w="2291"/>
        <w:gridCol w:w="1581"/>
      </w:tblGrid>
      <w:tr w14:paraId="72F901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63F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Categories</w:t>
            </w:r>
          </w:p>
        </w:tc>
        <w:tc>
          <w:tcPr>
            <w:tcW w:w="3062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72A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Unadjusted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Model</w:t>
            </w:r>
          </w:p>
        </w:tc>
        <w:tc>
          <w:tcPr>
            <w:tcW w:w="3019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23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1</w:t>
            </w:r>
          </w:p>
        </w:tc>
        <w:tc>
          <w:tcPr>
            <w:tcW w:w="340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AE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2</w:t>
            </w:r>
          </w:p>
        </w:tc>
        <w:tc>
          <w:tcPr>
            <w:tcW w:w="3872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67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Model 3</w:t>
            </w:r>
          </w:p>
        </w:tc>
      </w:tr>
      <w:tr w14:paraId="02CE9A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443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D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86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205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8F0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47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216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2E2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D49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229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F32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35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14:paraId="4CAFDB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96B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mortality</w:t>
            </w:r>
          </w:p>
        </w:tc>
        <w:tc>
          <w:tcPr>
            <w:tcW w:w="2062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72F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44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5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C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4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D0F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C4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479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F9A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542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EBD2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313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SHR</w:t>
            </w:r>
          </w:p>
        </w:tc>
        <w:tc>
          <w:tcPr>
            <w:tcW w:w="2062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FB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(1.15~1.85)</w:t>
            </w:r>
          </w:p>
        </w:tc>
        <w:tc>
          <w:tcPr>
            <w:tcW w:w="1000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1C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2055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3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1.39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(1.11~1.76)</w:t>
            </w:r>
          </w:p>
        </w:tc>
        <w:tc>
          <w:tcPr>
            <w:tcW w:w="964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1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2163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06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1.36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(1.05~1.75)</w:t>
            </w:r>
          </w:p>
        </w:tc>
        <w:tc>
          <w:tcPr>
            <w:tcW w:w="1237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4DC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</w:t>
            </w:r>
          </w:p>
        </w:tc>
        <w:tc>
          <w:tcPr>
            <w:tcW w:w="2291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19F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1.35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(1.04~1.73)</w:t>
            </w:r>
          </w:p>
        </w:tc>
        <w:tc>
          <w:tcPr>
            <w:tcW w:w="1581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378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</w:t>
            </w:r>
          </w:p>
        </w:tc>
      </w:tr>
      <w:tr w14:paraId="63F604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4E7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Q</w:t>
            </w:r>
            <w:r>
              <w:rPr>
                <w:rFonts w:ascii="Times New Roman" w:hAnsi="Times New Roman" w:eastAsia="Segoe UI" w:cs="Times New Roman"/>
                <w:szCs w:val="21"/>
                <w:shd w:val="clear" w:color="auto" w:fill="FFFFFF"/>
              </w:rPr>
              <w:t>uintiles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5C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BD6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0CA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B1C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D1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E74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2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BB0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F0AFA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51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T1(0.28~0.80)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D38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0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7A3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022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3E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FD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66E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8E2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7642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5C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T2(0.80~0.96)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45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(0.51~1.96)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2F7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97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0.96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(0.49~1.88)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B03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0.909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38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0.97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(0.49~1.92)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9B6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0.934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2D0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0.96 (0.48~1.92)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183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0.907</w:t>
            </w:r>
          </w:p>
        </w:tc>
      </w:tr>
      <w:tr w14:paraId="38D270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56E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T3(0.96~1.12)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20A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1.19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(0.62~2.27)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B4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AE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1.15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(0.60~2.20)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A01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0.664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862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(0.54~2.02)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C78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0.899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C3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1.06 (0.55~2.06)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BCE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0.862</w:t>
            </w:r>
          </w:p>
        </w:tc>
      </w:tr>
      <w:tr w14:paraId="3B2DC5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3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T4(1.12~1.38)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22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1.59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(0.86~2.93)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000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0.136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EC5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1.49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(0.81~2.76)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38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0.201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E5C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(0.75~2.63)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0C2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0.298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72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1.41 (0.75~2.66)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56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0.290</w:t>
            </w:r>
          </w:p>
        </w:tc>
      </w:tr>
      <w:tr w14:paraId="1C6E62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F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T5(1.38~5.62)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9B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(1.28~4.07)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708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76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2.37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(1.33~4.23)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92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58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1.98 (1.09~3.6)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5E2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B32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1.99 (1.09~3.61)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AFD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</w:t>
            </w:r>
          </w:p>
        </w:tc>
      </w:tr>
      <w:tr w14:paraId="029D76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326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 for trend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46C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E7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25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83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E7E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E73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2A7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593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</w:t>
            </w:r>
          </w:p>
        </w:tc>
      </w:tr>
      <w:tr w14:paraId="0BDD4D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03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365-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day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Times New Roman"/>
                <w:color w:val="000000"/>
                <w:szCs w:val="21"/>
                <w:shd w:val="clear" w:color="auto" w:fill="FFFFFF"/>
              </w:rPr>
              <w:t>mortality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F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F6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A5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379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97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584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A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9E7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8B8C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AB3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SHR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C17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(1.21~1.69)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12E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D95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(1.16~1.61)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3CD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D4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(1.11~1.59)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69B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9D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(1.11~1.59)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5CC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14:paraId="48EDB0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FD3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Q</w:t>
            </w:r>
            <w:r>
              <w:rPr>
                <w:rFonts w:ascii="Times New Roman" w:hAnsi="Times New Roman" w:eastAsia="Segoe UI" w:cs="Times New Roman"/>
                <w:szCs w:val="21"/>
                <w:shd w:val="clear" w:color="auto" w:fill="FFFFFF"/>
              </w:rPr>
              <w:t>uintiles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128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E9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C2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E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C5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74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E3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34F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F3145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B8F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T1(0.28~0.80)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B0C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A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06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B0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6C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93B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87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(Ref)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DB3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4E9A9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C36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T2(0.80~0.96)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5FD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(0.82~1.96)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270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A92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1.22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(0.79~1.88)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6AC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0.372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A5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1.21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(0.78~1.88)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794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0.393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C7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1.24 (0.79~1.94)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F26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0.353</w:t>
            </w:r>
          </w:p>
        </w:tc>
      </w:tr>
      <w:tr w14:paraId="3ED6B7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06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T3(0.96~1.12)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563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(0.92~2.15)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3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7A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(0.90~2.10)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B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0.145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4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1.34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(0.87~2.06)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8B8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0.189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FF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1.36 (0.88~2.12)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7E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0.170</w:t>
            </w:r>
          </w:p>
        </w:tc>
      </w:tr>
      <w:tr w14:paraId="791DC9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shd w:val="clear" w:color="auto" w:fill="auto"/>
            <w:vAlign w:val="center"/>
          </w:tcPr>
          <w:p w14:paraId="5550D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T4(1.12~1.38)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98B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1.67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(1.11~2.53)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2A5D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0.015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F93F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1.56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(1.03~2.36)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FC7B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0.037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99BB4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1.51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(0.98~2.31)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65FA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BAE42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1.52 (0.99~2.34)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3A8C6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0.057</w:t>
            </w:r>
          </w:p>
        </w:tc>
      </w:tr>
      <w:tr w14:paraId="3ECCA5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shd w:val="clear" w:color="auto" w:fill="auto"/>
            <w:vAlign w:val="center"/>
          </w:tcPr>
          <w:p w14:paraId="0094F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T5(1.38~5.62)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89CEB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2.11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(1.42~3.16)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EDB1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42A76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2.16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(1.45~3.23)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D4E7A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7B8C9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1.85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(1.22~2.8)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B6A3D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87D6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1.86(1.23~2.82)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95910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</w:t>
            </w:r>
          </w:p>
        </w:tc>
      </w:tr>
      <w:tr w14:paraId="1DBC8E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4" w:type="dxa"/>
            <w:shd w:val="clear" w:color="auto" w:fill="auto"/>
            <w:vAlign w:val="center"/>
          </w:tcPr>
          <w:p w14:paraId="48A433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 for trend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8E23D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BF1F3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6E970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5E40B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03DD2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8A576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BAA0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96498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</w:tbl>
    <w:p w14:paraId="3C70CF6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Note: T = Tertile; SHR = Stress hyperglycemia ratio; HR = </w:t>
      </w:r>
      <w:r>
        <w:rPr>
          <w:rFonts w:hint="eastAsia" w:ascii="Times New Roman" w:hAnsi="Times New Roman" w:eastAsia="宋体" w:cs="Times New Roman"/>
          <w:color w:val="1B1B1B"/>
          <w:szCs w:val="21"/>
          <w:shd w:val="clear" w:color="auto" w:fill="FFFFFF"/>
        </w:rPr>
        <w:t>H</w:t>
      </w:r>
      <w:r>
        <w:rPr>
          <w:rFonts w:ascii="Times New Roman" w:hAnsi="Times New Roman" w:eastAsia="宋体" w:cs="Times New Roman"/>
          <w:color w:val="1B1B1B"/>
          <w:szCs w:val="21"/>
          <w:shd w:val="clear" w:color="auto" w:fill="FFFFFF"/>
        </w:rPr>
        <w:t>azard ratio</w:t>
      </w:r>
      <w:r>
        <w:rPr>
          <w:rFonts w:hint="eastAsia" w:ascii="Times New Roman" w:hAnsi="Times New Roman" w:eastAsia="宋体" w:cs="Times New Roman"/>
          <w:szCs w:val="21"/>
        </w:rPr>
        <w:t>; CI = Confidence interval; Ref. = Reference.</w:t>
      </w:r>
    </w:p>
    <w:p w14:paraId="590B2FE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1: Adjusted for age and sex.</w:t>
      </w:r>
    </w:p>
    <w:p w14:paraId="31DCC06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2: Adjusted as in Model 1 plus magnesium, calcium, red blood cell count, hemoglobin, platelet count, international normalized ratio (INR), and prothrombin time (PT).</w:t>
      </w:r>
    </w:p>
    <w:p w14:paraId="4C8C9F3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Model 3: Adjusted as in Model 2 plus diabetes and atrial fibrillation.</w:t>
      </w:r>
    </w:p>
    <w:p w14:paraId="33C11A21">
      <w:pPr>
        <w:rPr>
          <w:rFonts w:ascii="Times New Roman" w:hAnsi="Times New Roman" w:eastAsia="宋体" w:cs="Times New Roman"/>
          <w:szCs w:val="21"/>
        </w:rPr>
      </w:pPr>
    </w:p>
    <w:sectPr>
      <w:pgSz w:w="16838" w:h="11906" w:orient="landscape"/>
      <w:pgMar w:top="1236" w:right="760" w:bottom="1236" w:left="76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76A3B"/>
    <w:rsid w:val="00473DE1"/>
    <w:rsid w:val="00812E17"/>
    <w:rsid w:val="00D40887"/>
    <w:rsid w:val="00F1292C"/>
    <w:rsid w:val="056D5AC3"/>
    <w:rsid w:val="0614238D"/>
    <w:rsid w:val="0EAD7A72"/>
    <w:rsid w:val="16C21CD4"/>
    <w:rsid w:val="244C405A"/>
    <w:rsid w:val="26A76A3B"/>
    <w:rsid w:val="273F135A"/>
    <w:rsid w:val="27E1403B"/>
    <w:rsid w:val="428146D1"/>
    <w:rsid w:val="57D11819"/>
    <w:rsid w:val="608E105D"/>
    <w:rsid w:val="60FD669A"/>
    <w:rsid w:val="651350D0"/>
    <w:rsid w:val="71FB1B42"/>
    <w:rsid w:val="7AFFBAAC"/>
    <w:rsid w:val="7FC7A008"/>
    <w:rsid w:val="8B7DF4D4"/>
    <w:rsid w:val="E99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826</Words>
  <Characters>4702</Characters>
  <Lines>40</Lines>
  <Paragraphs>11</Paragraphs>
  <TotalTime>2</TotalTime>
  <ScaleCrop>false</ScaleCrop>
  <LinksUpToDate>false</LinksUpToDate>
  <CharactersWithSpaces>5138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2025-06-04T19:16:00Z</dcterms:created>
  <dc:creator>歆</dc:creator>
  <cp:lastModifiedBy>歆</cp:lastModifiedBy>
  <dcterms:modified xsi:type="dcterms:W3CDTF">2025-07-02T01:13:05Z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374828538EFA4A6B889E3E25D16B3784_13</vt:lpwstr>
  </property>
  <property fmtid="{D5CDD505-2E9C-101B-9397-08002B2CF9AE}" pid="4" name="KSOTemplateDocerSaveRecord">
    <vt:lpwstr>eyJoZGlkIjoiMDcxMWQ4OTkyMmQ0YjVkOTQ4YjQ2MjFkNmQwZjJhNjciLCJ1c2VySWQiOiI0NjEwMzU4ODAifQ==</vt:lpwstr>
  </property>
</Properties>
</file>