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18004" w14:textId="77777777" w:rsidR="00DF2912" w:rsidRPr="009311D9" w:rsidRDefault="00DF2912" w:rsidP="00DF2912">
      <w:pPr>
        <w:keepNext/>
        <w:keepLines/>
        <w:pBdr>
          <w:top w:val="nil"/>
          <w:left w:val="nil"/>
          <w:bottom w:val="nil"/>
          <w:right w:val="nil"/>
          <w:between w:val="nil"/>
        </w:pBdr>
        <w:spacing w:line="360" w:lineRule="auto"/>
        <w:jc w:val="both"/>
        <w:rPr>
          <w:color w:val="000000" w:themeColor="text1"/>
          <w:sz w:val="20"/>
          <w:szCs w:val="20"/>
        </w:rPr>
      </w:pPr>
      <w:r w:rsidRPr="241400E8">
        <w:rPr>
          <w:b/>
          <w:bCs/>
          <w:color w:val="000000" w:themeColor="text1"/>
          <w:sz w:val="20"/>
          <w:szCs w:val="20"/>
        </w:rPr>
        <w:t>FIGURE S1. Distribution of CSF biomarkers</w:t>
      </w:r>
    </w:p>
    <w:p w14:paraId="3478CD74" w14:textId="77777777" w:rsidR="00DF2912" w:rsidRDefault="00DF2912" w:rsidP="00DF2912">
      <w:pPr>
        <w:keepNext/>
        <w:keepLines/>
        <w:pBdr>
          <w:top w:val="nil"/>
          <w:left w:val="nil"/>
          <w:bottom w:val="nil"/>
          <w:right w:val="nil"/>
          <w:between w:val="nil"/>
        </w:pBdr>
        <w:spacing w:line="360" w:lineRule="auto"/>
        <w:jc w:val="both"/>
        <w:rPr>
          <w:color w:val="000000" w:themeColor="text1"/>
          <w:sz w:val="20"/>
          <w:szCs w:val="20"/>
          <w:lang w:val="en-US"/>
        </w:rPr>
      </w:pPr>
      <w:r w:rsidRPr="5EE028C2">
        <w:rPr>
          <w:color w:val="000000" w:themeColor="text1"/>
          <w:sz w:val="20"/>
          <w:szCs w:val="20"/>
          <w:lang w:val="en-US"/>
        </w:rPr>
        <w:t>Panel A presents histograms of CSF biomarker distributions across the entire sample, with colours representing different biomarkers. The black line indicates the density function. Panel B stratifies this visualization by clinical diagnosis (HC: grey, CAA-nonAD: blue, CAA-AD: green, AD: orange). Group differences were assessed using the Kruskal-Wallis test, revealing significant differences in CSF biomarker concentrations across all groups (</w:t>
      </w:r>
      <w:r w:rsidRPr="5EE028C2">
        <w:rPr>
          <w:i/>
          <w:iCs/>
          <w:color w:val="000000" w:themeColor="text1"/>
          <w:sz w:val="20"/>
          <w:szCs w:val="20"/>
          <w:lang w:val="en-US"/>
        </w:rPr>
        <w:t>p</w:t>
      </w:r>
      <w:r w:rsidRPr="5EE028C2">
        <w:rPr>
          <w:color w:val="000000" w:themeColor="text1"/>
          <w:sz w:val="20"/>
          <w:szCs w:val="20"/>
          <w:lang w:val="en-US"/>
        </w:rPr>
        <w:t>-value &lt;0.05/6).</w:t>
      </w:r>
    </w:p>
    <w:p w14:paraId="196EB73B" w14:textId="77777777" w:rsidR="00DF2912" w:rsidRDefault="00DF2912" w:rsidP="00DF2912">
      <w:pPr>
        <w:keepNext/>
        <w:keepLines/>
        <w:pBdr>
          <w:top w:val="nil"/>
          <w:left w:val="nil"/>
          <w:bottom w:val="nil"/>
          <w:right w:val="nil"/>
          <w:between w:val="nil"/>
        </w:pBdr>
        <w:spacing w:line="360" w:lineRule="auto"/>
        <w:jc w:val="both"/>
        <w:rPr>
          <w:color w:val="000000" w:themeColor="text1"/>
          <w:sz w:val="20"/>
          <w:szCs w:val="20"/>
          <w:lang w:val="en-US"/>
        </w:rPr>
      </w:pPr>
    </w:p>
    <w:p w14:paraId="47780EFA" w14:textId="77777777" w:rsidR="00DF2912" w:rsidRPr="00090CE2" w:rsidRDefault="00DF2912" w:rsidP="00DF2912">
      <w:pPr>
        <w:keepNext/>
        <w:keepLines/>
        <w:pBdr>
          <w:top w:val="nil"/>
          <w:left w:val="nil"/>
          <w:bottom w:val="nil"/>
          <w:right w:val="nil"/>
          <w:between w:val="nil"/>
        </w:pBdr>
        <w:spacing w:line="360" w:lineRule="auto"/>
        <w:jc w:val="both"/>
        <w:rPr>
          <w:b/>
          <w:bCs/>
          <w:color w:val="000000" w:themeColor="text1"/>
          <w:sz w:val="20"/>
          <w:szCs w:val="20"/>
        </w:rPr>
      </w:pPr>
      <w:r w:rsidRPr="00090CE2">
        <w:rPr>
          <w:b/>
          <w:bCs/>
          <w:color w:val="000000" w:themeColor="text1"/>
          <w:sz w:val="20"/>
          <w:szCs w:val="20"/>
        </w:rPr>
        <w:t>FIGURE S2. Sensitivity analysis excluding patients with possible CAA.</w:t>
      </w:r>
    </w:p>
    <w:p w14:paraId="63E35DAB" w14:textId="77777777" w:rsidR="00DF2912" w:rsidRDefault="00DF2912" w:rsidP="00DF2912">
      <w:pPr>
        <w:keepNext/>
        <w:keepLines/>
        <w:pBdr>
          <w:top w:val="nil"/>
          <w:left w:val="nil"/>
          <w:bottom w:val="nil"/>
          <w:right w:val="nil"/>
          <w:between w:val="nil"/>
        </w:pBdr>
        <w:spacing w:line="360" w:lineRule="auto"/>
        <w:jc w:val="both"/>
        <w:rPr>
          <w:color w:val="000000" w:themeColor="text1"/>
          <w:sz w:val="20"/>
          <w:szCs w:val="20"/>
        </w:rPr>
      </w:pPr>
      <w:r w:rsidRPr="00090CE2">
        <w:rPr>
          <w:color w:val="000000" w:themeColor="text1"/>
          <w:sz w:val="20"/>
          <w:szCs w:val="20"/>
        </w:rPr>
        <w:t xml:space="preserve">Panel A presents the marginal means and 95% confidence intervals from ANCOVA models comparing CSF biomarkers across groups, adjusted for age and sex. Colours correspond to clinical diagnoses (HC, grey; CAA-nonAD, blue; CAA-AD, green; AD, orange). Panel B displays pairwise comparisons with Bonferroni correction, where blue tiles indicate a </w:t>
      </w:r>
      <w:r w:rsidRPr="00090CE2">
        <w:rPr>
          <w:i/>
          <w:iCs/>
          <w:color w:val="000000" w:themeColor="text1"/>
          <w:sz w:val="20"/>
          <w:szCs w:val="20"/>
        </w:rPr>
        <w:t>p</w:t>
      </w:r>
      <w:r w:rsidRPr="00090CE2">
        <w:rPr>
          <w:color w:val="000000" w:themeColor="text1"/>
          <w:sz w:val="20"/>
          <w:szCs w:val="20"/>
        </w:rPr>
        <w:t>-value</w:t>
      </w:r>
      <w:r w:rsidRPr="00090CE2">
        <w:rPr>
          <w:color w:val="000000" w:themeColor="text1"/>
          <w:sz w:val="20"/>
          <w:szCs w:val="20"/>
          <w:vertAlign w:val="subscript"/>
        </w:rPr>
        <w:t>bf</w:t>
      </w:r>
      <w:r w:rsidRPr="00090CE2">
        <w:rPr>
          <w:color w:val="000000" w:themeColor="text1"/>
          <w:sz w:val="20"/>
          <w:szCs w:val="20"/>
        </w:rPr>
        <w:t xml:space="preserve"> &lt;0.05.</w:t>
      </w:r>
      <w:r w:rsidRPr="5EE028C2">
        <w:rPr>
          <w:color w:val="000000" w:themeColor="text1"/>
          <w:sz w:val="20"/>
          <w:szCs w:val="20"/>
        </w:rPr>
        <w:t xml:space="preserve"> </w:t>
      </w:r>
    </w:p>
    <w:p w14:paraId="248D4296" w14:textId="77777777" w:rsidR="00DF2912" w:rsidRDefault="00DF2912" w:rsidP="00DF2912">
      <w:pPr>
        <w:keepNext/>
        <w:keepLines/>
        <w:pBdr>
          <w:top w:val="nil"/>
          <w:left w:val="nil"/>
          <w:bottom w:val="nil"/>
          <w:right w:val="nil"/>
          <w:between w:val="nil"/>
        </w:pBdr>
        <w:spacing w:line="360" w:lineRule="auto"/>
        <w:jc w:val="both"/>
        <w:rPr>
          <w:color w:val="000000" w:themeColor="text1"/>
          <w:sz w:val="20"/>
          <w:szCs w:val="20"/>
          <w:highlight w:val="green"/>
          <w:lang w:val="en-US"/>
        </w:rPr>
      </w:pPr>
    </w:p>
    <w:p w14:paraId="5A4049AF" w14:textId="77777777" w:rsidR="00DF2912" w:rsidRDefault="00DF2912" w:rsidP="00DF2912">
      <w:pPr>
        <w:keepNext/>
        <w:keepLines/>
        <w:pBdr>
          <w:top w:val="nil"/>
          <w:left w:val="nil"/>
          <w:bottom w:val="nil"/>
          <w:right w:val="nil"/>
          <w:between w:val="nil"/>
        </w:pBdr>
        <w:spacing w:line="360" w:lineRule="auto"/>
        <w:jc w:val="both"/>
        <w:rPr>
          <w:b/>
          <w:bCs/>
          <w:color w:val="000000" w:themeColor="text1"/>
          <w:sz w:val="20"/>
          <w:szCs w:val="20"/>
          <w:lang w:val="en-US"/>
        </w:rPr>
      </w:pPr>
      <w:r w:rsidRPr="5EE028C2">
        <w:rPr>
          <w:b/>
          <w:bCs/>
          <w:color w:val="000000" w:themeColor="text1"/>
          <w:sz w:val="20"/>
          <w:szCs w:val="20"/>
          <w:lang w:val="en-US"/>
        </w:rPr>
        <w:t>FIGURE S3. Principal components analysis</w:t>
      </w:r>
    </w:p>
    <w:p w14:paraId="6F57AC91" w14:textId="77777777" w:rsidR="00DF2912" w:rsidRDefault="00DF2912" w:rsidP="00DF2912">
      <w:pPr>
        <w:keepNext/>
        <w:keepLines/>
        <w:pBdr>
          <w:top w:val="nil"/>
          <w:left w:val="nil"/>
          <w:bottom w:val="nil"/>
          <w:right w:val="nil"/>
          <w:between w:val="nil"/>
        </w:pBdr>
        <w:spacing w:line="360" w:lineRule="auto"/>
        <w:jc w:val="both"/>
        <w:rPr>
          <w:sz w:val="20"/>
          <w:szCs w:val="20"/>
          <w:lang w:val="en-US"/>
        </w:rPr>
      </w:pPr>
      <w:r w:rsidRPr="3FFCDA96">
        <w:rPr>
          <w:sz w:val="20"/>
          <w:szCs w:val="20"/>
          <w:lang w:val="en-US"/>
        </w:rPr>
        <w:t>CSF biomarkers were decomposed into principal components (PCs) using principal components analysis (PCA). Panel A displays the scree plot, illustrating the proportion of variance explained by each PC on the Y-axis. Panel B presents the results of the parallel analysis, indicating that two PCs were optimal based on the empirical distribution obtained through resampling (see Methods section for details).</w:t>
      </w:r>
    </w:p>
    <w:p w14:paraId="11842965" w14:textId="77777777" w:rsidR="00DF2912" w:rsidRDefault="00DF2912" w:rsidP="00DF2912">
      <w:pPr>
        <w:keepNext/>
        <w:keepLines/>
        <w:pBdr>
          <w:top w:val="nil"/>
          <w:left w:val="nil"/>
          <w:bottom w:val="nil"/>
          <w:right w:val="nil"/>
          <w:between w:val="nil"/>
        </w:pBdr>
        <w:spacing w:line="360" w:lineRule="auto"/>
        <w:jc w:val="both"/>
        <w:rPr>
          <w:color w:val="000000" w:themeColor="text1"/>
          <w:sz w:val="20"/>
          <w:szCs w:val="20"/>
          <w:lang w:val="en-US"/>
        </w:rPr>
      </w:pPr>
    </w:p>
    <w:p w14:paraId="1634BEC4" w14:textId="77777777" w:rsidR="00DF2912" w:rsidRDefault="00DF2912" w:rsidP="00DF2912">
      <w:pPr>
        <w:keepNext/>
        <w:keepLines/>
        <w:pBdr>
          <w:top w:val="nil"/>
          <w:left w:val="nil"/>
          <w:bottom w:val="nil"/>
          <w:right w:val="nil"/>
          <w:between w:val="nil"/>
        </w:pBdr>
        <w:spacing w:line="360" w:lineRule="auto"/>
        <w:jc w:val="both"/>
        <w:rPr>
          <w:color w:val="000000" w:themeColor="text1"/>
          <w:sz w:val="20"/>
          <w:szCs w:val="20"/>
        </w:rPr>
      </w:pPr>
      <w:r w:rsidRPr="5EE028C2">
        <w:rPr>
          <w:b/>
          <w:bCs/>
          <w:color w:val="000000" w:themeColor="text1"/>
          <w:sz w:val="20"/>
          <w:szCs w:val="20"/>
        </w:rPr>
        <w:t>FIGURE S4</w:t>
      </w:r>
      <w:r w:rsidRPr="5EE028C2">
        <w:rPr>
          <w:color w:val="000000" w:themeColor="text1"/>
          <w:sz w:val="20"/>
          <w:szCs w:val="20"/>
        </w:rPr>
        <w:t xml:space="preserve">. </w:t>
      </w:r>
      <w:r w:rsidRPr="5EE028C2">
        <w:rPr>
          <w:b/>
          <w:bCs/>
          <w:color w:val="000000" w:themeColor="text1"/>
          <w:sz w:val="20"/>
          <w:szCs w:val="20"/>
        </w:rPr>
        <w:t>CSF biomarker profiles in the cohort (fully adjusted model)</w:t>
      </w:r>
    </w:p>
    <w:p w14:paraId="00872C17" w14:textId="77777777" w:rsidR="00DF2912" w:rsidRDefault="00DF2912" w:rsidP="00DF2912">
      <w:pPr>
        <w:keepNext/>
        <w:keepLines/>
        <w:pBdr>
          <w:top w:val="nil"/>
          <w:left w:val="nil"/>
          <w:bottom w:val="nil"/>
          <w:right w:val="nil"/>
          <w:between w:val="nil"/>
        </w:pBdr>
        <w:spacing w:line="360" w:lineRule="auto"/>
        <w:jc w:val="both"/>
        <w:rPr>
          <w:color w:val="000000" w:themeColor="text1"/>
          <w:sz w:val="20"/>
          <w:szCs w:val="20"/>
        </w:rPr>
      </w:pPr>
      <w:r w:rsidRPr="3516370D">
        <w:rPr>
          <w:color w:val="000000" w:themeColor="text1"/>
          <w:sz w:val="20"/>
          <w:szCs w:val="20"/>
        </w:rPr>
        <w:t xml:space="preserve">Panel A presents the marginal means and 95% confidence intervals from ANCOVA models comparing CSF biomarkers across groups, adjusted for age, sex, years education and APOE </w:t>
      </w:r>
      <w:r w:rsidRPr="3516370D">
        <w:rPr>
          <w:sz w:val="20"/>
          <w:szCs w:val="20"/>
        </w:rPr>
        <w:t>ε4</w:t>
      </w:r>
      <w:r w:rsidRPr="3516370D">
        <w:rPr>
          <w:color w:val="000000" w:themeColor="text1"/>
          <w:sz w:val="20"/>
          <w:szCs w:val="20"/>
        </w:rPr>
        <w:t xml:space="preserve">. Colours correspond to clinical diagnoses (HC, grey; CAA-nonAD, blue; CAA-AD, green; AD, orange). Panel B displays pairwise comparisons with Bonferroni correction, where blue tiles indicate a </w:t>
      </w:r>
      <w:r w:rsidRPr="3516370D">
        <w:rPr>
          <w:i/>
          <w:iCs/>
          <w:color w:val="000000" w:themeColor="text1"/>
          <w:sz w:val="20"/>
          <w:szCs w:val="20"/>
        </w:rPr>
        <w:t>p</w:t>
      </w:r>
      <w:r w:rsidRPr="3516370D">
        <w:rPr>
          <w:color w:val="000000" w:themeColor="text1"/>
          <w:sz w:val="20"/>
          <w:szCs w:val="20"/>
        </w:rPr>
        <w:t>-value</w:t>
      </w:r>
      <w:r w:rsidRPr="3516370D">
        <w:rPr>
          <w:color w:val="000000" w:themeColor="text1"/>
          <w:sz w:val="20"/>
          <w:szCs w:val="20"/>
          <w:vertAlign w:val="subscript"/>
        </w:rPr>
        <w:t>bf</w:t>
      </w:r>
      <w:r w:rsidRPr="3516370D">
        <w:rPr>
          <w:color w:val="000000" w:themeColor="text1"/>
          <w:sz w:val="20"/>
          <w:szCs w:val="20"/>
        </w:rPr>
        <w:t xml:space="preserve"> &lt;0.05. </w:t>
      </w:r>
    </w:p>
    <w:p w14:paraId="5CB31B63" w14:textId="77777777" w:rsidR="00DF2912" w:rsidRDefault="00DF2912" w:rsidP="00DF2912">
      <w:pPr>
        <w:keepNext/>
        <w:keepLines/>
        <w:pBdr>
          <w:top w:val="nil"/>
          <w:left w:val="nil"/>
          <w:bottom w:val="nil"/>
          <w:right w:val="nil"/>
          <w:between w:val="nil"/>
        </w:pBdr>
        <w:spacing w:line="360" w:lineRule="auto"/>
        <w:jc w:val="both"/>
        <w:rPr>
          <w:color w:val="000000" w:themeColor="text1"/>
          <w:sz w:val="20"/>
          <w:szCs w:val="20"/>
          <w:lang w:val="en-US"/>
        </w:rPr>
      </w:pPr>
    </w:p>
    <w:p w14:paraId="5E2E852C" w14:textId="77777777" w:rsidR="00DF2912" w:rsidRDefault="00DF2912" w:rsidP="00DF2912">
      <w:pPr>
        <w:keepNext/>
        <w:keepLines/>
        <w:pBdr>
          <w:top w:val="nil"/>
          <w:left w:val="nil"/>
          <w:bottom w:val="nil"/>
          <w:right w:val="nil"/>
          <w:between w:val="nil"/>
        </w:pBdr>
        <w:spacing w:line="360" w:lineRule="auto"/>
        <w:rPr>
          <w:b/>
          <w:bCs/>
          <w:color w:val="000000" w:themeColor="text1"/>
          <w:sz w:val="20"/>
          <w:szCs w:val="20"/>
        </w:rPr>
      </w:pPr>
      <w:r w:rsidRPr="5EE028C2">
        <w:rPr>
          <w:b/>
          <w:bCs/>
          <w:color w:val="000000" w:themeColor="text1"/>
          <w:sz w:val="20"/>
          <w:szCs w:val="20"/>
        </w:rPr>
        <w:t>FIGURE S5. CSF biomarkers ROC curves</w:t>
      </w:r>
    </w:p>
    <w:p w14:paraId="39B7D6FB" w14:textId="77777777" w:rsidR="00DF2912" w:rsidRDefault="00DF2912" w:rsidP="00DF2912">
      <w:pPr>
        <w:keepNext/>
        <w:keepLines/>
        <w:pBdr>
          <w:top w:val="nil"/>
          <w:left w:val="nil"/>
          <w:bottom w:val="nil"/>
          <w:right w:val="nil"/>
          <w:between w:val="nil"/>
        </w:pBdr>
        <w:spacing w:line="360" w:lineRule="auto"/>
        <w:rPr>
          <w:b/>
          <w:bCs/>
          <w:color w:val="000000" w:themeColor="text1"/>
          <w:sz w:val="20"/>
          <w:szCs w:val="20"/>
        </w:rPr>
      </w:pPr>
      <w:r w:rsidRPr="3FFCDA96">
        <w:rPr>
          <w:sz w:val="20"/>
          <w:szCs w:val="20"/>
          <w:lang w:val="en-US"/>
        </w:rPr>
        <w:t>Individual CSF biomarkers ROC curves (colors) and area under the curve values.</w:t>
      </w:r>
    </w:p>
    <w:p w14:paraId="5CBF2789" w14:textId="77777777" w:rsidR="00DF2912" w:rsidRDefault="00DF2912" w:rsidP="00DF2912">
      <w:pPr>
        <w:pStyle w:val="Textbody"/>
        <w:spacing w:line="360" w:lineRule="auto"/>
        <w:jc w:val="both"/>
        <w:rPr>
          <w:rFonts w:ascii="Times New Roman" w:eastAsia="Times New Roman" w:hAnsi="Times New Roman" w:cs="Times New Roman"/>
          <w:b/>
          <w:bCs/>
          <w:color w:val="000000" w:themeColor="text1"/>
          <w:sz w:val="20"/>
          <w:szCs w:val="20"/>
          <w:lang w:val="en-US" w:eastAsia="es-ES" w:bidi="ar-SA"/>
        </w:rPr>
      </w:pPr>
    </w:p>
    <w:p w14:paraId="2C5C9022" w14:textId="77777777" w:rsidR="00DF2912" w:rsidRDefault="00DF2912" w:rsidP="00DF2912">
      <w:pPr>
        <w:pStyle w:val="Textbody"/>
        <w:spacing w:line="360" w:lineRule="auto"/>
        <w:jc w:val="both"/>
        <w:rPr>
          <w:color w:val="000000" w:themeColor="text1"/>
          <w:sz w:val="20"/>
          <w:szCs w:val="20"/>
          <w:lang w:val="en-US"/>
        </w:rPr>
      </w:pPr>
      <w:r w:rsidRPr="5EE028C2">
        <w:rPr>
          <w:rFonts w:ascii="Times New Roman" w:eastAsia="Times New Roman" w:hAnsi="Times New Roman" w:cs="Times New Roman"/>
          <w:b/>
          <w:bCs/>
          <w:color w:val="000000" w:themeColor="text1"/>
          <w:sz w:val="20"/>
          <w:szCs w:val="20"/>
          <w:lang w:val="en-US" w:eastAsia="es-ES" w:bidi="ar-SA"/>
        </w:rPr>
        <w:t>FIGURE S6. CAA discriminatory power of amyloid CSF biomarkers in subjects with AD</w:t>
      </w:r>
      <w:r w:rsidRPr="000C4799">
        <w:rPr>
          <w:lang w:val="en-US"/>
        </w:rPr>
        <w:br/>
      </w:r>
      <w:r w:rsidRPr="5EE028C2">
        <w:rPr>
          <w:rFonts w:ascii="Times New Roman" w:eastAsia="Times New Roman" w:hAnsi="Times New Roman" w:cs="Times New Roman"/>
          <w:color w:val="000000" w:themeColor="text1"/>
          <w:sz w:val="20"/>
          <w:szCs w:val="20"/>
          <w:lang w:val="en-US" w:eastAsia="es-ES" w:bidi="ar-SA"/>
        </w:rPr>
        <w:t>In this sensitivity analysis, we considered only subjects with AD, Bar plots represent the performance of these cutoffs in discriminating CAA in subjects with AD, assessed by AUC, sensitivity, and specificity. Confidence intervals were obtained through bootstrapping (10,0000 resampled sets). Colours represent different biomarkers.</w:t>
      </w:r>
    </w:p>
    <w:p w14:paraId="76122843" w14:textId="77777777" w:rsidR="00DF2912" w:rsidRDefault="00DF2912" w:rsidP="00DF2912">
      <w:pPr>
        <w:pStyle w:val="Textbody"/>
        <w:spacing w:line="360" w:lineRule="auto"/>
        <w:jc w:val="both"/>
        <w:rPr>
          <w:rFonts w:ascii="Times New Roman" w:eastAsia="Times New Roman" w:hAnsi="Times New Roman" w:cs="Times New Roman"/>
          <w:color w:val="000000" w:themeColor="text1"/>
          <w:sz w:val="20"/>
          <w:szCs w:val="20"/>
          <w:lang w:val="en-US" w:eastAsia="es-ES" w:bidi="ar-SA"/>
        </w:rPr>
      </w:pPr>
    </w:p>
    <w:p w14:paraId="319F9038" w14:textId="77777777" w:rsidR="00DF2912" w:rsidRDefault="00DF2912" w:rsidP="00DF2912">
      <w:pPr>
        <w:pStyle w:val="Textbody"/>
        <w:keepNext/>
        <w:keepLines/>
        <w:pBdr>
          <w:top w:val="nil"/>
          <w:left w:val="nil"/>
          <w:bottom w:val="nil"/>
          <w:right w:val="nil"/>
          <w:between w:val="nil"/>
        </w:pBdr>
        <w:spacing w:line="360" w:lineRule="auto"/>
        <w:jc w:val="both"/>
        <w:rPr>
          <w:rFonts w:ascii="Times New Roman" w:eastAsia="Times New Roman" w:hAnsi="Times New Roman" w:cs="Times New Roman"/>
          <w:sz w:val="20"/>
          <w:szCs w:val="20"/>
          <w:lang w:val="en-US" w:eastAsia="es-ES" w:bidi="ar-SA"/>
        </w:rPr>
      </w:pPr>
      <w:r w:rsidRPr="5EE028C2">
        <w:rPr>
          <w:rFonts w:ascii="Times New Roman" w:eastAsia="Times New Roman" w:hAnsi="Times New Roman" w:cs="Times New Roman"/>
          <w:b/>
          <w:bCs/>
          <w:color w:val="000000" w:themeColor="text1"/>
          <w:sz w:val="20"/>
          <w:szCs w:val="20"/>
          <w:lang w:val="en-US" w:eastAsia="es-ES" w:bidi="ar-SA"/>
        </w:rPr>
        <w:lastRenderedPageBreak/>
        <w:t>FIGURE S7. Association between CSF biomarkers and CAA cerebrovascular burden (fully adjusted model)</w:t>
      </w:r>
      <w:r w:rsidRPr="000C4799">
        <w:rPr>
          <w:lang w:val="en-US"/>
        </w:rPr>
        <w:br/>
      </w:r>
      <w:r w:rsidRPr="5EE028C2">
        <w:rPr>
          <w:rFonts w:ascii="Times New Roman" w:eastAsia="Times New Roman" w:hAnsi="Times New Roman" w:cs="Times New Roman"/>
          <w:sz w:val="20"/>
          <w:szCs w:val="20"/>
          <w:lang w:val="en-US" w:eastAsia="es-ES" w:bidi="ar-SA"/>
        </w:rPr>
        <w:t xml:space="preserve">Panel A displays the marginal means and 95% confidence intervals from ANCOVA models comparing CSF biomarkers across groups, adjusted for age, sex, education and APOE ε4. Colours are scaled according to the CAA burden score (X-axis), with blue indicating lower burden and orange indicating higher burden. Panel B extends this analysis to individual CAA-related MRI markers, where colours denote the presence (orange) or absence (blue) of each MRI marker. In both cases asterisks indicate a </w:t>
      </w:r>
      <w:r w:rsidRPr="5EE028C2">
        <w:rPr>
          <w:rFonts w:ascii="Times New Roman" w:eastAsia="Times New Roman" w:hAnsi="Times New Roman" w:cs="Times New Roman"/>
          <w:i/>
          <w:iCs/>
          <w:sz w:val="20"/>
          <w:szCs w:val="20"/>
          <w:lang w:val="en-US" w:eastAsia="es-ES" w:bidi="ar-SA"/>
        </w:rPr>
        <w:t>p</w:t>
      </w:r>
      <w:r w:rsidRPr="5EE028C2">
        <w:rPr>
          <w:rFonts w:ascii="Times New Roman" w:eastAsia="Times New Roman" w:hAnsi="Times New Roman" w:cs="Times New Roman"/>
          <w:sz w:val="20"/>
          <w:szCs w:val="20"/>
          <w:lang w:val="en-US" w:eastAsia="es-ES" w:bidi="ar-SA"/>
        </w:rPr>
        <w:t>-value &lt;0.05/6, denoting global differences between groups.</w:t>
      </w:r>
    </w:p>
    <w:p w14:paraId="516C942D" w14:textId="77777777" w:rsidR="00DF2912" w:rsidRPr="00F545D0" w:rsidRDefault="00DF2912" w:rsidP="00DF2912">
      <w:pPr>
        <w:pStyle w:val="Textbody"/>
        <w:keepNext/>
        <w:keepLines/>
        <w:pBdr>
          <w:top w:val="nil"/>
          <w:left w:val="nil"/>
          <w:bottom w:val="nil"/>
          <w:right w:val="nil"/>
          <w:between w:val="nil"/>
        </w:pBdr>
        <w:spacing w:line="360" w:lineRule="auto"/>
        <w:jc w:val="both"/>
        <w:rPr>
          <w:color w:val="000000" w:themeColor="text1"/>
          <w:sz w:val="20"/>
          <w:szCs w:val="20"/>
          <w:lang w:val="en-US"/>
        </w:rPr>
      </w:pPr>
    </w:p>
    <w:p w14:paraId="4D7D6866" w14:textId="77777777" w:rsidR="00DF2912" w:rsidRDefault="00DF2912" w:rsidP="00DF2912">
      <w:pPr>
        <w:keepNext/>
        <w:keepLines/>
        <w:pBdr>
          <w:top w:val="nil"/>
          <w:left w:val="nil"/>
          <w:bottom w:val="nil"/>
          <w:right w:val="nil"/>
          <w:between w:val="nil"/>
        </w:pBdr>
        <w:spacing w:line="360" w:lineRule="auto"/>
        <w:jc w:val="both"/>
        <w:rPr>
          <w:b/>
          <w:bCs/>
          <w:color w:val="000000" w:themeColor="text1"/>
          <w:sz w:val="20"/>
          <w:szCs w:val="20"/>
        </w:rPr>
      </w:pPr>
      <w:r w:rsidRPr="241400E8">
        <w:rPr>
          <w:b/>
          <w:bCs/>
          <w:color w:val="000000" w:themeColor="text1"/>
          <w:sz w:val="20"/>
          <w:szCs w:val="20"/>
        </w:rPr>
        <w:t>TABLE S1. ANCOVA models comparing CSF biomarkers across diagnostic groups</w:t>
      </w:r>
    </w:p>
    <w:p w14:paraId="5F1AFA07" w14:textId="77777777" w:rsidR="00DF2912" w:rsidRDefault="00DF2912" w:rsidP="00DF2912">
      <w:pPr>
        <w:keepNext/>
        <w:keepLines/>
        <w:pBdr>
          <w:top w:val="nil"/>
          <w:left w:val="nil"/>
          <w:bottom w:val="nil"/>
          <w:right w:val="nil"/>
          <w:between w:val="nil"/>
        </w:pBdr>
        <w:spacing w:line="360" w:lineRule="auto"/>
        <w:jc w:val="both"/>
        <w:rPr>
          <w:sz w:val="20"/>
          <w:szCs w:val="20"/>
          <w:lang w:val="en-US"/>
        </w:rPr>
      </w:pPr>
      <w:r w:rsidRPr="3FFCDA96">
        <w:rPr>
          <w:sz w:val="20"/>
          <w:szCs w:val="20"/>
          <w:lang w:val="en-US"/>
        </w:rPr>
        <w:t>We fitted separate models for each biomarker, with biomarker concentration as the dependent variable and diagnostic group (HC, CAA-nonAD, CAA-AD, AD) as the main predictor. Model 1 was adjusted for age and sex, while Model 2 included additional adjustments for education and APOE ε4 status. Reported values represent adjusted marginal means with 95% confidence intervals. Significance levels reflect overall group differences.</w:t>
      </w:r>
    </w:p>
    <w:p w14:paraId="28F6CABE" w14:textId="77777777" w:rsidR="00DF2912" w:rsidRDefault="00DF2912" w:rsidP="00DF2912">
      <w:pPr>
        <w:spacing w:after="240" w:line="360" w:lineRule="auto"/>
        <w:jc w:val="both"/>
        <w:rPr>
          <w:b/>
          <w:bCs/>
          <w:color w:val="000000" w:themeColor="text1"/>
          <w:sz w:val="20"/>
          <w:szCs w:val="20"/>
        </w:rPr>
      </w:pPr>
    </w:p>
    <w:p w14:paraId="1ECC9997" w14:textId="77777777" w:rsidR="00DF2912" w:rsidRDefault="00DF2912" w:rsidP="00DF2912">
      <w:pPr>
        <w:spacing w:after="240" w:line="360" w:lineRule="auto"/>
        <w:jc w:val="both"/>
        <w:rPr>
          <w:color w:val="000000" w:themeColor="text1"/>
          <w:sz w:val="20"/>
          <w:szCs w:val="20"/>
        </w:rPr>
      </w:pPr>
      <w:r w:rsidRPr="3516370D">
        <w:rPr>
          <w:b/>
          <w:bCs/>
          <w:color w:val="000000" w:themeColor="text1"/>
          <w:sz w:val="20"/>
          <w:szCs w:val="20"/>
        </w:rPr>
        <w:t>TABLE S2. Association between clinical variables and CSF biomarker principal components</w:t>
      </w:r>
      <w:r>
        <w:br/>
      </w:r>
      <w:r w:rsidRPr="3516370D">
        <w:rPr>
          <w:color w:val="000000" w:themeColor="text1"/>
          <w:sz w:val="20"/>
          <w:szCs w:val="20"/>
        </w:rPr>
        <w:t xml:space="preserve">For each principal component (PC) derived from CSF biomarkers, we assessed associations with key demographic and clinical variables. Depending on the variable type, we applied Spearman rank correlation, Mann–Whitney U, or Kruskal–Wallis tests. The table presents corresponding </w:t>
      </w:r>
      <w:r w:rsidRPr="3516370D">
        <w:rPr>
          <w:i/>
          <w:iCs/>
          <w:color w:val="000000" w:themeColor="text1"/>
          <w:sz w:val="20"/>
          <w:szCs w:val="20"/>
        </w:rPr>
        <w:t>p</w:t>
      </w:r>
      <w:r w:rsidRPr="3516370D">
        <w:rPr>
          <w:color w:val="000000" w:themeColor="text1"/>
          <w:sz w:val="20"/>
          <w:szCs w:val="20"/>
        </w:rPr>
        <w:t>-values and test statistics (Spearman’s ρ or chi-square values).</w:t>
      </w:r>
    </w:p>
    <w:p w14:paraId="2A2D0309" w14:textId="77777777" w:rsidR="00DF2912" w:rsidRPr="009311D9" w:rsidRDefault="00DF2912" w:rsidP="00DF2912">
      <w:pPr>
        <w:keepNext/>
        <w:keepLines/>
        <w:pBdr>
          <w:top w:val="nil"/>
          <w:left w:val="nil"/>
          <w:bottom w:val="nil"/>
          <w:right w:val="nil"/>
          <w:between w:val="nil"/>
        </w:pBdr>
        <w:spacing w:line="360" w:lineRule="auto"/>
        <w:jc w:val="both"/>
        <w:rPr>
          <w:b/>
          <w:bCs/>
          <w:color w:val="000000" w:themeColor="text1"/>
          <w:sz w:val="20"/>
          <w:szCs w:val="20"/>
        </w:rPr>
      </w:pPr>
      <w:r w:rsidRPr="241400E8">
        <w:rPr>
          <w:b/>
          <w:bCs/>
          <w:color w:val="000000" w:themeColor="text1"/>
          <w:sz w:val="20"/>
          <w:szCs w:val="20"/>
        </w:rPr>
        <w:t>TABLE S3. ANCOVA models comparing CSF biomarkers across CAA burden groups</w:t>
      </w:r>
    </w:p>
    <w:p w14:paraId="1BDA2732" w14:textId="77777777" w:rsidR="00DF2912" w:rsidRPr="009311D9" w:rsidRDefault="00DF2912" w:rsidP="00DF2912">
      <w:pPr>
        <w:keepNext/>
        <w:keepLines/>
        <w:pBdr>
          <w:top w:val="nil"/>
          <w:left w:val="nil"/>
          <w:bottom w:val="nil"/>
          <w:right w:val="nil"/>
          <w:between w:val="nil"/>
        </w:pBdr>
        <w:spacing w:line="360" w:lineRule="auto"/>
        <w:jc w:val="both"/>
        <w:rPr>
          <w:sz w:val="20"/>
          <w:szCs w:val="20"/>
          <w:lang w:val="en-US"/>
        </w:rPr>
      </w:pPr>
      <w:r w:rsidRPr="3516370D">
        <w:rPr>
          <w:sz w:val="20"/>
          <w:szCs w:val="20"/>
          <w:lang w:val="en-US"/>
        </w:rPr>
        <w:t xml:space="preserve">We fitted separate models for each biomarker, with biomarker concentration as the dependent variable and CAA MRI burden groups (0-1 marker/s, 2 markers, 3 markers, ≥4 markers) as the main predictor. Model 1 was adjusted for age and sex, while Model 2 included additional adjustments for education and APOE ε4 status. Reported values represent adjusted marginal means with 95% confidence intervals. Significance levels reflect overall group differences, and we considered as significant those </w:t>
      </w:r>
      <w:r w:rsidRPr="3516370D">
        <w:rPr>
          <w:i/>
          <w:iCs/>
          <w:sz w:val="20"/>
          <w:szCs w:val="20"/>
          <w:lang w:val="en-US"/>
        </w:rPr>
        <w:t>p</w:t>
      </w:r>
      <w:r w:rsidRPr="3516370D">
        <w:rPr>
          <w:sz w:val="20"/>
          <w:szCs w:val="20"/>
          <w:lang w:val="en-US"/>
        </w:rPr>
        <w:t>-values &lt;0.05/6 (Bonferroni adjustment).</w:t>
      </w:r>
    </w:p>
    <w:p w14:paraId="1B1E621D" w14:textId="77777777" w:rsidR="00DF2912" w:rsidRDefault="00DF2912" w:rsidP="00DF2912">
      <w:pPr>
        <w:keepNext/>
        <w:keepLines/>
        <w:pBdr>
          <w:top w:val="nil"/>
          <w:left w:val="nil"/>
          <w:bottom w:val="nil"/>
          <w:right w:val="nil"/>
          <w:between w:val="nil"/>
        </w:pBdr>
        <w:spacing w:line="360" w:lineRule="auto"/>
        <w:jc w:val="both"/>
        <w:rPr>
          <w:color w:val="000000"/>
          <w:sz w:val="20"/>
          <w:szCs w:val="20"/>
        </w:rPr>
      </w:pPr>
    </w:p>
    <w:p w14:paraId="77A6A7CE" w14:textId="77777777" w:rsidR="00DF2912" w:rsidRDefault="00DF2912" w:rsidP="00DF2912">
      <w:pPr>
        <w:keepNext/>
        <w:keepLines/>
        <w:pBdr>
          <w:top w:val="nil"/>
          <w:left w:val="nil"/>
          <w:bottom w:val="nil"/>
          <w:right w:val="nil"/>
          <w:between w:val="nil"/>
        </w:pBdr>
        <w:spacing w:line="360" w:lineRule="auto"/>
        <w:jc w:val="both"/>
        <w:rPr>
          <w:b/>
          <w:bCs/>
          <w:color w:val="000000" w:themeColor="text1"/>
          <w:sz w:val="20"/>
          <w:szCs w:val="20"/>
        </w:rPr>
      </w:pPr>
      <w:r w:rsidRPr="241400E8">
        <w:rPr>
          <w:b/>
          <w:bCs/>
          <w:color w:val="000000" w:themeColor="text1"/>
          <w:sz w:val="20"/>
          <w:szCs w:val="20"/>
        </w:rPr>
        <w:t xml:space="preserve">TABLE S4. ANCOVA models comparing CSF biomarkers by presence of individual CAA MRI markers </w:t>
      </w:r>
    </w:p>
    <w:p w14:paraId="4F808FA8" w14:textId="77777777" w:rsidR="00DF2912" w:rsidRDefault="00DF2912" w:rsidP="00DF2912">
      <w:pPr>
        <w:keepNext/>
        <w:keepLines/>
        <w:pBdr>
          <w:top w:val="nil"/>
          <w:left w:val="nil"/>
          <w:bottom w:val="nil"/>
          <w:right w:val="nil"/>
          <w:between w:val="nil"/>
        </w:pBdr>
        <w:spacing w:line="360" w:lineRule="auto"/>
        <w:jc w:val="both"/>
        <w:rPr>
          <w:sz w:val="20"/>
          <w:szCs w:val="20"/>
          <w:lang w:val="en-US"/>
        </w:rPr>
      </w:pPr>
      <w:r w:rsidRPr="3516370D">
        <w:rPr>
          <w:sz w:val="20"/>
          <w:szCs w:val="20"/>
          <w:lang w:val="en-US"/>
        </w:rPr>
        <w:t xml:space="preserve">We fitted separate models for each biomarker, with biomarker concentration as the dependent variable and individual MRI markers as the predictors of interest. Model 1 was adjusted for age and sex, while Model 2 included additional adjustments for education and APOE ε4 status. Reported values represent adjusted marginal means with 95% confidence intervals. Significance levels reflect overall group differences, and we considered as significant those </w:t>
      </w:r>
      <w:r w:rsidRPr="3516370D">
        <w:rPr>
          <w:i/>
          <w:iCs/>
          <w:sz w:val="20"/>
          <w:szCs w:val="20"/>
          <w:lang w:val="en-US"/>
        </w:rPr>
        <w:t>p</w:t>
      </w:r>
      <w:r w:rsidRPr="3516370D">
        <w:rPr>
          <w:sz w:val="20"/>
          <w:szCs w:val="20"/>
          <w:lang w:val="en-US"/>
        </w:rPr>
        <w:t>-values &lt;0.05/6 (Bonferroni adjustment).</w:t>
      </w:r>
    </w:p>
    <w:p w14:paraId="4815426E"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iberation Serif">
    <w:altName w:val="Times New Roman"/>
    <w:charset w:val="00"/>
    <w:family w:val="roman"/>
    <w:pitch w:val="variable"/>
    <w:sig w:usb0="E0000AFF" w:usb1="500078FF" w:usb2="00000021" w:usb3="00000000" w:csb0="000001BF" w:csb1="00000000"/>
  </w:font>
  <w:font w:name="Noto Serif CJK SC">
    <w:charset w:val="00"/>
    <w:family w:val="auto"/>
    <w:pitch w:val="variable"/>
  </w:font>
  <w:font w:name="Noto Sans Devanagari">
    <w:charset w:val="00"/>
    <w:family w:val="swiss"/>
    <w:pitch w:val="variable"/>
    <w:sig w:usb0="80008023" w:usb1="00002046"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912"/>
    <w:rsid w:val="00066677"/>
    <w:rsid w:val="003A4E89"/>
    <w:rsid w:val="00556784"/>
    <w:rsid w:val="007321E8"/>
    <w:rsid w:val="008B07A6"/>
    <w:rsid w:val="00987B63"/>
    <w:rsid w:val="00D31E7D"/>
    <w:rsid w:val="00DF2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7B6B3"/>
  <w15:chartTrackingRefBased/>
  <w15:docId w15:val="{A7DE5782-7C48-4880-8263-2F0A2CAE1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912"/>
    <w:pPr>
      <w:spacing w:after="0" w:line="240" w:lineRule="auto"/>
    </w:pPr>
    <w:rPr>
      <w:rFonts w:ascii="Times New Roman" w:eastAsia="Times New Roman" w:hAnsi="Times New Roman" w:cs="Times New Roman"/>
      <w:kern w:val="0"/>
      <w:lang w:val="en-GB" w:eastAsia="es-ES"/>
      <w14:ligatures w14:val="none"/>
    </w:rPr>
  </w:style>
  <w:style w:type="paragraph" w:styleId="Heading1">
    <w:name w:val="heading 1"/>
    <w:basedOn w:val="Normal"/>
    <w:next w:val="Normal"/>
    <w:link w:val="Heading1Char"/>
    <w:uiPriority w:val="9"/>
    <w:qFormat/>
    <w:rsid w:val="00DF291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DF291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DF291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DF2912"/>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DF2912"/>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DF2912"/>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DF2912"/>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DF2912"/>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DF2912"/>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29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29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29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29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29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29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29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29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2912"/>
    <w:rPr>
      <w:rFonts w:eastAsiaTheme="majorEastAsia" w:cstheme="majorBidi"/>
      <w:color w:val="272727" w:themeColor="text1" w:themeTint="D8"/>
    </w:rPr>
  </w:style>
  <w:style w:type="paragraph" w:styleId="Title">
    <w:name w:val="Title"/>
    <w:basedOn w:val="Normal"/>
    <w:next w:val="Normal"/>
    <w:link w:val="TitleChar"/>
    <w:uiPriority w:val="10"/>
    <w:qFormat/>
    <w:rsid w:val="00DF2912"/>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DF29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291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DF29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2912"/>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DF2912"/>
    <w:rPr>
      <w:i/>
      <w:iCs/>
      <w:color w:val="404040" w:themeColor="text1" w:themeTint="BF"/>
    </w:rPr>
  </w:style>
  <w:style w:type="paragraph" w:styleId="ListParagraph">
    <w:name w:val="List Paragraph"/>
    <w:basedOn w:val="Normal"/>
    <w:uiPriority w:val="34"/>
    <w:qFormat/>
    <w:rsid w:val="00DF2912"/>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DF2912"/>
    <w:rPr>
      <w:i/>
      <w:iCs/>
      <w:color w:val="0F4761" w:themeColor="accent1" w:themeShade="BF"/>
    </w:rPr>
  </w:style>
  <w:style w:type="paragraph" w:styleId="IntenseQuote">
    <w:name w:val="Intense Quote"/>
    <w:basedOn w:val="Normal"/>
    <w:next w:val="Normal"/>
    <w:link w:val="IntenseQuoteChar"/>
    <w:uiPriority w:val="30"/>
    <w:qFormat/>
    <w:rsid w:val="00DF291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DF2912"/>
    <w:rPr>
      <w:i/>
      <w:iCs/>
      <w:color w:val="0F4761" w:themeColor="accent1" w:themeShade="BF"/>
    </w:rPr>
  </w:style>
  <w:style w:type="character" w:styleId="IntenseReference">
    <w:name w:val="Intense Reference"/>
    <w:basedOn w:val="DefaultParagraphFont"/>
    <w:uiPriority w:val="32"/>
    <w:qFormat/>
    <w:rsid w:val="00DF2912"/>
    <w:rPr>
      <w:b/>
      <w:bCs/>
      <w:smallCaps/>
      <w:color w:val="0F4761" w:themeColor="accent1" w:themeShade="BF"/>
      <w:spacing w:val="5"/>
    </w:rPr>
  </w:style>
  <w:style w:type="paragraph" w:customStyle="1" w:styleId="Textbody">
    <w:name w:val="Text body"/>
    <w:basedOn w:val="Normal"/>
    <w:rsid w:val="00DF2912"/>
    <w:pPr>
      <w:suppressAutoHyphens/>
      <w:autoSpaceDN w:val="0"/>
      <w:spacing w:after="140" w:line="276" w:lineRule="auto"/>
      <w:textAlignment w:val="baseline"/>
    </w:pPr>
    <w:rPr>
      <w:rFonts w:ascii="Liberation Serif" w:eastAsia="Noto Serif CJK SC" w:hAnsi="Liberation Serif" w:cs="Noto Sans Devanagari"/>
      <w:kern w:val="3"/>
      <w:lang w:val="es-E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709</Words>
  <Characters>4444</Characters>
  <Application>Microsoft Office Word</Application>
  <DocSecurity>0</DocSecurity>
  <Lines>105</Lines>
  <Paragraphs>48</Paragraphs>
  <ScaleCrop>false</ScaleCrop>
  <Company/>
  <LinksUpToDate>false</LinksUpToDate>
  <CharactersWithSpaces>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2025-10-22T02:50:00Z</dcterms:created>
  <dcterms:modified xsi:type="dcterms:W3CDTF">2025-10-22T02:51:00Z</dcterms:modified>
</cp:coreProperties>
</file>