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63D52A1" w:rsidR="00241FE0" w:rsidRDefault="67B76DF0" w:rsidP="73A2934E">
      <w:pPr>
        <w:pStyle w:val="Heading1"/>
        <w:jc w:val="center"/>
        <w:rPr>
          <w:rFonts w:ascii="Arial" w:eastAsia="Arial" w:hAnsi="Arial" w:cs="Arial"/>
          <w:b/>
          <w:bCs/>
          <w:color w:val="auto"/>
          <w:sz w:val="28"/>
          <w:szCs w:val="28"/>
        </w:rPr>
      </w:pPr>
      <w:r w:rsidRPr="73A2934E">
        <w:rPr>
          <w:rFonts w:ascii="Arial" w:eastAsia="Arial" w:hAnsi="Arial" w:cs="Arial"/>
          <w:b/>
          <w:bCs/>
          <w:color w:val="auto"/>
          <w:sz w:val="28"/>
          <w:szCs w:val="28"/>
        </w:rPr>
        <w:t xml:space="preserve">A Randomized, Controlled Trial of the Novel Kv7 Channel Opener </w:t>
      </w:r>
      <w:proofErr w:type="spellStart"/>
      <w:r w:rsidRPr="73A2934E">
        <w:rPr>
          <w:rFonts w:ascii="Arial" w:eastAsia="Arial" w:hAnsi="Arial" w:cs="Arial"/>
          <w:b/>
          <w:bCs/>
          <w:color w:val="auto"/>
          <w:sz w:val="28"/>
          <w:szCs w:val="28"/>
        </w:rPr>
        <w:t>Azetukalner</w:t>
      </w:r>
      <w:proofErr w:type="spellEnd"/>
      <w:r w:rsidRPr="73A2934E">
        <w:rPr>
          <w:rFonts w:ascii="Arial" w:eastAsia="Arial" w:hAnsi="Arial" w:cs="Arial"/>
          <w:b/>
          <w:bCs/>
          <w:color w:val="auto"/>
          <w:sz w:val="28"/>
          <w:szCs w:val="28"/>
        </w:rPr>
        <w:t xml:space="preserve"> in Individuals with Major Depressive Disorder and Anhedonia: </w:t>
      </w:r>
      <w:r w:rsidR="00C75F12">
        <w:rPr>
          <w:rFonts w:ascii="Arial" w:eastAsia="Arial" w:hAnsi="Arial" w:cs="Arial"/>
          <w:b/>
          <w:bCs/>
          <w:color w:val="auto"/>
          <w:sz w:val="28"/>
          <w:szCs w:val="28"/>
        </w:rPr>
        <w:t>Neural</w:t>
      </w:r>
      <w:r w:rsidRPr="73A2934E">
        <w:rPr>
          <w:rFonts w:ascii="Arial" w:eastAsia="Arial" w:hAnsi="Arial" w:cs="Arial"/>
          <w:b/>
          <w:bCs/>
          <w:color w:val="auto"/>
          <w:sz w:val="28"/>
          <w:szCs w:val="28"/>
        </w:rPr>
        <w:t xml:space="preserve"> Response to Reward, Clinical</w:t>
      </w:r>
      <w:r w:rsidR="00C75F12">
        <w:rPr>
          <w:rFonts w:ascii="Arial" w:eastAsia="Arial" w:hAnsi="Arial" w:cs="Arial"/>
          <w:b/>
          <w:bCs/>
          <w:color w:val="auto"/>
          <w:sz w:val="28"/>
          <w:szCs w:val="28"/>
        </w:rPr>
        <w:t xml:space="preserve"> </w:t>
      </w:r>
      <w:r w:rsidR="00C75F12" w:rsidRPr="73A2934E">
        <w:rPr>
          <w:rFonts w:ascii="Arial" w:eastAsia="Arial" w:hAnsi="Arial" w:cs="Arial"/>
          <w:b/>
          <w:bCs/>
          <w:color w:val="auto"/>
          <w:sz w:val="28"/>
          <w:szCs w:val="28"/>
        </w:rPr>
        <w:t>Outcomes</w:t>
      </w:r>
      <w:r w:rsidRPr="73A2934E">
        <w:rPr>
          <w:rFonts w:ascii="Arial" w:eastAsia="Arial" w:hAnsi="Arial" w:cs="Arial"/>
          <w:b/>
          <w:bCs/>
          <w:color w:val="auto"/>
          <w:sz w:val="28"/>
          <w:szCs w:val="28"/>
        </w:rPr>
        <w:t xml:space="preserve">, and Safety </w:t>
      </w:r>
    </w:p>
    <w:p w14:paraId="151824E8" w14:textId="7109F2B5" w:rsidR="73A2934E" w:rsidRDefault="73A2934E" w:rsidP="73A2934E">
      <w:pPr>
        <w:rPr>
          <w:rFonts w:ascii="Arial" w:eastAsia="Arial" w:hAnsi="Arial" w:cs="Arial"/>
        </w:rPr>
      </w:pPr>
    </w:p>
    <w:p w14:paraId="36557560" w14:textId="7659D173" w:rsidR="736BD67C" w:rsidRDefault="736BD67C" w:rsidP="73A2934E">
      <w:pPr>
        <w:jc w:val="center"/>
        <w:rPr>
          <w:rFonts w:ascii="Arial" w:eastAsia="Arial" w:hAnsi="Arial" w:cs="Arial"/>
          <w:b/>
          <w:bCs/>
          <w:sz w:val="28"/>
          <w:szCs w:val="28"/>
        </w:rPr>
      </w:pPr>
      <w:r w:rsidRPr="73A2934E">
        <w:rPr>
          <w:rFonts w:ascii="Arial" w:eastAsia="Arial" w:hAnsi="Arial" w:cs="Arial"/>
          <w:b/>
          <w:bCs/>
          <w:sz w:val="28"/>
          <w:szCs w:val="28"/>
        </w:rPr>
        <w:t>Supplemental Material</w:t>
      </w:r>
    </w:p>
    <w:p w14:paraId="1C09944C" w14:textId="49AF148F" w:rsidR="73A2934E" w:rsidRDefault="73A2934E" w:rsidP="73A2934E">
      <w:pPr>
        <w:jc w:val="center"/>
        <w:rPr>
          <w:rFonts w:ascii="Arial" w:eastAsia="Arial" w:hAnsi="Arial" w:cs="Arial"/>
          <w:b/>
          <w:bCs/>
          <w:sz w:val="28"/>
          <w:szCs w:val="28"/>
        </w:rPr>
      </w:pPr>
    </w:p>
    <w:p w14:paraId="3C3A2F09" w14:textId="424C6503" w:rsidR="73A2934E" w:rsidRDefault="73A2934E" w:rsidP="73A2934E">
      <w:pPr>
        <w:jc w:val="center"/>
        <w:rPr>
          <w:rFonts w:ascii="Arial" w:eastAsia="Arial" w:hAnsi="Arial" w:cs="Arial"/>
          <w:b/>
          <w:bCs/>
          <w:sz w:val="28"/>
          <w:szCs w:val="28"/>
        </w:rPr>
      </w:pPr>
    </w:p>
    <w:p w14:paraId="56DC9F50" w14:textId="4543DFFB" w:rsidR="53588B58" w:rsidRDefault="53588B58" w:rsidP="73A2934E">
      <w:pPr>
        <w:pStyle w:val="ListParagraph"/>
        <w:numPr>
          <w:ilvl w:val="0"/>
          <w:numId w:val="2"/>
        </w:numPr>
        <w:spacing w:line="360" w:lineRule="auto"/>
        <w:rPr>
          <w:rFonts w:ascii="Arial" w:eastAsia="Arial" w:hAnsi="Arial" w:cs="Arial"/>
          <w:b/>
          <w:bCs/>
          <w:sz w:val="28"/>
          <w:szCs w:val="28"/>
        </w:rPr>
      </w:pPr>
      <w:r w:rsidRPr="73A2934E">
        <w:rPr>
          <w:rFonts w:ascii="Arial" w:eastAsia="Arial" w:hAnsi="Arial" w:cs="Arial"/>
          <w:b/>
          <w:bCs/>
          <w:sz w:val="28"/>
          <w:szCs w:val="28"/>
        </w:rPr>
        <w:t>Supplemental Methods</w:t>
      </w:r>
    </w:p>
    <w:p w14:paraId="0256D89E" w14:textId="2FE0E3E4" w:rsidR="73A2934E" w:rsidRPr="00BF2CFF" w:rsidRDefault="53588B58" w:rsidP="73A2934E">
      <w:pPr>
        <w:pStyle w:val="ListParagraph"/>
        <w:numPr>
          <w:ilvl w:val="0"/>
          <w:numId w:val="2"/>
        </w:numPr>
        <w:spacing w:line="360" w:lineRule="auto"/>
        <w:rPr>
          <w:rFonts w:ascii="Arial" w:eastAsia="Arial" w:hAnsi="Arial" w:cs="Arial"/>
          <w:b/>
          <w:bCs/>
          <w:sz w:val="28"/>
          <w:szCs w:val="28"/>
        </w:rPr>
      </w:pPr>
      <w:r w:rsidRPr="73A2934E">
        <w:rPr>
          <w:rFonts w:ascii="Arial" w:eastAsia="Arial" w:hAnsi="Arial" w:cs="Arial"/>
          <w:b/>
          <w:bCs/>
          <w:sz w:val="28"/>
          <w:szCs w:val="28"/>
        </w:rPr>
        <w:t>Sup</w:t>
      </w:r>
      <w:r w:rsidR="499FEBFC" w:rsidRPr="73A2934E">
        <w:rPr>
          <w:rFonts w:ascii="Arial" w:eastAsia="Arial" w:hAnsi="Arial" w:cs="Arial"/>
          <w:b/>
          <w:bCs/>
          <w:sz w:val="28"/>
          <w:szCs w:val="28"/>
        </w:rPr>
        <w:t>plemental Tables</w:t>
      </w:r>
      <w:r w:rsidR="00BF2CFF">
        <w:rPr>
          <w:rFonts w:ascii="Arial" w:eastAsia="Arial" w:hAnsi="Arial" w:cs="Arial"/>
          <w:b/>
          <w:bCs/>
          <w:sz w:val="28"/>
          <w:szCs w:val="28"/>
        </w:rPr>
        <w:t xml:space="preserve"> and Figures</w:t>
      </w:r>
      <w:r w:rsidR="73A2934E" w:rsidRPr="00BF2CFF">
        <w:rPr>
          <w:rFonts w:ascii="Arial" w:eastAsia="Arial" w:hAnsi="Arial" w:cs="Arial"/>
        </w:rPr>
        <w:br w:type="page"/>
      </w:r>
    </w:p>
    <w:p w14:paraId="4BECB25B" w14:textId="7E36B90C" w:rsidR="366D18A9" w:rsidRDefault="366D18A9" w:rsidP="73A2934E">
      <w:pPr>
        <w:pStyle w:val="ListParagraph"/>
        <w:numPr>
          <w:ilvl w:val="0"/>
          <w:numId w:val="1"/>
        </w:numPr>
        <w:spacing w:line="360" w:lineRule="auto"/>
        <w:ind w:left="360"/>
        <w:rPr>
          <w:rFonts w:ascii="Arial" w:eastAsia="Arial" w:hAnsi="Arial" w:cs="Arial"/>
          <w:b/>
          <w:bCs/>
          <w:sz w:val="28"/>
          <w:szCs w:val="28"/>
        </w:rPr>
      </w:pPr>
      <w:r w:rsidRPr="73A2934E">
        <w:rPr>
          <w:rFonts w:ascii="Arial" w:eastAsia="Arial" w:hAnsi="Arial" w:cs="Arial"/>
          <w:b/>
          <w:bCs/>
          <w:sz w:val="28"/>
          <w:szCs w:val="28"/>
        </w:rPr>
        <w:lastRenderedPageBreak/>
        <w:t>Supplemental Methods</w:t>
      </w:r>
    </w:p>
    <w:p w14:paraId="0E98471E" w14:textId="213E6113" w:rsidR="73A2934E" w:rsidRDefault="73A2934E" w:rsidP="73A2934E">
      <w:pPr>
        <w:spacing w:line="240" w:lineRule="auto"/>
        <w:rPr>
          <w:rFonts w:ascii="Arial" w:eastAsia="Arial" w:hAnsi="Arial" w:cs="Arial"/>
          <w:b/>
          <w:bCs/>
        </w:rPr>
      </w:pPr>
    </w:p>
    <w:p w14:paraId="2326B543" w14:textId="29C29926" w:rsidR="68CAAE90" w:rsidRDefault="68CAAE90" w:rsidP="73A2934E">
      <w:pPr>
        <w:spacing w:line="240" w:lineRule="auto"/>
        <w:rPr>
          <w:rFonts w:ascii="Arial" w:eastAsia="Arial" w:hAnsi="Arial" w:cs="Arial"/>
          <w:b/>
          <w:bCs/>
        </w:rPr>
      </w:pPr>
      <w:r w:rsidRPr="73A2934E">
        <w:rPr>
          <w:rFonts w:ascii="Arial" w:eastAsia="Arial" w:hAnsi="Arial" w:cs="Arial"/>
          <w:b/>
          <w:bCs/>
        </w:rPr>
        <w:t>Incentive Flanker task description</w:t>
      </w:r>
    </w:p>
    <w:p w14:paraId="33180580" w14:textId="4DC65378" w:rsidR="57FDEC86" w:rsidRDefault="57FDEC86" w:rsidP="73A2934E">
      <w:pPr>
        <w:spacing w:line="276" w:lineRule="auto"/>
        <w:rPr>
          <w:rFonts w:ascii="Arial" w:eastAsia="Arial" w:hAnsi="Arial" w:cs="Arial"/>
        </w:rPr>
      </w:pPr>
      <w:r w:rsidRPr="73A2934E">
        <w:rPr>
          <w:rFonts w:ascii="Arial" w:eastAsia="Arial" w:hAnsi="Arial" w:cs="Arial"/>
        </w:rPr>
        <w:t>The IFT</w:t>
      </w:r>
      <w:r w:rsidR="0A19B52D" w:rsidRPr="73A2934E">
        <w:rPr>
          <w:rFonts w:ascii="Arial" w:eastAsia="Arial" w:hAnsi="Arial" w:cs="Arial"/>
        </w:rPr>
        <w:t xml:space="preserve"> (Figure 1A)</w:t>
      </w:r>
      <w:r w:rsidRPr="73A2934E">
        <w:rPr>
          <w:rFonts w:ascii="Arial" w:eastAsia="Arial" w:hAnsi="Arial" w:cs="Arial"/>
        </w:rPr>
        <w:t xml:space="preserve"> is a modified version of the Monetary Incentive Delay (MID) task</w:t>
      </w:r>
      <w:r w:rsidR="7BD6C457" w:rsidRPr="73A2934E">
        <w:rPr>
          <w:rFonts w:ascii="Arial" w:eastAsia="Arial" w:hAnsi="Arial" w:cs="Arial"/>
        </w:rPr>
        <w:t xml:space="preserve"> that includes a longer mean cue time, jittered cue time, catch trials and a flanker challenge that </w:t>
      </w:r>
      <w:r w:rsidR="1491197F" w:rsidRPr="73A2934E">
        <w:rPr>
          <w:rFonts w:ascii="Arial" w:eastAsia="Arial" w:hAnsi="Arial" w:cs="Arial"/>
        </w:rPr>
        <w:t xml:space="preserve">all </w:t>
      </w:r>
      <w:r w:rsidR="6885B19D" w:rsidRPr="73A2934E">
        <w:rPr>
          <w:rFonts w:ascii="Arial" w:eastAsia="Arial" w:hAnsi="Arial" w:cs="Arial"/>
        </w:rPr>
        <w:t>facilitate modeling of reward anticipation during the cue phase and reward outcome after the flanker phase.</w:t>
      </w:r>
      <w:r w:rsidR="41818130" w:rsidRPr="73A2934E">
        <w:rPr>
          <w:rFonts w:ascii="Arial" w:eastAsia="Arial" w:hAnsi="Arial" w:cs="Arial"/>
        </w:rPr>
        <w:t xml:space="preserve"> After the cue phase at the beginning of the task</w:t>
      </w:r>
      <w:r w:rsidR="4045A717" w:rsidRPr="73A2934E">
        <w:rPr>
          <w:rFonts w:ascii="Arial" w:eastAsia="Arial" w:hAnsi="Arial" w:cs="Arial"/>
        </w:rPr>
        <w:t>, participants were to respond correctly to the target letters S/K and H/C located in the center of five-letter string by pressing a response button with either their right index or middle finger. The response period duration varied by participant and was based on a titration process during a practice session</w:t>
      </w:r>
      <w:r w:rsidR="5C644570" w:rsidRPr="73A2934E">
        <w:rPr>
          <w:rFonts w:ascii="Arial" w:eastAsia="Arial" w:hAnsi="Arial" w:cs="Arial"/>
        </w:rPr>
        <w:t>, which adjusts the difficulty of the task</w:t>
      </w:r>
      <w:r w:rsidR="094BB8CA" w:rsidRPr="73A2934E">
        <w:rPr>
          <w:rFonts w:ascii="Arial" w:eastAsia="Arial" w:hAnsi="Arial" w:cs="Arial"/>
        </w:rPr>
        <w:t xml:space="preserve"> to keep accuracy ~60% for each trial. </w:t>
      </w:r>
      <w:r w:rsidR="02074171" w:rsidRPr="73A2934E">
        <w:rPr>
          <w:rFonts w:ascii="Arial" w:eastAsia="Arial" w:hAnsi="Arial" w:cs="Arial"/>
        </w:rPr>
        <w:t xml:space="preserve">This approach ensures sufficient variance in reaction time and </w:t>
      </w:r>
      <w:r w:rsidR="55460579" w:rsidRPr="73A2934E">
        <w:rPr>
          <w:rFonts w:ascii="Arial" w:eastAsia="Arial" w:hAnsi="Arial" w:cs="Arial"/>
        </w:rPr>
        <w:t xml:space="preserve">enough </w:t>
      </w:r>
      <w:r w:rsidR="0F176030" w:rsidRPr="73A2934E">
        <w:rPr>
          <w:rFonts w:ascii="Arial" w:eastAsia="Arial" w:hAnsi="Arial" w:cs="Arial"/>
        </w:rPr>
        <w:t>correct/incorrect</w:t>
      </w:r>
      <w:r w:rsidR="02074171" w:rsidRPr="73A2934E">
        <w:rPr>
          <w:rFonts w:ascii="Arial" w:eastAsia="Arial" w:hAnsi="Arial" w:cs="Arial"/>
        </w:rPr>
        <w:t xml:space="preserve"> trial</w:t>
      </w:r>
      <w:r w:rsidR="3328B79A" w:rsidRPr="73A2934E">
        <w:rPr>
          <w:rFonts w:ascii="Arial" w:eastAsia="Arial" w:hAnsi="Arial" w:cs="Arial"/>
        </w:rPr>
        <w:t xml:space="preserve"> </w:t>
      </w:r>
      <w:r w:rsidR="7A08E1C1" w:rsidRPr="73A2934E">
        <w:rPr>
          <w:rFonts w:ascii="Arial" w:eastAsia="Arial" w:hAnsi="Arial" w:cs="Arial"/>
        </w:rPr>
        <w:t>types</w:t>
      </w:r>
      <w:r w:rsidR="6DCBD2F3" w:rsidRPr="73A2934E">
        <w:rPr>
          <w:rFonts w:ascii="Arial" w:eastAsia="Arial" w:hAnsi="Arial" w:cs="Arial"/>
        </w:rPr>
        <w:t xml:space="preserve"> to model. The cue type</w:t>
      </w:r>
      <w:r w:rsidR="4DF56660" w:rsidRPr="73A2934E">
        <w:rPr>
          <w:rFonts w:ascii="Arial" w:eastAsia="Arial" w:hAnsi="Arial" w:cs="Arial"/>
        </w:rPr>
        <w:t xml:space="preserve">s presented at the beginning of each trial were shown for 2000 </w:t>
      </w:r>
      <w:proofErr w:type="spellStart"/>
      <w:r w:rsidR="4DF56660" w:rsidRPr="73A2934E">
        <w:rPr>
          <w:rFonts w:ascii="Arial" w:eastAsia="Arial" w:hAnsi="Arial" w:cs="Arial"/>
        </w:rPr>
        <w:t>ms.</w:t>
      </w:r>
      <w:proofErr w:type="spellEnd"/>
      <w:r w:rsidR="4DF56660" w:rsidRPr="73A2934E">
        <w:rPr>
          <w:rFonts w:ascii="Arial" w:eastAsia="Arial" w:hAnsi="Arial" w:cs="Arial"/>
        </w:rPr>
        <w:t xml:space="preserve"> – 6000 </w:t>
      </w:r>
      <w:proofErr w:type="spellStart"/>
      <w:r w:rsidR="4DF56660" w:rsidRPr="73A2934E">
        <w:rPr>
          <w:rFonts w:ascii="Arial" w:eastAsia="Arial" w:hAnsi="Arial" w:cs="Arial"/>
        </w:rPr>
        <w:t>ms.</w:t>
      </w:r>
      <w:proofErr w:type="spellEnd"/>
      <w:r w:rsidR="6A8464CE" w:rsidRPr="73A2934E">
        <w:rPr>
          <w:rFonts w:ascii="Arial" w:eastAsia="Arial" w:hAnsi="Arial" w:cs="Arial"/>
        </w:rPr>
        <w:t xml:space="preserve"> and consisted of +50 c</w:t>
      </w:r>
      <w:r w:rsidR="6A194277" w:rsidRPr="73A2934E">
        <w:rPr>
          <w:rFonts w:ascii="Arial" w:eastAsia="Arial" w:hAnsi="Arial" w:cs="Arial"/>
        </w:rPr>
        <w:t>en</w:t>
      </w:r>
      <w:r w:rsidR="6A8464CE" w:rsidRPr="73A2934E">
        <w:rPr>
          <w:rFonts w:ascii="Arial" w:eastAsia="Arial" w:hAnsi="Arial" w:cs="Arial"/>
        </w:rPr>
        <w:t>t (gain cue), -50 c</w:t>
      </w:r>
      <w:r w:rsidR="26B15E95" w:rsidRPr="73A2934E">
        <w:rPr>
          <w:rFonts w:ascii="Arial" w:eastAsia="Arial" w:hAnsi="Arial" w:cs="Arial"/>
        </w:rPr>
        <w:t>ent</w:t>
      </w:r>
      <w:r w:rsidR="6A8464CE" w:rsidRPr="73A2934E">
        <w:rPr>
          <w:rFonts w:ascii="Arial" w:eastAsia="Arial" w:hAnsi="Arial" w:cs="Arial"/>
        </w:rPr>
        <w:t xml:space="preserve"> (loss cue) and 0 c</w:t>
      </w:r>
      <w:r w:rsidR="6F2ACCB4" w:rsidRPr="73A2934E">
        <w:rPr>
          <w:rFonts w:ascii="Arial" w:eastAsia="Arial" w:hAnsi="Arial" w:cs="Arial"/>
        </w:rPr>
        <w:t>en</w:t>
      </w:r>
      <w:r w:rsidR="6A8464CE" w:rsidRPr="73A2934E">
        <w:rPr>
          <w:rFonts w:ascii="Arial" w:eastAsia="Arial" w:hAnsi="Arial" w:cs="Arial"/>
        </w:rPr>
        <w:t>t (neutral cue).</w:t>
      </w:r>
      <w:r w:rsidR="2F89FD5B" w:rsidRPr="73A2934E">
        <w:rPr>
          <w:rFonts w:ascii="Arial" w:eastAsia="Arial" w:hAnsi="Arial" w:cs="Arial"/>
        </w:rPr>
        <w:t xml:space="preserve"> A correct response </w:t>
      </w:r>
      <w:r w:rsidR="59DE369C" w:rsidRPr="73A2934E">
        <w:rPr>
          <w:rFonts w:ascii="Arial" w:eastAsia="Arial" w:hAnsi="Arial" w:cs="Arial"/>
        </w:rPr>
        <w:t xml:space="preserve">in a gain trial was rewarded with 50 </w:t>
      </w:r>
      <w:proofErr w:type="gramStart"/>
      <w:r w:rsidR="59DE369C" w:rsidRPr="73A2934E">
        <w:rPr>
          <w:rFonts w:ascii="Arial" w:eastAsia="Arial" w:hAnsi="Arial" w:cs="Arial"/>
        </w:rPr>
        <w:t>cent</w:t>
      </w:r>
      <w:proofErr w:type="gramEnd"/>
      <w:r w:rsidR="59DE369C" w:rsidRPr="73A2934E">
        <w:rPr>
          <w:rFonts w:ascii="Arial" w:eastAsia="Arial" w:hAnsi="Arial" w:cs="Arial"/>
        </w:rPr>
        <w:t xml:space="preserve"> (or not receiving </w:t>
      </w:r>
      <w:r w:rsidR="00A8CA29" w:rsidRPr="73A2934E">
        <w:rPr>
          <w:rFonts w:ascii="Arial" w:eastAsia="Arial" w:hAnsi="Arial" w:cs="Arial"/>
        </w:rPr>
        <w:t xml:space="preserve">50 </w:t>
      </w:r>
      <w:proofErr w:type="gramStart"/>
      <w:r w:rsidR="00A8CA29" w:rsidRPr="73A2934E">
        <w:rPr>
          <w:rFonts w:ascii="Arial" w:eastAsia="Arial" w:hAnsi="Arial" w:cs="Arial"/>
        </w:rPr>
        <w:t>cent</w:t>
      </w:r>
      <w:proofErr w:type="gramEnd"/>
      <w:r w:rsidR="00A8CA29" w:rsidRPr="73A2934E">
        <w:rPr>
          <w:rFonts w:ascii="Arial" w:eastAsia="Arial" w:hAnsi="Arial" w:cs="Arial"/>
        </w:rPr>
        <w:t xml:space="preserve"> </w:t>
      </w:r>
      <w:r w:rsidR="59DE369C" w:rsidRPr="73A2934E">
        <w:rPr>
          <w:rFonts w:ascii="Arial" w:eastAsia="Arial" w:hAnsi="Arial" w:cs="Arial"/>
        </w:rPr>
        <w:t>when responded incorrectly)</w:t>
      </w:r>
      <w:r w:rsidR="46E33A89" w:rsidRPr="73A2934E">
        <w:rPr>
          <w:rFonts w:ascii="Arial" w:eastAsia="Arial" w:hAnsi="Arial" w:cs="Arial"/>
        </w:rPr>
        <w:t xml:space="preserve">, in a loss trial a correct response </w:t>
      </w:r>
      <w:r w:rsidR="712BDD68" w:rsidRPr="73A2934E">
        <w:rPr>
          <w:rFonts w:ascii="Arial" w:eastAsia="Arial" w:hAnsi="Arial" w:cs="Arial"/>
        </w:rPr>
        <w:t>resulted</w:t>
      </w:r>
      <w:r w:rsidR="46E33A89" w:rsidRPr="73A2934E">
        <w:rPr>
          <w:rFonts w:ascii="Arial" w:eastAsia="Arial" w:hAnsi="Arial" w:cs="Arial"/>
        </w:rPr>
        <w:t xml:space="preserve"> in not losing 50 </w:t>
      </w:r>
      <w:proofErr w:type="spellStart"/>
      <w:r w:rsidR="46E33A89" w:rsidRPr="73A2934E">
        <w:rPr>
          <w:rFonts w:ascii="Arial" w:eastAsia="Arial" w:hAnsi="Arial" w:cs="Arial"/>
        </w:rPr>
        <w:t>ct</w:t>
      </w:r>
      <w:proofErr w:type="spellEnd"/>
      <w:r w:rsidR="46E33A89" w:rsidRPr="73A2934E">
        <w:rPr>
          <w:rFonts w:ascii="Arial" w:eastAsia="Arial" w:hAnsi="Arial" w:cs="Arial"/>
        </w:rPr>
        <w:t xml:space="preserve"> (</w:t>
      </w:r>
      <w:r w:rsidR="41D80AD6" w:rsidRPr="73A2934E">
        <w:rPr>
          <w:rFonts w:ascii="Arial" w:eastAsia="Arial" w:hAnsi="Arial" w:cs="Arial"/>
        </w:rPr>
        <w:t>but</w:t>
      </w:r>
      <w:r w:rsidR="77851465" w:rsidRPr="73A2934E">
        <w:rPr>
          <w:rFonts w:ascii="Arial" w:eastAsia="Arial" w:hAnsi="Arial" w:cs="Arial"/>
        </w:rPr>
        <w:t xml:space="preserve"> losing 50 </w:t>
      </w:r>
      <w:proofErr w:type="gramStart"/>
      <w:r w:rsidR="77851465" w:rsidRPr="73A2934E">
        <w:rPr>
          <w:rFonts w:ascii="Arial" w:eastAsia="Arial" w:hAnsi="Arial" w:cs="Arial"/>
        </w:rPr>
        <w:t>c</w:t>
      </w:r>
      <w:r w:rsidR="73080D0E" w:rsidRPr="73A2934E">
        <w:rPr>
          <w:rFonts w:ascii="Arial" w:eastAsia="Arial" w:hAnsi="Arial" w:cs="Arial"/>
        </w:rPr>
        <w:t>ent</w:t>
      </w:r>
      <w:proofErr w:type="gramEnd"/>
      <w:r w:rsidR="3B68E588" w:rsidRPr="73A2934E">
        <w:rPr>
          <w:rFonts w:ascii="Arial" w:eastAsia="Arial" w:hAnsi="Arial" w:cs="Arial"/>
        </w:rPr>
        <w:t xml:space="preserve"> when responded incorrectly)</w:t>
      </w:r>
      <w:r w:rsidR="46F5E353" w:rsidRPr="73A2934E">
        <w:rPr>
          <w:rFonts w:ascii="Arial" w:eastAsia="Arial" w:hAnsi="Arial" w:cs="Arial"/>
        </w:rPr>
        <w:t>, while no money was at stake during the neutral trials.</w:t>
      </w:r>
      <w:r w:rsidR="3D0A417D" w:rsidRPr="73A2934E">
        <w:rPr>
          <w:rFonts w:ascii="Arial" w:eastAsia="Arial" w:hAnsi="Arial" w:cs="Arial"/>
        </w:rPr>
        <w:t xml:space="preserve"> After 67% of trials, the flanker challenge started </w:t>
      </w:r>
      <w:r w:rsidR="35D0A324" w:rsidRPr="73A2934E">
        <w:rPr>
          <w:rFonts w:ascii="Arial" w:eastAsia="Arial" w:hAnsi="Arial" w:cs="Arial"/>
        </w:rPr>
        <w:t xml:space="preserve">where participants responded as quickly as possible to the letter, followed by the feedback phase </w:t>
      </w:r>
      <w:r w:rsidR="14ABF321" w:rsidRPr="73A2934E">
        <w:rPr>
          <w:rFonts w:ascii="Arial" w:eastAsia="Arial" w:hAnsi="Arial" w:cs="Arial"/>
        </w:rPr>
        <w:t xml:space="preserve">where participants were shown for 2000 </w:t>
      </w:r>
      <w:proofErr w:type="spellStart"/>
      <w:r w:rsidR="14ABF321" w:rsidRPr="73A2934E">
        <w:rPr>
          <w:rFonts w:ascii="Arial" w:eastAsia="Arial" w:hAnsi="Arial" w:cs="Arial"/>
        </w:rPr>
        <w:t>ms.</w:t>
      </w:r>
      <w:proofErr w:type="spellEnd"/>
      <w:r w:rsidR="14ABF321" w:rsidRPr="73A2934E">
        <w:rPr>
          <w:rFonts w:ascii="Arial" w:eastAsia="Arial" w:hAnsi="Arial" w:cs="Arial"/>
        </w:rPr>
        <w:t xml:space="preserve"> whether they have responded correctly</w:t>
      </w:r>
      <w:r w:rsidR="3488FD58" w:rsidRPr="73A2934E">
        <w:rPr>
          <w:rFonts w:ascii="Arial" w:eastAsia="Arial" w:hAnsi="Arial" w:cs="Arial"/>
        </w:rPr>
        <w:t>, incorrectly, or too slowly</w:t>
      </w:r>
      <w:r w:rsidR="14ABF321" w:rsidRPr="73A2934E">
        <w:rPr>
          <w:rFonts w:ascii="Arial" w:eastAsia="Arial" w:hAnsi="Arial" w:cs="Arial"/>
        </w:rPr>
        <w:t xml:space="preserve">. After </w:t>
      </w:r>
      <w:r w:rsidR="77912509" w:rsidRPr="73A2934E">
        <w:rPr>
          <w:rFonts w:ascii="Arial" w:eastAsia="Arial" w:hAnsi="Arial" w:cs="Arial"/>
        </w:rPr>
        <w:t xml:space="preserve">a </w:t>
      </w:r>
      <w:r w:rsidR="387FB5B3" w:rsidRPr="73A2934E">
        <w:rPr>
          <w:rFonts w:ascii="Arial" w:eastAsia="Arial" w:hAnsi="Arial" w:cs="Arial"/>
        </w:rPr>
        <w:t>subsequent</w:t>
      </w:r>
      <w:r w:rsidR="77912509" w:rsidRPr="73A2934E">
        <w:rPr>
          <w:rFonts w:ascii="Arial" w:eastAsia="Arial" w:hAnsi="Arial" w:cs="Arial"/>
        </w:rPr>
        <w:t xml:space="preserve"> inter trial interval during which a fixation cross was shown for 2000 </w:t>
      </w:r>
      <w:proofErr w:type="spellStart"/>
      <w:r w:rsidR="77912509" w:rsidRPr="73A2934E">
        <w:rPr>
          <w:rFonts w:ascii="Arial" w:eastAsia="Arial" w:hAnsi="Arial" w:cs="Arial"/>
        </w:rPr>
        <w:t>ms.</w:t>
      </w:r>
      <w:proofErr w:type="spellEnd"/>
      <w:r w:rsidR="77912509" w:rsidRPr="73A2934E">
        <w:rPr>
          <w:rFonts w:ascii="Arial" w:eastAsia="Arial" w:hAnsi="Arial" w:cs="Arial"/>
        </w:rPr>
        <w:t xml:space="preserve"> – 6000 </w:t>
      </w:r>
      <w:proofErr w:type="spellStart"/>
      <w:r w:rsidR="77912509" w:rsidRPr="73A2934E">
        <w:rPr>
          <w:rFonts w:ascii="Arial" w:eastAsia="Arial" w:hAnsi="Arial" w:cs="Arial"/>
        </w:rPr>
        <w:t>ms.</w:t>
      </w:r>
      <w:proofErr w:type="spellEnd"/>
      <w:r w:rsidR="0FB82910" w:rsidRPr="73A2934E">
        <w:rPr>
          <w:rFonts w:ascii="Arial" w:eastAsia="Arial" w:hAnsi="Arial" w:cs="Arial"/>
        </w:rPr>
        <w:t xml:space="preserve"> In 33% of trials, however, a blank screen was shown for 2000 </w:t>
      </w:r>
      <w:proofErr w:type="spellStart"/>
      <w:r w:rsidR="0FB82910" w:rsidRPr="73A2934E">
        <w:rPr>
          <w:rFonts w:ascii="Arial" w:eastAsia="Arial" w:hAnsi="Arial" w:cs="Arial"/>
        </w:rPr>
        <w:t>ms.</w:t>
      </w:r>
      <w:proofErr w:type="spellEnd"/>
      <w:r w:rsidR="0FB82910" w:rsidRPr="73A2934E">
        <w:rPr>
          <w:rFonts w:ascii="Arial" w:eastAsia="Arial" w:hAnsi="Arial" w:cs="Arial"/>
        </w:rPr>
        <w:t xml:space="preserve"> indicating a “catch” trial, which </w:t>
      </w:r>
      <w:r w:rsidR="741104DA" w:rsidRPr="73A2934E">
        <w:rPr>
          <w:rFonts w:ascii="Arial" w:eastAsia="Arial" w:hAnsi="Arial" w:cs="Arial"/>
        </w:rPr>
        <w:t>reduces collinearity between cue and feedback phase and improves model parameter estimation</w:t>
      </w:r>
      <w:r w:rsidR="741663E1" w:rsidRPr="73A2934E">
        <w:rPr>
          <w:rFonts w:ascii="Arial" w:eastAsia="Arial" w:hAnsi="Arial" w:cs="Arial"/>
        </w:rPr>
        <w:t>.</w:t>
      </w:r>
      <w:r w:rsidR="0045494A">
        <w:rPr>
          <w:rFonts w:ascii="Arial" w:eastAsia="Arial" w:hAnsi="Arial" w:cs="Arial"/>
        </w:rPr>
        <w:t xml:space="preserve"> In total there were 4 blocks with 40 trials for each cue type, resulting in a total of 120 trials per block. The duration of one block was ~ 6 minutes. At the end of each block participants were presented with the total amount of money they collected so far during the task. </w:t>
      </w:r>
    </w:p>
    <w:p w14:paraId="4C7D13CF" w14:textId="5D638AD7" w:rsidR="001F4853" w:rsidRDefault="001F4853" w:rsidP="73A2934E">
      <w:pPr>
        <w:spacing w:line="276" w:lineRule="auto"/>
        <w:rPr>
          <w:rFonts w:ascii="Arial" w:eastAsia="Arial" w:hAnsi="Arial" w:cs="Arial"/>
          <w:b/>
        </w:rPr>
      </w:pPr>
      <w:r w:rsidRPr="001F4853">
        <w:rPr>
          <w:rFonts w:ascii="Arial" w:eastAsia="Arial" w:hAnsi="Arial" w:cs="Arial"/>
          <w:b/>
        </w:rPr>
        <w:t>Imaging Acquisition and Processing</w:t>
      </w:r>
    </w:p>
    <w:p w14:paraId="3A84B1DA" w14:textId="77777777" w:rsidR="001F4853" w:rsidRPr="001F4853" w:rsidRDefault="001F4853" w:rsidP="001F4853">
      <w:pPr>
        <w:spacing w:line="276" w:lineRule="auto"/>
        <w:rPr>
          <w:rFonts w:ascii="Arial" w:eastAsia="Arial" w:hAnsi="Arial" w:cs="Arial"/>
        </w:rPr>
      </w:pPr>
      <w:r w:rsidRPr="001F4853">
        <w:rPr>
          <w:rFonts w:ascii="Arial" w:eastAsia="Arial" w:hAnsi="Arial" w:cs="Arial"/>
        </w:rPr>
        <w:t>All IFT fMRI data were preprocessed using multi-echo independent component analysis (ME-ICA), which includes slice-time correction, motion and physiological artifact removal. Thereto, the data was decomposed into independent components, which were analyzed to investigate whether their time course scaled with signal change dependent on TE, which indicates a BOLD-like component. Component time courses not dependent on TE- related signal change were considered non-BOLD components and removed [add Kundu et a l]. Afterwards, the images were normalized to MNI space and smoothed with a 5mm FWHM Gaussian kernel.</w:t>
      </w:r>
    </w:p>
    <w:p w14:paraId="4ED2506B" w14:textId="53338840" w:rsidR="001F4853" w:rsidRDefault="001F4853" w:rsidP="001F4853">
      <w:pPr>
        <w:spacing w:line="276" w:lineRule="auto"/>
        <w:rPr>
          <w:rFonts w:ascii="Arial" w:eastAsia="Arial" w:hAnsi="Arial" w:cs="Arial"/>
        </w:rPr>
      </w:pPr>
      <w:r w:rsidRPr="001F4853">
        <w:rPr>
          <w:rFonts w:ascii="Arial" w:eastAsia="Arial" w:hAnsi="Arial" w:cs="Arial"/>
        </w:rPr>
        <w:t xml:space="preserve">The IFT subject level models were created by entering all runs into the GLM. We included onset regressors for cue type (gain, loss, neutral), congruency for the flanker </w:t>
      </w:r>
      <w:r w:rsidRPr="001F4853">
        <w:rPr>
          <w:rFonts w:ascii="Arial" w:eastAsia="Arial" w:hAnsi="Arial" w:cs="Arial"/>
        </w:rPr>
        <w:lastRenderedPageBreak/>
        <w:t>challenge (congruent, incongruent) and feedback (positive, negative, neutral) at the end of a trial. The duration of the cue presentation varied between two and six seconds and was entered for each trial, while flanker and feedback were modeled as events, respectively. The main contrast of interest that reflects reward anticipation was computed by subtracting the estimated parameters for the neutral condition from the parameters of the gain condition. The resulting contrast estimates were then extracted from the VS region of interest using an anatomical mask from the Harvard-Oxford atlas. The extracted data was then statistically analyzed.</w:t>
      </w:r>
    </w:p>
    <w:p w14:paraId="58706CE3" w14:textId="53D3EF76" w:rsidR="001F4853" w:rsidRPr="001F4853" w:rsidRDefault="001F4853" w:rsidP="001F4853">
      <w:pPr>
        <w:spacing w:line="276" w:lineRule="auto"/>
        <w:rPr>
          <w:rFonts w:ascii="Arial" w:eastAsia="Arial" w:hAnsi="Arial" w:cs="Arial"/>
          <w:b/>
        </w:rPr>
      </w:pPr>
      <w:r w:rsidRPr="001F4853">
        <w:rPr>
          <w:rFonts w:ascii="Arial" w:eastAsia="Arial" w:hAnsi="Arial" w:cs="Arial"/>
          <w:b/>
        </w:rPr>
        <w:t>Sample Size Calculation</w:t>
      </w:r>
    </w:p>
    <w:p w14:paraId="5B01DC73" w14:textId="0B1992B5" w:rsidR="001F4853" w:rsidRDefault="001F4853" w:rsidP="001F4853">
      <w:pPr>
        <w:spacing w:line="276" w:lineRule="auto"/>
        <w:rPr>
          <w:rFonts w:ascii="Arial" w:eastAsia="Arial" w:hAnsi="Arial" w:cs="Arial"/>
        </w:rPr>
      </w:pPr>
      <w:r w:rsidRPr="001F4853">
        <w:rPr>
          <w:rFonts w:ascii="Arial" w:eastAsia="Arial" w:hAnsi="Arial" w:cs="Arial"/>
        </w:rPr>
        <w:t xml:space="preserve">Sample size calculations were based on estimates from the ezogabine trial (15). The estimated mean difference in bilateral VS activation from baseline to week 5 was 0.323 in the ezogabine group and –0.14 in the placebo group. Using a linear mixed-effects model and assuming the variance of the random intercept was 0.14 and residual variance was 0.36, a total of 50 participants (25 per group) would provide the trial with at least 80% power to detect a difference of 0.4 to 0.6 in bilateral VS activation from baseline to week 8 between </w:t>
      </w:r>
      <w:proofErr w:type="spellStart"/>
      <w:r w:rsidR="00A4738E">
        <w:rPr>
          <w:rFonts w:ascii="Arial" w:eastAsia="Arial" w:hAnsi="Arial" w:cs="Arial"/>
        </w:rPr>
        <w:t>azetukalner</w:t>
      </w:r>
      <w:proofErr w:type="spellEnd"/>
      <w:r w:rsidR="00A4738E">
        <w:rPr>
          <w:rFonts w:ascii="Arial" w:eastAsia="Arial" w:hAnsi="Arial" w:cs="Arial"/>
        </w:rPr>
        <w:t xml:space="preserve"> </w:t>
      </w:r>
      <w:r w:rsidRPr="001F4853">
        <w:rPr>
          <w:rFonts w:ascii="Arial" w:eastAsia="Arial" w:hAnsi="Arial" w:cs="Arial"/>
        </w:rPr>
        <w:t>and placebo at a two-sided significance level of 0.10. To account for 20% study dropout, the sample size was increased to 60 participants (30 per group).</w:t>
      </w:r>
    </w:p>
    <w:p w14:paraId="7E05E53F" w14:textId="311626B7" w:rsidR="001A36BC" w:rsidRDefault="001A36BC" w:rsidP="001F4853">
      <w:pPr>
        <w:spacing w:line="276" w:lineRule="auto"/>
        <w:rPr>
          <w:rFonts w:ascii="Arial" w:eastAsia="Arial" w:hAnsi="Arial" w:cs="Arial"/>
          <w:b/>
        </w:rPr>
      </w:pPr>
      <w:r w:rsidRPr="001A36BC">
        <w:rPr>
          <w:rFonts w:ascii="Arial" w:eastAsia="Arial" w:hAnsi="Arial" w:cs="Arial"/>
          <w:b/>
        </w:rPr>
        <w:t>Adverse Events of Special Interest</w:t>
      </w:r>
    </w:p>
    <w:p w14:paraId="39D80FAD" w14:textId="367E8EE6" w:rsidR="001A36BC" w:rsidRDefault="001A36BC" w:rsidP="001F4853">
      <w:pPr>
        <w:spacing w:line="276" w:lineRule="auto"/>
        <w:rPr>
          <w:rFonts w:ascii="Arial" w:eastAsia="Arial" w:hAnsi="Arial" w:cs="Arial"/>
        </w:rPr>
      </w:pPr>
      <w:r w:rsidRPr="001A36BC">
        <w:rPr>
          <w:rFonts w:ascii="Arial" w:eastAsia="Arial" w:hAnsi="Arial" w:cs="Arial"/>
        </w:rPr>
        <w:t>Adverse events were reviewed by a study psychiatrist at each study visit through week 12 with pre-defined adverse events of special interest (AESI) focused on disturbances in thinking and perception, bladder and urethral symptoms, cardiovascular changes and ophthalmologic changes. Suicidal ideation and behavior were evaluated by a trained rater using the Columbia- Suicide Severity Rating Scale (C-SSRS) at baseline and weeks 1, 2, 4, 6, 8, and 12 (13). A C-SSRS score greater than 2 necessitated a safety review. Trained raters also administered the 4-item positive symptom subscale of the Brief Psychiatric Rating Scale (BPRS-4) at these timepoints to assess for acute behavioral changes indicative of psychosis (14). Participants completed The American Urological Association Symptom Score Questionnaire (AUA) to urinary retention symptoms at baseline and weeks 4, 8, and 12. An AUA score greater than 7 increased from baseline led to a safety review and was considered an AESI. An electrocardiogram was performed at screening and weeks 2, 8, and 12 to assess cardiovascular changes. Participants underwent a dilated fundoscopic eye examination at screening and week 12 to assess retinal changes.</w:t>
      </w:r>
    </w:p>
    <w:p w14:paraId="303CEDC4" w14:textId="13FB7ABE" w:rsidR="00560ACD" w:rsidRDefault="00560ACD" w:rsidP="001F4853">
      <w:pPr>
        <w:spacing w:line="276" w:lineRule="auto"/>
        <w:rPr>
          <w:rFonts w:ascii="Arial" w:eastAsia="Arial" w:hAnsi="Arial" w:cs="Arial"/>
          <w:b/>
        </w:rPr>
      </w:pPr>
      <w:r w:rsidRPr="00560ACD">
        <w:rPr>
          <w:rFonts w:ascii="Arial" w:eastAsia="Arial" w:hAnsi="Arial" w:cs="Arial"/>
          <w:b/>
        </w:rPr>
        <w:t>Response and remission rates:</w:t>
      </w:r>
    </w:p>
    <w:p w14:paraId="74223103" w14:textId="10BED112" w:rsidR="73A2934E" w:rsidRDefault="00560ACD" w:rsidP="00445EEE">
      <w:pPr>
        <w:spacing w:line="276" w:lineRule="auto"/>
        <w:rPr>
          <w:rFonts w:ascii="Arial" w:eastAsia="Arial" w:hAnsi="Arial" w:cs="Arial"/>
        </w:rPr>
      </w:pPr>
      <w:r w:rsidRPr="00560ACD">
        <w:rPr>
          <w:rFonts w:ascii="Arial" w:eastAsia="Arial" w:hAnsi="Arial" w:cs="Arial"/>
        </w:rPr>
        <w:t xml:space="preserve">Response to treatment was calculated as the percentage of participants with a reduction of at least 50% in MADRS score from baseline to week 8.  Remission rate was computed as the percentage of participants who achieved less than 10 points on </w:t>
      </w:r>
      <w:r w:rsidRPr="00560ACD">
        <w:rPr>
          <w:rFonts w:ascii="Arial" w:eastAsia="Arial" w:hAnsi="Arial" w:cs="Arial"/>
        </w:rPr>
        <w:lastRenderedPageBreak/>
        <w:t>the MADRS at week 8. Participants with missing values on the MADRS at week 8 were considered failures for response and remission.</w:t>
      </w:r>
    </w:p>
    <w:p w14:paraId="03676287" w14:textId="7FA973C4" w:rsidR="00445EEE" w:rsidRDefault="00DA7F0B">
      <w:pPr>
        <w:rPr>
          <w:rFonts w:ascii="Arial" w:eastAsia="Arial" w:hAnsi="Arial" w:cs="Arial"/>
        </w:rPr>
      </w:pPr>
      <w:r>
        <w:rPr>
          <w:rFonts w:ascii="Arial" w:eastAsia="Arial" w:hAnsi="Arial" w:cs="Arial"/>
        </w:rPr>
        <w:t xml:space="preserve">Researchers interested in obtaining the full study protocol, statistical analysis plan, and/or requesting all study data should contact Dr. James Murrough. </w:t>
      </w:r>
      <w:r w:rsidR="00445EEE">
        <w:rPr>
          <w:rFonts w:ascii="Arial" w:eastAsia="Arial" w:hAnsi="Arial" w:cs="Arial"/>
        </w:rPr>
        <w:br w:type="page"/>
      </w:r>
    </w:p>
    <w:p w14:paraId="792A4E61" w14:textId="77777777" w:rsidR="00445EEE" w:rsidRPr="00445EEE" w:rsidRDefault="00445EEE" w:rsidP="00445EEE">
      <w:pPr>
        <w:spacing w:line="276" w:lineRule="auto"/>
        <w:rPr>
          <w:rFonts w:ascii="Arial" w:eastAsia="Arial" w:hAnsi="Arial" w:cs="Arial"/>
        </w:rPr>
      </w:pPr>
    </w:p>
    <w:p w14:paraId="110BA62B" w14:textId="0220975E" w:rsidR="7330124B" w:rsidRDefault="7330124B" w:rsidP="73A2934E">
      <w:pPr>
        <w:pStyle w:val="ListParagraph"/>
        <w:numPr>
          <w:ilvl w:val="0"/>
          <w:numId w:val="1"/>
        </w:numPr>
        <w:spacing w:line="240" w:lineRule="auto"/>
        <w:ind w:left="360"/>
        <w:rPr>
          <w:rFonts w:ascii="Arial" w:eastAsia="Arial" w:hAnsi="Arial" w:cs="Arial"/>
          <w:b/>
          <w:bCs/>
          <w:sz w:val="28"/>
          <w:szCs w:val="28"/>
        </w:rPr>
      </w:pPr>
      <w:r w:rsidRPr="73A2934E">
        <w:rPr>
          <w:rFonts w:ascii="Arial" w:eastAsia="Arial" w:hAnsi="Arial" w:cs="Arial"/>
          <w:b/>
          <w:bCs/>
          <w:sz w:val="28"/>
          <w:szCs w:val="28"/>
        </w:rPr>
        <w:t>Supplemental Tables</w:t>
      </w:r>
      <w:r w:rsidR="00445EEE">
        <w:rPr>
          <w:rFonts w:ascii="Arial" w:eastAsia="Arial" w:hAnsi="Arial" w:cs="Arial"/>
          <w:b/>
          <w:bCs/>
          <w:sz w:val="28"/>
          <w:szCs w:val="28"/>
        </w:rPr>
        <w:t xml:space="preserve"> and Figures</w:t>
      </w:r>
    </w:p>
    <w:p w14:paraId="4431E486" w14:textId="29CADBE8" w:rsidR="73A2934E" w:rsidRDefault="00445EEE" w:rsidP="73A2934E">
      <w:pPr>
        <w:rPr>
          <w:rFonts w:ascii="Arial" w:eastAsia="Arial" w:hAnsi="Arial" w:cs="Arial"/>
          <w:sz w:val="28"/>
          <w:szCs w:val="28"/>
        </w:rPr>
      </w:pPr>
      <w:r w:rsidRPr="00445EEE">
        <w:rPr>
          <w:rFonts w:ascii="Arial" w:eastAsia="Arial" w:hAnsi="Arial" w:cs="Arial"/>
          <w:sz w:val="28"/>
          <w:szCs w:val="28"/>
        </w:rPr>
        <w:t>Figure S1: Consort Diagram</w:t>
      </w:r>
    </w:p>
    <w:p w14:paraId="31A9915A" w14:textId="77777777" w:rsidR="00445EEE" w:rsidRDefault="00445EEE" w:rsidP="73A2934E">
      <w:pPr>
        <w:rPr>
          <w:rFonts w:ascii="Arial" w:eastAsia="Arial" w:hAnsi="Arial" w:cs="Arial"/>
        </w:rPr>
      </w:pPr>
    </w:p>
    <w:p w14:paraId="457E137F" w14:textId="5139E710" w:rsidR="00445EEE" w:rsidRDefault="00445EEE" w:rsidP="73A2934E">
      <w:pPr>
        <w:rPr>
          <w:rFonts w:ascii="Arial" w:eastAsia="Arial" w:hAnsi="Arial" w:cs="Arial"/>
        </w:rPr>
      </w:pPr>
      <w:r>
        <w:rPr>
          <w:rFonts w:ascii="Arial" w:eastAsia="Arial" w:hAnsi="Arial" w:cs="Arial"/>
          <w:noProof/>
          <w:lang w:eastAsia="en-US"/>
        </w:rPr>
        <w:drawing>
          <wp:inline distT="0" distB="0" distL="0" distR="0" wp14:anchorId="02559A9F" wp14:editId="434E021F">
            <wp:extent cx="6078220" cy="6694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8220" cy="6694170"/>
                    </a:xfrm>
                    <a:prstGeom prst="rect">
                      <a:avLst/>
                    </a:prstGeom>
                    <a:noFill/>
                  </pic:spPr>
                </pic:pic>
              </a:graphicData>
            </a:graphic>
          </wp:inline>
        </w:drawing>
      </w:r>
    </w:p>
    <w:p w14:paraId="35622196" w14:textId="0CBC7616" w:rsidR="00445EEE" w:rsidRDefault="00445EEE" w:rsidP="73A2934E">
      <w:pPr>
        <w:rPr>
          <w:rFonts w:ascii="Arial" w:eastAsia="Arial" w:hAnsi="Arial" w:cs="Arial"/>
        </w:rPr>
      </w:pPr>
    </w:p>
    <w:p w14:paraId="29C9A4DD" w14:textId="4A681A65" w:rsidR="00607453" w:rsidRDefault="00607453" w:rsidP="73A2934E">
      <w:pPr>
        <w:rPr>
          <w:rFonts w:ascii="Arial" w:eastAsia="Arial" w:hAnsi="Arial" w:cs="Arial"/>
        </w:rPr>
      </w:pPr>
    </w:p>
    <w:p w14:paraId="51CEC4DA" w14:textId="77777777" w:rsidR="00607453" w:rsidRDefault="00607453" w:rsidP="73A2934E">
      <w:pPr>
        <w:rPr>
          <w:rFonts w:ascii="Arial" w:eastAsia="Arial" w:hAnsi="Arial" w:cs="Arial"/>
        </w:rPr>
      </w:pPr>
    </w:p>
    <w:p w14:paraId="64838251" w14:textId="37C6699F" w:rsidR="00445EEE" w:rsidRPr="008507E3" w:rsidRDefault="00445EEE" w:rsidP="73A2934E">
      <w:pPr>
        <w:rPr>
          <w:rFonts w:ascii="Arial" w:eastAsia="Arial" w:hAnsi="Arial" w:cs="Arial"/>
          <w:b/>
          <w:bCs/>
        </w:rPr>
      </w:pPr>
      <w:r w:rsidRPr="008507E3">
        <w:rPr>
          <w:rFonts w:ascii="Arial" w:eastAsia="Arial" w:hAnsi="Arial" w:cs="Arial"/>
          <w:b/>
          <w:bCs/>
        </w:rPr>
        <w:t>Table S1: Complete List of Adverse Events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80"/>
        <w:gridCol w:w="815"/>
        <w:gridCol w:w="815"/>
        <w:gridCol w:w="815"/>
        <w:gridCol w:w="815"/>
      </w:tblGrid>
      <w:tr w:rsidR="00445EEE" w:rsidRPr="00445EEE" w14:paraId="06E68E64" w14:textId="77777777" w:rsidTr="008452F4">
        <w:trPr>
          <w:cantSplit/>
          <w:tblHeader/>
          <w:jc w:val="center"/>
        </w:trPr>
        <w:tc>
          <w:tcPr>
            <w:tcW w:w="3780" w:type="dxa"/>
            <w:shd w:val="clear" w:color="auto" w:fill="FFFFFF"/>
            <w:tcMar>
              <w:left w:w="60" w:type="dxa"/>
              <w:right w:w="60" w:type="dxa"/>
            </w:tcMar>
            <w:vAlign w:val="bottom"/>
          </w:tcPr>
          <w:p w14:paraId="3119AB6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p>
        </w:tc>
        <w:tc>
          <w:tcPr>
            <w:tcW w:w="1630" w:type="dxa"/>
            <w:gridSpan w:val="2"/>
            <w:shd w:val="clear" w:color="auto" w:fill="FFFFFF"/>
            <w:tcMar>
              <w:left w:w="60" w:type="dxa"/>
              <w:right w:w="60" w:type="dxa"/>
            </w:tcMar>
            <w:vAlign w:val="bottom"/>
          </w:tcPr>
          <w:p w14:paraId="40D208D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proofErr w:type="spellStart"/>
            <w:r w:rsidRPr="00445EEE">
              <w:rPr>
                <w:rFonts w:ascii="Times New Roman" w:eastAsia="Calibri" w:hAnsi="Times New Roman" w:cs="Times New Roman"/>
                <w:b/>
                <w:bCs/>
                <w:color w:val="000000"/>
                <w:sz w:val="22"/>
                <w:szCs w:val="22"/>
                <w:lang w:eastAsia="en-US"/>
              </w:rPr>
              <w:t>Azetukalner</w:t>
            </w:r>
            <w:proofErr w:type="spellEnd"/>
            <w:r w:rsidRPr="00445EEE">
              <w:rPr>
                <w:rFonts w:ascii="Times New Roman" w:eastAsia="Calibri" w:hAnsi="Times New Roman" w:cs="Times New Roman"/>
                <w:b/>
                <w:bCs/>
                <w:color w:val="000000"/>
                <w:sz w:val="22"/>
                <w:szCs w:val="22"/>
                <w:lang w:eastAsia="en-US"/>
              </w:rPr>
              <w:br/>
              <w:t>(N=29)</w:t>
            </w:r>
          </w:p>
        </w:tc>
        <w:tc>
          <w:tcPr>
            <w:tcW w:w="1630" w:type="dxa"/>
            <w:gridSpan w:val="2"/>
            <w:shd w:val="clear" w:color="auto" w:fill="FFFFFF"/>
            <w:tcMar>
              <w:left w:w="60" w:type="dxa"/>
              <w:right w:w="60" w:type="dxa"/>
            </w:tcMar>
            <w:vAlign w:val="bottom"/>
          </w:tcPr>
          <w:p w14:paraId="54A9888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r w:rsidRPr="00445EEE">
              <w:rPr>
                <w:rFonts w:ascii="Times New Roman" w:eastAsia="Calibri" w:hAnsi="Times New Roman" w:cs="Times New Roman"/>
                <w:b/>
                <w:bCs/>
                <w:color w:val="000000"/>
                <w:sz w:val="22"/>
                <w:szCs w:val="22"/>
                <w:lang w:eastAsia="en-US"/>
              </w:rPr>
              <w:t>Placebo</w:t>
            </w:r>
            <w:r w:rsidRPr="00445EEE">
              <w:rPr>
                <w:rFonts w:ascii="Times New Roman" w:eastAsia="Calibri" w:hAnsi="Times New Roman" w:cs="Times New Roman"/>
                <w:b/>
                <w:bCs/>
                <w:color w:val="000000"/>
                <w:sz w:val="22"/>
                <w:szCs w:val="22"/>
                <w:lang w:eastAsia="en-US"/>
              </w:rPr>
              <w:br/>
              <w:t>(N=30)</w:t>
            </w:r>
          </w:p>
        </w:tc>
      </w:tr>
      <w:tr w:rsidR="00445EEE" w:rsidRPr="00445EEE" w14:paraId="104EAEAF" w14:textId="77777777" w:rsidTr="008452F4">
        <w:trPr>
          <w:cantSplit/>
          <w:tblHeader/>
          <w:jc w:val="center"/>
        </w:trPr>
        <w:tc>
          <w:tcPr>
            <w:tcW w:w="3780" w:type="dxa"/>
            <w:shd w:val="clear" w:color="auto" w:fill="FFFFFF"/>
            <w:tcMar>
              <w:left w:w="60" w:type="dxa"/>
              <w:right w:w="60" w:type="dxa"/>
            </w:tcMar>
            <w:vAlign w:val="bottom"/>
          </w:tcPr>
          <w:p w14:paraId="55F1376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p>
        </w:tc>
        <w:tc>
          <w:tcPr>
            <w:tcW w:w="815" w:type="dxa"/>
            <w:shd w:val="clear" w:color="auto" w:fill="FFFFFF"/>
            <w:tcMar>
              <w:left w:w="60" w:type="dxa"/>
              <w:right w:w="60" w:type="dxa"/>
            </w:tcMar>
            <w:vAlign w:val="bottom"/>
          </w:tcPr>
          <w:p w14:paraId="21E7DA5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r w:rsidRPr="00445EEE">
              <w:rPr>
                <w:rFonts w:ascii="Times New Roman" w:eastAsia="Calibri" w:hAnsi="Times New Roman" w:cs="Times New Roman"/>
                <w:b/>
                <w:bCs/>
                <w:color w:val="000000"/>
                <w:sz w:val="22"/>
                <w:szCs w:val="22"/>
                <w:lang w:eastAsia="en-US"/>
              </w:rPr>
              <w:t>N</w:t>
            </w:r>
          </w:p>
        </w:tc>
        <w:tc>
          <w:tcPr>
            <w:tcW w:w="815" w:type="dxa"/>
            <w:shd w:val="clear" w:color="auto" w:fill="FFFFFF"/>
            <w:tcMar>
              <w:left w:w="60" w:type="dxa"/>
              <w:right w:w="60" w:type="dxa"/>
            </w:tcMar>
            <w:vAlign w:val="bottom"/>
          </w:tcPr>
          <w:p w14:paraId="56B0069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r w:rsidRPr="00445EEE">
              <w:rPr>
                <w:rFonts w:ascii="Times New Roman" w:eastAsia="Calibri" w:hAnsi="Times New Roman" w:cs="Times New Roman"/>
                <w:b/>
                <w:bCs/>
                <w:color w:val="000000"/>
                <w:sz w:val="22"/>
                <w:szCs w:val="22"/>
                <w:lang w:eastAsia="en-US"/>
              </w:rPr>
              <w:t>%</w:t>
            </w:r>
          </w:p>
        </w:tc>
        <w:tc>
          <w:tcPr>
            <w:tcW w:w="815" w:type="dxa"/>
            <w:shd w:val="clear" w:color="auto" w:fill="FFFFFF"/>
            <w:tcMar>
              <w:left w:w="60" w:type="dxa"/>
              <w:right w:w="60" w:type="dxa"/>
            </w:tcMar>
            <w:vAlign w:val="bottom"/>
          </w:tcPr>
          <w:p w14:paraId="39FA61B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r w:rsidRPr="00445EEE">
              <w:rPr>
                <w:rFonts w:ascii="Times New Roman" w:eastAsia="Calibri" w:hAnsi="Times New Roman" w:cs="Times New Roman"/>
                <w:b/>
                <w:bCs/>
                <w:color w:val="000000"/>
                <w:sz w:val="22"/>
                <w:szCs w:val="22"/>
                <w:lang w:eastAsia="en-US"/>
              </w:rPr>
              <w:t>N</w:t>
            </w:r>
          </w:p>
        </w:tc>
        <w:tc>
          <w:tcPr>
            <w:tcW w:w="815" w:type="dxa"/>
            <w:shd w:val="clear" w:color="auto" w:fill="FFFFFF"/>
            <w:tcMar>
              <w:left w:w="60" w:type="dxa"/>
              <w:right w:w="60" w:type="dxa"/>
            </w:tcMar>
            <w:vAlign w:val="bottom"/>
          </w:tcPr>
          <w:p w14:paraId="5582A70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b/>
                <w:bCs/>
                <w:color w:val="000000"/>
                <w:sz w:val="22"/>
                <w:szCs w:val="22"/>
                <w:lang w:eastAsia="en-US"/>
              </w:rPr>
            </w:pPr>
            <w:r w:rsidRPr="00445EEE">
              <w:rPr>
                <w:rFonts w:ascii="Times New Roman" w:eastAsia="Calibri" w:hAnsi="Times New Roman" w:cs="Times New Roman"/>
                <w:b/>
                <w:bCs/>
                <w:color w:val="000000"/>
                <w:sz w:val="22"/>
                <w:szCs w:val="22"/>
                <w:lang w:eastAsia="en-US"/>
              </w:rPr>
              <w:t>%</w:t>
            </w:r>
          </w:p>
        </w:tc>
      </w:tr>
      <w:tr w:rsidR="00445EEE" w:rsidRPr="00445EEE" w14:paraId="2483A0F9" w14:textId="77777777" w:rsidTr="008452F4">
        <w:trPr>
          <w:cantSplit/>
          <w:jc w:val="center"/>
        </w:trPr>
        <w:tc>
          <w:tcPr>
            <w:tcW w:w="3780" w:type="dxa"/>
            <w:shd w:val="clear" w:color="auto" w:fill="FFFFFF"/>
            <w:tcMar>
              <w:left w:w="60" w:type="dxa"/>
              <w:right w:w="60" w:type="dxa"/>
            </w:tcMar>
          </w:tcPr>
          <w:p w14:paraId="35901BB5" w14:textId="77777777" w:rsidR="00445EEE" w:rsidRPr="00445EEE" w:rsidRDefault="00445EEE" w:rsidP="00445EEE">
            <w:pPr>
              <w:keepNext/>
              <w:adjustRightInd w:val="0"/>
              <w:spacing w:before="60" w:after="60" w:line="259" w:lineRule="auto"/>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 xml:space="preserve">Any adverse </w:t>
            </w:r>
            <w:proofErr w:type="spellStart"/>
            <w:r w:rsidRPr="00445EEE">
              <w:rPr>
                <w:rFonts w:ascii="Times New Roman" w:eastAsia="Calibri" w:hAnsi="Times New Roman" w:cs="Times New Roman"/>
                <w:color w:val="000000"/>
                <w:sz w:val="22"/>
                <w:szCs w:val="22"/>
                <w:lang w:eastAsia="en-US"/>
              </w:rPr>
              <w:t>event</w:t>
            </w:r>
            <w:r w:rsidRPr="00445EEE">
              <w:rPr>
                <w:rFonts w:ascii="Times New Roman" w:eastAsia="Calibri" w:hAnsi="Times New Roman" w:cs="Times New Roman"/>
                <w:color w:val="000000"/>
                <w:sz w:val="22"/>
                <w:szCs w:val="22"/>
                <w:vertAlign w:val="superscript"/>
                <w:lang w:eastAsia="en-US"/>
              </w:rPr>
              <w:t>a</w:t>
            </w:r>
            <w:proofErr w:type="spellEnd"/>
          </w:p>
        </w:tc>
        <w:tc>
          <w:tcPr>
            <w:tcW w:w="815" w:type="dxa"/>
            <w:shd w:val="clear" w:color="auto" w:fill="FFFFFF"/>
            <w:tcMar>
              <w:left w:w="60" w:type="dxa"/>
              <w:right w:w="60" w:type="dxa"/>
            </w:tcMar>
          </w:tcPr>
          <w:p w14:paraId="7483C81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27</w:t>
            </w:r>
          </w:p>
        </w:tc>
        <w:tc>
          <w:tcPr>
            <w:tcW w:w="815" w:type="dxa"/>
            <w:shd w:val="clear" w:color="auto" w:fill="FFFFFF"/>
            <w:tcMar>
              <w:left w:w="60" w:type="dxa"/>
              <w:right w:w="60" w:type="dxa"/>
            </w:tcMar>
          </w:tcPr>
          <w:p w14:paraId="7E9F21C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93.1</w:t>
            </w:r>
          </w:p>
        </w:tc>
        <w:tc>
          <w:tcPr>
            <w:tcW w:w="815" w:type="dxa"/>
            <w:shd w:val="clear" w:color="auto" w:fill="FFFFFF"/>
            <w:tcMar>
              <w:left w:w="60" w:type="dxa"/>
              <w:right w:w="60" w:type="dxa"/>
            </w:tcMar>
          </w:tcPr>
          <w:p w14:paraId="39E05F0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25</w:t>
            </w:r>
          </w:p>
        </w:tc>
        <w:tc>
          <w:tcPr>
            <w:tcW w:w="815" w:type="dxa"/>
            <w:shd w:val="clear" w:color="auto" w:fill="FFFFFF"/>
            <w:tcMar>
              <w:left w:w="60" w:type="dxa"/>
              <w:right w:w="60" w:type="dxa"/>
            </w:tcMar>
          </w:tcPr>
          <w:p w14:paraId="6FAB951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83.3</w:t>
            </w:r>
          </w:p>
        </w:tc>
      </w:tr>
      <w:tr w:rsidR="00445EEE" w:rsidRPr="00445EEE" w14:paraId="622A82AB" w14:textId="77777777" w:rsidTr="008452F4">
        <w:trPr>
          <w:cantSplit/>
          <w:jc w:val="center"/>
        </w:trPr>
        <w:tc>
          <w:tcPr>
            <w:tcW w:w="3780" w:type="dxa"/>
            <w:shd w:val="clear" w:color="auto" w:fill="FFFFFF"/>
            <w:tcMar>
              <w:left w:w="60" w:type="dxa"/>
              <w:right w:w="60" w:type="dxa"/>
            </w:tcMar>
          </w:tcPr>
          <w:p w14:paraId="68C32F9F"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Dizziness</w:t>
            </w:r>
          </w:p>
        </w:tc>
        <w:tc>
          <w:tcPr>
            <w:tcW w:w="815" w:type="dxa"/>
            <w:shd w:val="clear" w:color="auto" w:fill="FFFFFF"/>
            <w:tcMar>
              <w:left w:w="60" w:type="dxa"/>
              <w:right w:w="60" w:type="dxa"/>
            </w:tcMar>
          </w:tcPr>
          <w:p w14:paraId="2306C55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11</w:t>
            </w:r>
          </w:p>
        </w:tc>
        <w:tc>
          <w:tcPr>
            <w:tcW w:w="815" w:type="dxa"/>
            <w:shd w:val="clear" w:color="auto" w:fill="FFFFFF"/>
            <w:tcMar>
              <w:left w:w="60" w:type="dxa"/>
              <w:right w:w="60" w:type="dxa"/>
            </w:tcMar>
          </w:tcPr>
          <w:p w14:paraId="55CCBD7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37.9</w:t>
            </w:r>
          </w:p>
        </w:tc>
        <w:tc>
          <w:tcPr>
            <w:tcW w:w="815" w:type="dxa"/>
            <w:shd w:val="clear" w:color="auto" w:fill="FFFFFF"/>
            <w:tcMar>
              <w:left w:w="60" w:type="dxa"/>
              <w:right w:w="60" w:type="dxa"/>
            </w:tcMar>
          </w:tcPr>
          <w:p w14:paraId="2A8D86E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127D0B6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10.0</w:t>
            </w:r>
          </w:p>
        </w:tc>
      </w:tr>
      <w:tr w:rsidR="00445EEE" w:rsidRPr="00445EEE" w14:paraId="3A4D5F63" w14:textId="77777777" w:rsidTr="008452F4">
        <w:trPr>
          <w:cantSplit/>
          <w:jc w:val="center"/>
        </w:trPr>
        <w:tc>
          <w:tcPr>
            <w:tcW w:w="3780" w:type="dxa"/>
            <w:shd w:val="clear" w:color="auto" w:fill="FFFFFF"/>
            <w:tcMar>
              <w:left w:w="60" w:type="dxa"/>
              <w:right w:w="60" w:type="dxa"/>
            </w:tcMar>
          </w:tcPr>
          <w:p w14:paraId="13E3D2AF"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Incoordination</w:t>
            </w:r>
          </w:p>
        </w:tc>
        <w:tc>
          <w:tcPr>
            <w:tcW w:w="815" w:type="dxa"/>
            <w:shd w:val="clear" w:color="auto" w:fill="FFFFFF"/>
            <w:tcMar>
              <w:left w:w="60" w:type="dxa"/>
              <w:right w:w="60" w:type="dxa"/>
            </w:tcMar>
          </w:tcPr>
          <w:p w14:paraId="2616410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w:t>
            </w:r>
          </w:p>
        </w:tc>
        <w:tc>
          <w:tcPr>
            <w:tcW w:w="815" w:type="dxa"/>
            <w:shd w:val="clear" w:color="auto" w:fill="FFFFFF"/>
            <w:tcMar>
              <w:left w:w="60" w:type="dxa"/>
              <w:right w:w="60" w:type="dxa"/>
            </w:tcMar>
          </w:tcPr>
          <w:p w14:paraId="3EC90E3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20.7</w:t>
            </w:r>
          </w:p>
        </w:tc>
        <w:tc>
          <w:tcPr>
            <w:tcW w:w="815" w:type="dxa"/>
            <w:shd w:val="clear" w:color="auto" w:fill="FFFFFF"/>
            <w:tcMar>
              <w:left w:w="60" w:type="dxa"/>
              <w:right w:w="60" w:type="dxa"/>
            </w:tcMar>
          </w:tcPr>
          <w:p w14:paraId="4232628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1FB21D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6A66740F" w14:textId="77777777" w:rsidTr="008452F4">
        <w:trPr>
          <w:cantSplit/>
          <w:jc w:val="center"/>
        </w:trPr>
        <w:tc>
          <w:tcPr>
            <w:tcW w:w="3780" w:type="dxa"/>
            <w:shd w:val="clear" w:color="auto" w:fill="FFFFFF"/>
            <w:tcMar>
              <w:left w:w="60" w:type="dxa"/>
              <w:right w:w="60" w:type="dxa"/>
            </w:tcMar>
          </w:tcPr>
          <w:p w14:paraId="45513A99"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Confusion</w:t>
            </w:r>
          </w:p>
        </w:tc>
        <w:tc>
          <w:tcPr>
            <w:tcW w:w="815" w:type="dxa"/>
            <w:shd w:val="clear" w:color="auto" w:fill="FFFFFF"/>
            <w:tcMar>
              <w:left w:w="60" w:type="dxa"/>
              <w:right w:w="60" w:type="dxa"/>
            </w:tcMar>
          </w:tcPr>
          <w:p w14:paraId="5841CD0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w:t>
            </w:r>
          </w:p>
        </w:tc>
        <w:tc>
          <w:tcPr>
            <w:tcW w:w="815" w:type="dxa"/>
            <w:shd w:val="clear" w:color="auto" w:fill="FFFFFF"/>
            <w:tcMar>
              <w:left w:w="60" w:type="dxa"/>
              <w:right w:w="60" w:type="dxa"/>
            </w:tcMar>
          </w:tcPr>
          <w:p w14:paraId="6F648B3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20.7</w:t>
            </w:r>
          </w:p>
        </w:tc>
        <w:tc>
          <w:tcPr>
            <w:tcW w:w="815" w:type="dxa"/>
            <w:shd w:val="clear" w:color="auto" w:fill="FFFFFF"/>
            <w:tcMar>
              <w:left w:w="60" w:type="dxa"/>
              <w:right w:w="60" w:type="dxa"/>
            </w:tcMar>
          </w:tcPr>
          <w:p w14:paraId="7F3EBEB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527294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176FAE8E" w14:textId="77777777" w:rsidTr="008452F4">
        <w:trPr>
          <w:cantSplit/>
          <w:jc w:val="center"/>
        </w:trPr>
        <w:tc>
          <w:tcPr>
            <w:tcW w:w="3780" w:type="dxa"/>
            <w:shd w:val="clear" w:color="auto" w:fill="FFFFFF"/>
            <w:tcMar>
              <w:left w:w="60" w:type="dxa"/>
              <w:right w:w="60" w:type="dxa"/>
            </w:tcMar>
          </w:tcPr>
          <w:p w14:paraId="777F4E4B"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Drowsiness</w:t>
            </w:r>
          </w:p>
        </w:tc>
        <w:tc>
          <w:tcPr>
            <w:tcW w:w="815" w:type="dxa"/>
            <w:shd w:val="clear" w:color="auto" w:fill="FFFFFF"/>
            <w:tcMar>
              <w:left w:w="60" w:type="dxa"/>
              <w:right w:w="60" w:type="dxa"/>
            </w:tcMar>
          </w:tcPr>
          <w:p w14:paraId="69EB943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4</w:t>
            </w:r>
          </w:p>
        </w:tc>
        <w:tc>
          <w:tcPr>
            <w:tcW w:w="815" w:type="dxa"/>
            <w:shd w:val="clear" w:color="auto" w:fill="FFFFFF"/>
            <w:tcMar>
              <w:left w:w="60" w:type="dxa"/>
              <w:right w:w="60" w:type="dxa"/>
            </w:tcMar>
          </w:tcPr>
          <w:p w14:paraId="0DA1333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13.8</w:t>
            </w:r>
          </w:p>
        </w:tc>
        <w:tc>
          <w:tcPr>
            <w:tcW w:w="815" w:type="dxa"/>
            <w:shd w:val="clear" w:color="auto" w:fill="FFFFFF"/>
            <w:tcMar>
              <w:left w:w="60" w:type="dxa"/>
              <w:right w:w="60" w:type="dxa"/>
            </w:tcMar>
          </w:tcPr>
          <w:p w14:paraId="7C373BF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4</w:t>
            </w:r>
          </w:p>
        </w:tc>
        <w:tc>
          <w:tcPr>
            <w:tcW w:w="815" w:type="dxa"/>
            <w:shd w:val="clear" w:color="auto" w:fill="FFFFFF"/>
            <w:tcMar>
              <w:left w:w="60" w:type="dxa"/>
              <w:right w:w="60" w:type="dxa"/>
            </w:tcMar>
          </w:tcPr>
          <w:p w14:paraId="6E0380C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13.3</w:t>
            </w:r>
          </w:p>
        </w:tc>
      </w:tr>
      <w:tr w:rsidR="00445EEE" w:rsidRPr="00445EEE" w14:paraId="1BD9379B" w14:textId="77777777" w:rsidTr="008452F4">
        <w:trPr>
          <w:cantSplit/>
          <w:jc w:val="center"/>
        </w:trPr>
        <w:tc>
          <w:tcPr>
            <w:tcW w:w="3780" w:type="dxa"/>
            <w:shd w:val="clear" w:color="auto" w:fill="FFFFFF"/>
            <w:tcMar>
              <w:left w:w="60" w:type="dxa"/>
              <w:right w:w="60" w:type="dxa"/>
            </w:tcMar>
          </w:tcPr>
          <w:p w14:paraId="32883EDA"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Fatigue</w:t>
            </w:r>
          </w:p>
        </w:tc>
        <w:tc>
          <w:tcPr>
            <w:tcW w:w="815" w:type="dxa"/>
            <w:shd w:val="clear" w:color="auto" w:fill="FFFFFF"/>
            <w:tcMar>
              <w:left w:w="60" w:type="dxa"/>
              <w:right w:w="60" w:type="dxa"/>
            </w:tcMar>
          </w:tcPr>
          <w:p w14:paraId="2FDFECB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4</w:t>
            </w:r>
          </w:p>
        </w:tc>
        <w:tc>
          <w:tcPr>
            <w:tcW w:w="815" w:type="dxa"/>
            <w:shd w:val="clear" w:color="auto" w:fill="FFFFFF"/>
            <w:tcMar>
              <w:left w:w="60" w:type="dxa"/>
              <w:right w:w="60" w:type="dxa"/>
            </w:tcMar>
          </w:tcPr>
          <w:p w14:paraId="3C87FE5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13.8</w:t>
            </w:r>
          </w:p>
        </w:tc>
        <w:tc>
          <w:tcPr>
            <w:tcW w:w="815" w:type="dxa"/>
            <w:shd w:val="clear" w:color="auto" w:fill="FFFFFF"/>
            <w:tcMar>
              <w:left w:w="60" w:type="dxa"/>
              <w:right w:w="60" w:type="dxa"/>
            </w:tcMar>
          </w:tcPr>
          <w:p w14:paraId="4834563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1ADC98A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10.0</w:t>
            </w:r>
          </w:p>
        </w:tc>
      </w:tr>
      <w:tr w:rsidR="00445EEE" w:rsidRPr="00445EEE" w14:paraId="221D8D1E" w14:textId="77777777" w:rsidTr="008452F4">
        <w:trPr>
          <w:cantSplit/>
          <w:jc w:val="center"/>
        </w:trPr>
        <w:tc>
          <w:tcPr>
            <w:tcW w:w="3780" w:type="dxa"/>
            <w:shd w:val="clear" w:color="auto" w:fill="FFFFFF"/>
            <w:tcMar>
              <w:left w:w="60" w:type="dxa"/>
              <w:right w:w="60" w:type="dxa"/>
            </w:tcMar>
          </w:tcPr>
          <w:p w14:paraId="7736EF3A"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Visual hallucinations</w:t>
            </w:r>
          </w:p>
        </w:tc>
        <w:tc>
          <w:tcPr>
            <w:tcW w:w="815" w:type="dxa"/>
            <w:shd w:val="clear" w:color="auto" w:fill="FFFFFF"/>
            <w:tcMar>
              <w:left w:w="60" w:type="dxa"/>
              <w:right w:w="60" w:type="dxa"/>
            </w:tcMar>
          </w:tcPr>
          <w:p w14:paraId="11846D9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4</w:t>
            </w:r>
          </w:p>
        </w:tc>
        <w:tc>
          <w:tcPr>
            <w:tcW w:w="815" w:type="dxa"/>
            <w:shd w:val="clear" w:color="auto" w:fill="FFFFFF"/>
            <w:tcMar>
              <w:left w:w="60" w:type="dxa"/>
              <w:right w:w="60" w:type="dxa"/>
            </w:tcMar>
          </w:tcPr>
          <w:p w14:paraId="206C4A4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13.8</w:t>
            </w:r>
          </w:p>
        </w:tc>
        <w:tc>
          <w:tcPr>
            <w:tcW w:w="815" w:type="dxa"/>
            <w:shd w:val="clear" w:color="auto" w:fill="FFFFFF"/>
            <w:tcMar>
              <w:left w:w="60" w:type="dxa"/>
              <w:right w:w="60" w:type="dxa"/>
            </w:tcMar>
          </w:tcPr>
          <w:p w14:paraId="756AC0F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B79938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7E6A64D6" w14:textId="77777777" w:rsidTr="008452F4">
        <w:trPr>
          <w:cantSplit/>
          <w:jc w:val="center"/>
        </w:trPr>
        <w:tc>
          <w:tcPr>
            <w:tcW w:w="3780" w:type="dxa"/>
            <w:shd w:val="clear" w:color="auto" w:fill="FFFFFF"/>
            <w:tcMar>
              <w:left w:w="60" w:type="dxa"/>
              <w:right w:w="60" w:type="dxa"/>
            </w:tcMar>
          </w:tcPr>
          <w:p w14:paraId="62BB8107"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Headache</w:t>
            </w:r>
          </w:p>
        </w:tc>
        <w:tc>
          <w:tcPr>
            <w:tcW w:w="815" w:type="dxa"/>
            <w:shd w:val="clear" w:color="auto" w:fill="FFFFFF"/>
            <w:tcMar>
              <w:left w:w="60" w:type="dxa"/>
              <w:right w:w="60" w:type="dxa"/>
            </w:tcMar>
          </w:tcPr>
          <w:p w14:paraId="4E51CE2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335F45A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10.3</w:t>
            </w:r>
          </w:p>
        </w:tc>
        <w:tc>
          <w:tcPr>
            <w:tcW w:w="815" w:type="dxa"/>
            <w:shd w:val="clear" w:color="auto" w:fill="FFFFFF"/>
            <w:tcMar>
              <w:left w:w="60" w:type="dxa"/>
              <w:right w:w="60" w:type="dxa"/>
            </w:tcMar>
          </w:tcPr>
          <w:p w14:paraId="68FFDF1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w:t>
            </w:r>
          </w:p>
        </w:tc>
        <w:tc>
          <w:tcPr>
            <w:tcW w:w="815" w:type="dxa"/>
            <w:shd w:val="clear" w:color="auto" w:fill="FFFFFF"/>
            <w:tcMar>
              <w:left w:w="60" w:type="dxa"/>
              <w:right w:w="60" w:type="dxa"/>
            </w:tcMar>
          </w:tcPr>
          <w:p w14:paraId="3B1DB9B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20.0</w:t>
            </w:r>
          </w:p>
        </w:tc>
      </w:tr>
      <w:tr w:rsidR="00445EEE" w:rsidRPr="00445EEE" w14:paraId="42F633A8" w14:textId="77777777" w:rsidTr="008452F4">
        <w:trPr>
          <w:cantSplit/>
          <w:jc w:val="center"/>
        </w:trPr>
        <w:tc>
          <w:tcPr>
            <w:tcW w:w="3780" w:type="dxa"/>
            <w:shd w:val="clear" w:color="auto" w:fill="FFFFFF"/>
            <w:tcMar>
              <w:left w:w="60" w:type="dxa"/>
              <w:right w:w="60" w:type="dxa"/>
            </w:tcMar>
          </w:tcPr>
          <w:p w14:paraId="52AB7142"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Blurred vision</w:t>
            </w:r>
          </w:p>
        </w:tc>
        <w:tc>
          <w:tcPr>
            <w:tcW w:w="815" w:type="dxa"/>
            <w:shd w:val="clear" w:color="auto" w:fill="FFFFFF"/>
            <w:tcMar>
              <w:left w:w="60" w:type="dxa"/>
              <w:right w:w="60" w:type="dxa"/>
            </w:tcMar>
          </w:tcPr>
          <w:p w14:paraId="1624D33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1DC7771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10.3</w:t>
            </w:r>
          </w:p>
        </w:tc>
        <w:tc>
          <w:tcPr>
            <w:tcW w:w="815" w:type="dxa"/>
            <w:shd w:val="clear" w:color="auto" w:fill="FFFFFF"/>
            <w:tcMar>
              <w:left w:w="60" w:type="dxa"/>
              <w:right w:w="60" w:type="dxa"/>
            </w:tcMar>
          </w:tcPr>
          <w:p w14:paraId="08316BB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AFE906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15131B74" w14:textId="77777777" w:rsidTr="008452F4">
        <w:trPr>
          <w:cantSplit/>
          <w:jc w:val="center"/>
        </w:trPr>
        <w:tc>
          <w:tcPr>
            <w:tcW w:w="3780" w:type="dxa"/>
            <w:shd w:val="clear" w:color="auto" w:fill="FFFFFF"/>
            <w:tcMar>
              <w:left w:w="60" w:type="dxa"/>
              <w:right w:w="60" w:type="dxa"/>
            </w:tcMar>
          </w:tcPr>
          <w:p w14:paraId="7A287A16"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Brain fog</w:t>
            </w:r>
          </w:p>
        </w:tc>
        <w:tc>
          <w:tcPr>
            <w:tcW w:w="815" w:type="dxa"/>
            <w:shd w:val="clear" w:color="auto" w:fill="FFFFFF"/>
            <w:tcMar>
              <w:left w:w="60" w:type="dxa"/>
              <w:right w:w="60" w:type="dxa"/>
            </w:tcMar>
          </w:tcPr>
          <w:p w14:paraId="7DE097D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2C2D60F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10.3</w:t>
            </w:r>
          </w:p>
        </w:tc>
        <w:tc>
          <w:tcPr>
            <w:tcW w:w="815" w:type="dxa"/>
            <w:shd w:val="clear" w:color="auto" w:fill="FFFFFF"/>
            <w:tcMar>
              <w:left w:w="60" w:type="dxa"/>
              <w:right w:w="60" w:type="dxa"/>
            </w:tcMar>
          </w:tcPr>
          <w:p w14:paraId="63EE433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69674F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3BA87471" w14:textId="77777777" w:rsidTr="008452F4">
        <w:trPr>
          <w:cantSplit/>
          <w:jc w:val="center"/>
        </w:trPr>
        <w:tc>
          <w:tcPr>
            <w:tcW w:w="3780" w:type="dxa"/>
            <w:shd w:val="clear" w:color="auto" w:fill="FFFFFF"/>
            <w:tcMar>
              <w:left w:w="60" w:type="dxa"/>
              <w:right w:w="60" w:type="dxa"/>
            </w:tcMar>
          </w:tcPr>
          <w:p w14:paraId="1910E931"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Eye floaters</w:t>
            </w:r>
          </w:p>
        </w:tc>
        <w:tc>
          <w:tcPr>
            <w:tcW w:w="815" w:type="dxa"/>
            <w:shd w:val="clear" w:color="auto" w:fill="FFFFFF"/>
            <w:tcMar>
              <w:left w:w="60" w:type="dxa"/>
              <w:right w:w="60" w:type="dxa"/>
            </w:tcMar>
          </w:tcPr>
          <w:p w14:paraId="38CEAB2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6B89EE4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10.3</w:t>
            </w:r>
          </w:p>
        </w:tc>
        <w:tc>
          <w:tcPr>
            <w:tcW w:w="815" w:type="dxa"/>
            <w:shd w:val="clear" w:color="auto" w:fill="FFFFFF"/>
            <w:tcMar>
              <w:left w:w="60" w:type="dxa"/>
              <w:right w:w="60" w:type="dxa"/>
            </w:tcMar>
          </w:tcPr>
          <w:p w14:paraId="25863F0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A2DD74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27510577" w14:textId="77777777" w:rsidTr="008452F4">
        <w:trPr>
          <w:cantSplit/>
          <w:jc w:val="center"/>
        </w:trPr>
        <w:tc>
          <w:tcPr>
            <w:tcW w:w="3780" w:type="dxa"/>
            <w:shd w:val="clear" w:color="auto" w:fill="FFFFFF"/>
            <w:tcMar>
              <w:left w:w="60" w:type="dxa"/>
              <w:right w:w="60" w:type="dxa"/>
            </w:tcMar>
          </w:tcPr>
          <w:p w14:paraId="4887EEFD"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Impairment of attention</w:t>
            </w:r>
          </w:p>
        </w:tc>
        <w:tc>
          <w:tcPr>
            <w:tcW w:w="815" w:type="dxa"/>
            <w:shd w:val="clear" w:color="auto" w:fill="FFFFFF"/>
            <w:tcMar>
              <w:left w:w="60" w:type="dxa"/>
              <w:right w:w="60" w:type="dxa"/>
            </w:tcMar>
          </w:tcPr>
          <w:p w14:paraId="21E834E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644174D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10.3</w:t>
            </w:r>
          </w:p>
        </w:tc>
        <w:tc>
          <w:tcPr>
            <w:tcW w:w="815" w:type="dxa"/>
            <w:shd w:val="clear" w:color="auto" w:fill="FFFFFF"/>
            <w:tcMar>
              <w:left w:w="60" w:type="dxa"/>
              <w:right w:w="60" w:type="dxa"/>
            </w:tcMar>
          </w:tcPr>
          <w:p w14:paraId="3E2BC1B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FB3FF2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37F10B14" w14:textId="77777777" w:rsidTr="008452F4">
        <w:trPr>
          <w:cantSplit/>
          <w:jc w:val="center"/>
        </w:trPr>
        <w:tc>
          <w:tcPr>
            <w:tcW w:w="3780" w:type="dxa"/>
            <w:shd w:val="clear" w:color="auto" w:fill="FFFFFF"/>
            <w:tcMar>
              <w:left w:w="60" w:type="dxa"/>
              <w:right w:w="60" w:type="dxa"/>
            </w:tcMar>
          </w:tcPr>
          <w:p w14:paraId="6A4B6ED5"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Memory impaired</w:t>
            </w:r>
          </w:p>
        </w:tc>
        <w:tc>
          <w:tcPr>
            <w:tcW w:w="815" w:type="dxa"/>
            <w:shd w:val="clear" w:color="auto" w:fill="FFFFFF"/>
            <w:tcMar>
              <w:left w:w="60" w:type="dxa"/>
              <w:right w:w="60" w:type="dxa"/>
            </w:tcMar>
          </w:tcPr>
          <w:p w14:paraId="6AE7E1F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5CD4422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10.3</w:t>
            </w:r>
          </w:p>
        </w:tc>
        <w:tc>
          <w:tcPr>
            <w:tcW w:w="815" w:type="dxa"/>
            <w:shd w:val="clear" w:color="auto" w:fill="FFFFFF"/>
            <w:tcMar>
              <w:left w:w="60" w:type="dxa"/>
              <w:right w:w="60" w:type="dxa"/>
            </w:tcMar>
          </w:tcPr>
          <w:p w14:paraId="55FABD6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0F407C6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20B4E2C8" w14:textId="77777777" w:rsidTr="008452F4">
        <w:trPr>
          <w:cantSplit/>
          <w:jc w:val="center"/>
        </w:trPr>
        <w:tc>
          <w:tcPr>
            <w:tcW w:w="3780" w:type="dxa"/>
            <w:shd w:val="clear" w:color="auto" w:fill="FFFFFF"/>
            <w:tcMar>
              <w:left w:w="60" w:type="dxa"/>
              <w:right w:w="60" w:type="dxa"/>
            </w:tcMar>
          </w:tcPr>
          <w:p w14:paraId="3542D6AF"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Word finding difficulty</w:t>
            </w:r>
          </w:p>
        </w:tc>
        <w:tc>
          <w:tcPr>
            <w:tcW w:w="815" w:type="dxa"/>
            <w:shd w:val="clear" w:color="auto" w:fill="FFFFFF"/>
            <w:tcMar>
              <w:left w:w="60" w:type="dxa"/>
              <w:right w:w="60" w:type="dxa"/>
            </w:tcMar>
          </w:tcPr>
          <w:p w14:paraId="6032B7F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14C74D2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10.3</w:t>
            </w:r>
          </w:p>
        </w:tc>
        <w:tc>
          <w:tcPr>
            <w:tcW w:w="815" w:type="dxa"/>
            <w:shd w:val="clear" w:color="auto" w:fill="FFFFFF"/>
            <w:tcMar>
              <w:left w:w="60" w:type="dxa"/>
              <w:right w:w="60" w:type="dxa"/>
            </w:tcMar>
          </w:tcPr>
          <w:p w14:paraId="3CE7984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BC99DB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1B037719" w14:textId="77777777" w:rsidTr="008452F4">
        <w:trPr>
          <w:cantSplit/>
          <w:jc w:val="center"/>
        </w:trPr>
        <w:tc>
          <w:tcPr>
            <w:tcW w:w="3780" w:type="dxa"/>
            <w:shd w:val="clear" w:color="auto" w:fill="FFFFFF"/>
            <w:tcMar>
              <w:left w:w="60" w:type="dxa"/>
              <w:right w:w="60" w:type="dxa"/>
            </w:tcMar>
          </w:tcPr>
          <w:p w14:paraId="566CCFF2"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Nausea</w:t>
            </w:r>
          </w:p>
        </w:tc>
        <w:tc>
          <w:tcPr>
            <w:tcW w:w="815" w:type="dxa"/>
            <w:shd w:val="clear" w:color="auto" w:fill="FFFFFF"/>
            <w:tcMar>
              <w:left w:w="60" w:type="dxa"/>
              <w:right w:w="60" w:type="dxa"/>
            </w:tcMar>
          </w:tcPr>
          <w:p w14:paraId="2772671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6AE9673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172AB4D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5C67F3D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10.0</w:t>
            </w:r>
          </w:p>
        </w:tc>
      </w:tr>
      <w:tr w:rsidR="00445EEE" w:rsidRPr="00445EEE" w14:paraId="51E14FA4" w14:textId="77777777" w:rsidTr="008452F4">
        <w:trPr>
          <w:cantSplit/>
          <w:jc w:val="center"/>
        </w:trPr>
        <w:tc>
          <w:tcPr>
            <w:tcW w:w="3780" w:type="dxa"/>
            <w:shd w:val="clear" w:color="auto" w:fill="FFFFFF"/>
            <w:tcMar>
              <w:left w:w="60" w:type="dxa"/>
              <w:right w:w="60" w:type="dxa"/>
            </w:tcMar>
          </w:tcPr>
          <w:p w14:paraId="6EFCBFB0"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Urinary urgency</w:t>
            </w:r>
          </w:p>
        </w:tc>
        <w:tc>
          <w:tcPr>
            <w:tcW w:w="815" w:type="dxa"/>
            <w:shd w:val="clear" w:color="auto" w:fill="FFFFFF"/>
            <w:tcMar>
              <w:left w:w="60" w:type="dxa"/>
              <w:right w:w="60" w:type="dxa"/>
            </w:tcMar>
          </w:tcPr>
          <w:p w14:paraId="7152B95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0D9C7EB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47B5288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0BE1009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6.7</w:t>
            </w:r>
          </w:p>
        </w:tc>
      </w:tr>
      <w:tr w:rsidR="00445EEE" w:rsidRPr="00445EEE" w14:paraId="0946DA99" w14:textId="77777777" w:rsidTr="008452F4">
        <w:trPr>
          <w:cantSplit/>
          <w:jc w:val="center"/>
        </w:trPr>
        <w:tc>
          <w:tcPr>
            <w:tcW w:w="3780" w:type="dxa"/>
            <w:shd w:val="clear" w:color="auto" w:fill="FFFFFF"/>
            <w:tcMar>
              <w:left w:w="60" w:type="dxa"/>
              <w:right w:w="60" w:type="dxa"/>
            </w:tcMar>
          </w:tcPr>
          <w:p w14:paraId="4BB920CB"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Dry mouth</w:t>
            </w:r>
          </w:p>
        </w:tc>
        <w:tc>
          <w:tcPr>
            <w:tcW w:w="815" w:type="dxa"/>
            <w:shd w:val="clear" w:color="auto" w:fill="FFFFFF"/>
            <w:tcMar>
              <w:left w:w="60" w:type="dxa"/>
              <w:right w:w="60" w:type="dxa"/>
            </w:tcMar>
          </w:tcPr>
          <w:p w14:paraId="182BD9E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6553115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3ECD06B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A8707E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1E5E96B1" w14:textId="77777777" w:rsidTr="008452F4">
        <w:trPr>
          <w:cantSplit/>
          <w:jc w:val="center"/>
        </w:trPr>
        <w:tc>
          <w:tcPr>
            <w:tcW w:w="3780" w:type="dxa"/>
            <w:shd w:val="clear" w:color="auto" w:fill="FFFFFF"/>
            <w:tcMar>
              <w:left w:w="60" w:type="dxa"/>
              <w:right w:w="60" w:type="dxa"/>
            </w:tcMar>
          </w:tcPr>
          <w:p w14:paraId="7E3CE377"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Groggy</w:t>
            </w:r>
          </w:p>
        </w:tc>
        <w:tc>
          <w:tcPr>
            <w:tcW w:w="815" w:type="dxa"/>
            <w:shd w:val="clear" w:color="auto" w:fill="FFFFFF"/>
            <w:tcMar>
              <w:left w:w="60" w:type="dxa"/>
              <w:right w:w="60" w:type="dxa"/>
            </w:tcMar>
          </w:tcPr>
          <w:p w14:paraId="00EF3BC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74D5ECC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4DE98F2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14265A3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6C01A4A2" w14:textId="77777777" w:rsidTr="008452F4">
        <w:trPr>
          <w:cantSplit/>
          <w:jc w:val="center"/>
        </w:trPr>
        <w:tc>
          <w:tcPr>
            <w:tcW w:w="3780" w:type="dxa"/>
            <w:shd w:val="clear" w:color="auto" w:fill="FFFFFF"/>
            <w:tcMar>
              <w:left w:w="60" w:type="dxa"/>
              <w:right w:w="60" w:type="dxa"/>
            </w:tcMar>
          </w:tcPr>
          <w:p w14:paraId="2DC7C112"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Sinus infection</w:t>
            </w:r>
          </w:p>
        </w:tc>
        <w:tc>
          <w:tcPr>
            <w:tcW w:w="815" w:type="dxa"/>
            <w:shd w:val="clear" w:color="auto" w:fill="FFFFFF"/>
            <w:tcMar>
              <w:left w:w="60" w:type="dxa"/>
              <w:right w:w="60" w:type="dxa"/>
            </w:tcMar>
          </w:tcPr>
          <w:p w14:paraId="63468EE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24E60D9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28A323A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59ABAE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08D0F2FA" w14:textId="77777777" w:rsidTr="008452F4">
        <w:trPr>
          <w:cantSplit/>
          <w:jc w:val="center"/>
        </w:trPr>
        <w:tc>
          <w:tcPr>
            <w:tcW w:w="3780" w:type="dxa"/>
            <w:shd w:val="clear" w:color="auto" w:fill="FFFFFF"/>
            <w:tcMar>
              <w:left w:w="60" w:type="dxa"/>
              <w:right w:w="60" w:type="dxa"/>
            </w:tcMar>
          </w:tcPr>
          <w:p w14:paraId="1615BDD6"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Thinking disturbances</w:t>
            </w:r>
          </w:p>
        </w:tc>
        <w:tc>
          <w:tcPr>
            <w:tcW w:w="815" w:type="dxa"/>
            <w:shd w:val="clear" w:color="auto" w:fill="FFFFFF"/>
            <w:tcMar>
              <w:left w:w="60" w:type="dxa"/>
              <w:right w:w="60" w:type="dxa"/>
            </w:tcMar>
          </w:tcPr>
          <w:p w14:paraId="5B206C4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05E66F6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744BADA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652FD6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79C21DF4" w14:textId="77777777" w:rsidTr="008452F4">
        <w:trPr>
          <w:cantSplit/>
          <w:jc w:val="center"/>
        </w:trPr>
        <w:tc>
          <w:tcPr>
            <w:tcW w:w="3780" w:type="dxa"/>
            <w:shd w:val="clear" w:color="auto" w:fill="FFFFFF"/>
            <w:tcMar>
              <w:left w:w="60" w:type="dxa"/>
              <w:right w:w="60" w:type="dxa"/>
            </w:tcMar>
          </w:tcPr>
          <w:p w14:paraId="53061305"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Tingling</w:t>
            </w:r>
          </w:p>
        </w:tc>
        <w:tc>
          <w:tcPr>
            <w:tcW w:w="815" w:type="dxa"/>
            <w:shd w:val="clear" w:color="auto" w:fill="FFFFFF"/>
            <w:tcMar>
              <w:left w:w="60" w:type="dxa"/>
              <w:right w:w="60" w:type="dxa"/>
            </w:tcMar>
          </w:tcPr>
          <w:p w14:paraId="2B149B7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509D906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47B9ADA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3947277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4BB9FFF1" w14:textId="77777777" w:rsidTr="008452F4">
        <w:trPr>
          <w:cantSplit/>
          <w:jc w:val="center"/>
        </w:trPr>
        <w:tc>
          <w:tcPr>
            <w:tcW w:w="3780" w:type="dxa"/>
            <w:shd w:val="clear" w:color="auto" w:fill="FFFFFF"/>
            <w:tcMar>
              <w:left w:w="60" w:type="dxa"/>
              <w:right w:w="60" w:type="dxa"/>
            </w:tcMar>
          </w:tcPr>
          <w:p w14:paraId="2704010B"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Tremor</w:t>
            </w:r>
          </w:p>
        </w:tc>
        <w:tc>
          <w:tcPr>
            <w:tcW w:w="815" w:type="dxa"/>
            <w:shd w:val="clear" w:color="auto" w:fill="FFFFFF"/>
            <w:tcMar>
              <w:left w:w="60" w:type="dxa"/>
              <w:right w:w="60" w:type="dxa"/>
            </w:tcMar>
          </w:tcPr>
          <w:p w14:paraId="5FA8CFF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6A3E65A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76CEC9B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61CD8E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6D7B7675" w14:textId="77777777" w:rsidTr="008452F4">
        <w:trPr>
          <w:cantSplit/>
          <w:jc w:val="center"/>
        </w:trPr>
        <w:tc>
          <w:tcPr>
            <w:tcW w:w="3780" w:type="dxa"/>
            <w:shd w:val="clear" w:color="auto" w:fill="FFFFFF"/>
            <w:tcMar>
              <w:left w:w="60" w:type="dxa"/>
              <w:right w:w="60" w:type="dxa"/>
            </w:tcMar>
          </w:tcPr>
          <w:p w14:paraId="399C9B4A"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Urinary tract infection</w:t>
            </w:r>
          </w:p>
        </w:tc>
        <w:tc>
          <w:tcPr>
            <w:tcW w:w="815" w:type="dxa"/>
            <w:shd w:val="clear" w:color="auto" w:fill="FFFFFF"/>
            <w:tcMar>
              <w:left w:w="60" w:type="dxa"/>
              <w:right w:w="60" w:type="dxa"/>
            </w:tcMar>
          </w:tcPr>
          <w:p w14:paraId="47FE3E7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7FAE901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6.9</w:t>
            </w:r>
          </w:p>
        </w:tc>
        <w:tc>
          <w:tcPr>
            <w:tcW w:w="815" w:type="dxa"/>
            <w:shd w:val="clear" w:color="auto" w:fill="FFFFFF"/>
            <w:tcMar>
              <w:left w:w="60" w:type="dxa"/>
              <w:right w:w="60" w:type="dxa"/>
            </w:tcMar>
          </w:tcPr>
          <w:p w14:paraId="66DA21F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5956AEC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3B77F6FB" w14:textId="77777777" w:rsidTr="008452F4">
        <w:trPr>
          <w:cantSplit/>
          <w:jc w:val="center"/>
        </w:trPr>
        <w:tc>
          <w:tcPr>
            <w:tcW w:w="3780" w:type="dxa"/>
            <w:shd w:val="clear" w:color="auto" w:fill="FFFFFF"/>
            <w:tcMar>
              <w:left w:w="60" w:type="dxa"/>
              <w:right w:w="60" w:type="dxa"/>
            </w:tcMar>
          </w:tcPr>
          <w:p w14:paraId="347C5DDE"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Back pain</w:t>
            </w:r>
          </w:p>
        </w:tc>
        <w:tc>
          <w:tcPr>
            <w:tcW w:w="815" w:type="dxa"/>
            <w:shd w:val="clear" w:color="auto" w:fill="FFFFFF"/>
            <w:tcMar>
              <w:left w:w="60" w:type="dxa"/>
              <w:right w:w="60" w:type="dxa"/>
            </w:tcMar>
          </w:tcPr>
          <w:p w14:paraId="2229CEC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38EDE2C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1921171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2580062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10.0</w:t>
            </w:r>
          </w:p>
        </w:tc>
      </w:tr>
      <w:tr w:rsidR="00445EEE" w:rsidRPr="00445EEE" w14:paraId="6B962814" w14:textId="77777777" w:rsidTr="008452F4">
        <w:trPr>
          <w:cantSplit/>
          <w:jc w:val="center"/>
        </w:trPr>
        <w:tc>
          <w:tcPr>
            <w:tcW w:w="3780" w:type="dxa"/>
            <w:shd w:val="clear" w:color="auto" w:fill="FFFFFF"/>
            <w:tcMar>
              <w:left w:w="60" w:type="dxa"/>
              <w:right w:w="60" w:type="dxa"/>
            </w:tcMar>
          </w:tcPr>
          <w:p w14:paraId="044AD09B"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Upper respiratory tract infection</w:t>
            </w:r>
          </w:p>
        </w:tc>
        <w:tc>
          <w:tcPr>
            <w:tcW w:w="815" w:type="dxa"/>
            <w:shd w:val="clear" w:color="auto" w:fill="FFFFFF"/>
            <w:tcMar>
              <w:left w:w="60" w:type="dxa"/>
              <w:right w:w="60" w:type="dxa"/>
            </w:tcMar>
          </w:tcPr>
          <w:p w14:paraId="4531807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171AD50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7B6B98C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w:t>
            </w:r>
          </w:p>
        </w:tc>
        <w:tc>
          <w:tcPr>
            <w:tcW w:w="815" w:type="dxa"/>
            <w:shd w:val="clear" w:color="auto" w:fill="FFFFFF"/>
            <w:tcMar>
              <w:left w:w="60" w:type="dxa"/>
              <w:right w:w="60" w:type="dxa"/>
            </w:tcMar>
          </w:tcPr>
          <w:p w14:paraId="69CFFFD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10.0</w:t>
            </w:r>
          </w:p>
        </w:tc>
      </w:tr>
      <w:tr w:rsidR="00445EEE" w:rsidRPr="00445EEE" w14:paraId="18BD7A34" w14:textId="77777777" w:rsidTr="008452F4">
        <w:trPr>
          <w:cantSplit/>
          <w:jc w:val="center"/>
        </w:trPr>
        <w:tc>
          <w:tcPr>
            <w:tcW w:w="3780" w:type="dxa"/>
            <w:shd w:val="clear" w:color="auto" w:fill="FFFFFF"/>
            <w:tcMar>
              <w:left w:w="60" w:type="dxa"/>
              <w:right w:w="60" w:type="dxa"/>
            </w:tcMar>
          </w:tcPr>
          <w:p w14:paraId="7A8C6CB7"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Anxiety</w:t>
            </w:r>
          </w:p>
        </w:tc>
        <w:tc>
          <w:tcPr>
            <w:tcW w:w="815" w:type="dxa"/>
            <w:shd w:val="clear" w:color="auto" w:fill="FFFFFF"/>
            <w:tcMar>
              <w:left w:w="60" w:type="dxa"/>
              <w:right w:w="60" w:type="dxa"/>
            </w:tcMar>
          </w:tcPr>
          <w:p w14:paraId="7833A69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08A96F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0FCD7C4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925C32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31843AA4" w14:textId="77777777" w:rsidTr="008452F4">
        <w:trPr>
          <w:cantSplit/>
          <w:jc w:val="center"/>
        </w:trPr>
        <w:tc>
          <w:tcPr>
            <w:tcW w:w="3780" w:type="dxa"/>
            <w:shd w:val="clear" w:color="auto" w:fill="FFFFFF"/>
            <w:tcMar>
              <w:left w:w="60" w:type="dxa"/>
              <w:right w:w="60" w:type="dxa"/>
            </w:tcMar>
          </w:tcPr>
          <w:p w14:paraId="3805E319"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Stomach pain</w:t>
            </w:r>
          </w:p>
        </w:tc>
        <w:tc>
          <w:tcPr>
            <w:tcW w:w="815" w:type="dxa"/>
            <w:shd w:val="clear" w:color="auto" w:fill="FFFFFF"/>
            <w:tcMar>
              <w:left w:w="60" w:type="dxa"/>
              <w:right w:w="60" w:type="dxa"/>
            </w:tcMar>
          </w:tcPr>
          <w:p w14:paraId="54E6177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1A1FF55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5714102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37BB8FB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2F7EF441" w14:textId="77777777" w:rsidTr="008452F4">
        <w:trPr>
          <w:cantSplit/>
          <w:jc w:val="center"/>
        </w:trPr>
        <w:tc>
          <w:tcPr>
            <w:tcW w:w="3780" w:type="dxa"/>
            <w:shd w:val="clear" w:color="auto" w:fill="FFFFFF"/>
            <w:tcMar>
              <w:left w:w="60" w:type="dxa"/>
              <w:right w:w="60" w:type="dxa"/>
            </w:tcMar>
          </w:tcPr>
          <w:p w14:paraId="38CA680A"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Arthralgia</w:t>
            </w:r>
          </w:p>
        </w:tc>
        <w:tc>
          <w:tcPr>
            <w:tcW w:w="815" w:type="dxa"/>
            <w:shd w:val="clear" w:color="auto" w:fill="FFFFFF"/>
            <w:tcMar>
              <w:left w:w="60" w:type="dxa"/>
              <w:right w:w="60" w:type="dxa"/>
            </w:tcMar>
          </w:tcPr>
          <w:p w14:paraId="480625E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EE8890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29DC916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0DC3E6E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209A63D4" w14:textId="77777777" w:rsidTr="008452F4">
        <w:trPr>
          <w:cantSplit/>
          <w:jc w:val="center"/>
        </w:trPr>
        <w:tc>
          <w:tcPr>
            <w:tcW w:w="3780" w:type="dxa"/>
            <w:shd w:val="clear" w:color="auto" w:fill="FFFFFF"/>
            <w:tcMar>
              <w:left w:w="60" w:type="dxa"/>
              <w:right w:w="60" w:type="dxa"/>
            </w:tcMar>
          </w:tcPr>
          <w:p w14:paraId="346D3981"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Blepharitis</w:t>
            </w:r>
          </w:p>
        </w:tc>
        <w:tc>
          <w:tcPr>
            <w:tcW w:w="815" w:type="dxa"/>
            <w:shd w:val="clear" w:color="auto" w:fill="FFFFFF"/>
            <w:tcMar>
              <w:left w:w="60" w:type="dxa"/>
              <w:right w:w="60" w:type="dxa"/>
            </w:tcMar>
          </w:tcPr>
          <w:p w14:paraId="5D43E62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10E21DC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4D9DDF9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3C97A4C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7B1E04F0" w14:textId="77777777" w:rsidTr="008452F4">
        <w:trPr>
          <w:cantSplit/>
          <w:jc w:val="center"/>
        </w:trPr>
        <w:tc>
          <w:tcPr>
            <w:tcW w:w="3780" w:type="dxa"/>
            <w:shd w:val="clear" w:color="auto" w:fill="FFFFFF"/>
            <w:tcMar>
              <w:left w:w="60" w:type="dxa"/>
              <w:right w:w="60" w:type="dxa"/>
            </w:tcMar>
          </w:tcPr>
          <w:p w14:paraId="5DF4928E"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Concentration impaired</w:t>
            </w:r>
          </w:p>
        </w:tc>
        <w:tc>
          <w:tcPr>
            <w:tcW w:w="815" w:type="dxa"/>
            <w:shd w:val="clear" w:color="auto" w:fill="FFFFFF"/>
            <w:tcMar>
              <w:left w:w="60" w:type="dxa"/>
              <w:right w:w="60" w:type="dxa"/>
            </w:tcMar>
          </w:tcPr>
          <w:p w14:paraId="0AA749E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4ECBB1A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776A77F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A88BF4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781D81EF" w14:textId="77777777" w:rsidTr="008452F4">
        <w:trPr>
          <w:cantSplit/>
          <w:jc w:val="center"/>
        </w:trPr>
        <w:tc>
          <w:tcPr>
            <w:tcW w:w="3780" w:type="dxa"/>
            <w:shd w:val="clear" w:color="auto" w:fill="FFFFFF"/>
            <w:tcMar>
              <w:left w:w="60" w:type="dxa"/>
              <w:right w:w="60" w:type="dxa"/>
            </w:tcMar>
          </w:tcPr>
          <w:p w14:paraId="49B073B5"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Constipation</w:t>
            </w:r>
          </w:p>
        </w:tc>
        <w:tc>
          <w:tcPr>
            <w:tcW w:w="815" w:type="dxa"/>
            <w:shd w:val="clear" w:color="auto" w:fill="FFFFFF"/>
            <w:tcMar>
              <w:left w:w="60" w:type="dxa"/>
              <w:right w:w="60" w:type="dxa"/>
            </w:tcMar>
          </w:tcPr>
          <w:p w14:paraId="1153BEC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4CB5BF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18950ED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96739B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5A7EE7C5" w14:textId="77777777" w:rsidTr="008452F4">
        <w:trPr>
          <w:cantSplit/>
          <w:jc w:val="center"/>
        </w:trPr>
        <w:tc>
          <w:tcPr>
            <w:tcW w:w="3780" w:type="dxa"/>
            <w:shd w:val="clear" w:color="auto" w:fill="FFFFFF"/>
            <w:tcMar>
              <w:left w:w="60" w:type="dxa"/>
              <w:right w:w="60" w:type="dxa"/>
            </w:tcMar>
          </w:tcPr>
          <w:p w14:paraId="1F0E9BF9"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lastRenderedPageBreak/>
              <w:t>Coronavirus infection</w:t>
            </w:r>
          </w:p>
        </w:tc>
        <w:tc>
          <w:tcPr>
            <w:tcW w:w="815" w:type="dxa"/>
            <w:shd w:val="clear" w:color="auto" w:fill="FFFFFF"/>
            <w:tcMar>
              <w:left w:w="60" w:type="dxa"/>
              <w:right w:w="60" w:type="dxa"/>
            </w:tcMar>
          </w:tcPr>
          <w:p w14:paraId="0E82538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38CB6B7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6EE66CA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8E313E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5552F3E9" w14:textId="77777777" w:rsidTr="008452F4">
        <w:trPr>
          <w:cantSplit/>
          <w:jc w:val="center"/>
        </w:trPr>
        <w:tc>
          <w:tcPr>
            <w:tcW w:w="3780" w:type="dxa"/>
            <w:shd w:val="clear" w:color="auto" w:fill="FFFFFF"/>
            <w:tcMar>
              <w:left w:w="60" w:type="dxa"/>
              <w:right w:w="60" w:type="dxa"/>
            </w:tcMar>
          </w:tcPr>
          <w:p w14:paraId="518E5784"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Fainting</w:t>
            </w:r>
          </w:p>
        </w:tc>
        <w:tc>
          <w:tcPr>
            <w:tcW w:w="815" w:type="dxa"/>
            <w:shd w:val="clear" w:color="auto" w:fill="FFFFFF"/>
            <w:tcMar>
              <w:left w:w="60" w:type="dxa"/>
              <w:right w:w="60" w:type="dxa"/>
            </w:tcMar>
          </w:tcPr>
          <w:p w14:paraId="5CC052D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936236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0CF8C31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3E621F2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1BB122E8" w14:textId="77777777" w:rsidTr="008452F4">
        <w:trPr>
          <w:cantSplit/>
          <w:jc w:val="center"/>
        </w:trPr>
        <w:tc>
          <w:tcPr>
            <w:tcW w:w="3780" w:type="dxa"/>
            <w:shd w:val="clear" w:color="auto" w:fill="FFFFFF"/>
            <w:tcMar>
              <w:left w:w="60" w:type="dxa"/>
              <w:right w:w="60" w:type="dxa"/>
            </w:tcMar>
          </w:tcPr>
          <w:p w14:paraId="6A64276E"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Fall</w:t>
            </w:r>
          </w:p>
        </w:tc>
        <w:tc>
          <w:tcPr>
            <w:tcW w:w="815" w:type="dxa"/>
            <w:shd w:val="clear" w:color="auto" w:fill="FFFFFF"/>
            <w:tcMar>
              <w:left w:w="60" w:type="dxa"/>
              <w:right w:w="60" w:type="dxa"/>
            </w:tcMar>
          </w:tcPr>
          <w:p w14:paraId="1F49957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4F8667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287F30A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327A5F9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30B265B5" w14:textId="77777777" w:rsidTr="008452F4">
        <w:trPr>
          <w:cantSplit/>
          <w:jc w:val="center"/>
        </w:trPr>
        <w:tc>
          <w:tcPr>
            <w:tcW w:w="3780" w:type="dxa"/>
            <w:shd w:val="clear" w:color="auto" w:fill="FFFFFF"/>
            <w:tcMar>
              <w:left w:w="60" w:type="dxa"/>
              <w:right w:w="60" w:type="dxa"/>
            </w:tcMar>
          </w:tcPr>
          <w:p w14:paraId="7594E0F7"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Fine motor skill dysfunction</w:t>
            </w:r>
          </w:p>
        </w:tc>
        <w:tc>
          <w:tcPr>
            <w:tcW w:w="815" w:type="dxa"/>
            <w:shd w:val="clear" w:color="auto" w:fill="FFFFFF"/>
            <w:tcMar>
              <w:left w:w="60" w:type="dxa"/>
              <w:right w:w="60" w:type="dxa"/>
            </w:tcMar>
          </w:tcPr>
          <w:p w14:paraId="6B8756E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421D701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7E615D7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84CADB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09A79AFB" w14:textId="77777777" w:rsidTr="008452F4">
        <w:trPr>
          <w:cantSplit/>
          <w:jc w:val="center"/>
        </w:trPr>
        <w:tc>
          <w:tcPr>
            <w:tcW w:w="3780" w:type="dxa"/>
            <w:shd w:val="clear" w:color="auto" w:fill="FFFFFF"/>
            <w:tcMar>
              <w:left w:w="60" w:type="dxa"/>
              <w:right w:w="60" w:type="dxa"/>
            </w:tcMar>
          </w:tcPr>
          <w:p w14:paraId="46F4AB31"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Hives</w:t>
            </w:r>
          </w:p>
        </w:tc>
        <w:tc>
          <w:tcPr>
            <w:tcW w:w="815" w:type="dxa"/>
            <w:shd w:val="clear" w:color="auto" w:fill="FFFFFF"/>
            <w:tcMar>
              <w:left w:w="60" w:type="dxa"/>
              <w:right w:w="60" w:type="dxa"/>
            </w:tcMar>
          </w:tcPr>
          <w:p w14:paraId="335859D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F7C055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33E5D23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2BD77B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33798D9A" w14:textId="77777777" w:rsidTr="008452F4">
        <w:trPr>
          <w:cantSplit/>
          <w:jc w:val="center"/>
        </w:trPr>
        <w:tc>
          <w:tcPr>
            <w:tcW w:w="3780" w:type="dxa"/>
            <w:shd w:val="clear" w:color="auto" w:fill="FFFFFF"/>
            <w:tcMar>
              <w:left w:w="60" w:type="dxa"/>
              <w:right w:w="60" w:type="dxa"/>
            </w:tcMar>
          </w:tcPr>
          <w:p w14:paraId="7DF13252"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Libido decreased</w:t>
            </w:r>
          </w:p>
        </w:tc>
        <w:tc>
          <w:tcPr>
            <w:tcW w:w="815" w:type="dxa"/>
            <w:shd w:val="clear" w:color="auto" w:fill="FFFFFF"/>
            <w:tcMar>
              <w:left w:w="60" w:type="dxa"/>
              <w:right w:w="60" w:type="dxa"/>
            </w:tcMar>
          </w:tcPr>
          <w:p w14:paraId="29247B4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7997C6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564644B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0C6536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38150B89" w14:textId="77777777" w:rsidTr="008452F4">
        <w:trPr>
          <w:cantSplit/>
          <w:jc w:val="center"/>
        </w:trPr>
        <w:tc>
          <w:tcPr>
            <w:tcW w:w="3780" w:type="dxa"/>
            <w:shd w:val="clear" w:color="auto" w:fill="FFFFFF"/>
            <w:tcMar>
              <w:left w:w="60" w:type="dxa"/>
              <w:right w:w="60" w:type="dxa"/>
            </w:tcMar>
          </w:tcPr>
          <w:p w14:paraId="593A0CDC"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Light sensitivity to eye</w:t>
            </w:r>
          </w:p>
        </w:tc>
        <w:tc>
          <w:tcPr>
            <w:tcW w:w="815" w:type="dxa"/>
            <w:shd w:val="clear" w:color="auto" w:fill="FFFFFF"/>
            <w:tcMar>
              <w:left w:w="60" w:type="dxa"/>
              <w:right w:w="60" w:type="dxa"/>
            </w:tcMar>
          </w:tcPr>
          <w:p w14:paraId="230C2B7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4EB478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71239F5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EA5C21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6123246D" w14:textId="77777777" w:rsidTr="008452F4">
        <w:trPr>
          <w:cantSplit/>
          <w:jc w:val="center"/>
        </w:trPr>
        <w:tc>
          <w:tcPr>
            <w:tcW w:w="3780" w:type="dxa"/>
            <w:shd w:val="clear" w:color="auto" w:fill="FFFFFF"/>
            <w:tcMar>
              <w:left w:w="60" w:type="dxa"/>
              <w:right w:w="60" w:type="dxa"/>
            </w:tcMar>
          </w:tcPr>
          <w:p w14:paraId="1A684C61"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Lightheadedness</w:t>
            </w:r>
          </w:p>
        </w:tc>
        <w:tc>
          <w:tcPr>
            <w:tcW w:w="815" w:type="dxa"/>
            <w:shd w:val="clear" w:color="auto" w:fill="FFFFFF"/>
            <w:tcMar>
              <w:left w:w="60" w:type="dxa"/>
              <w:right w:w="60" w:type="dxa"/>
            </w:tcMar>
          </w:tcPr>
          <w:p w14:paraId="2E46F54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33BE4E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5BC867E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3246CC9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02A073D4" w14:textId="77777777" w:rsidTr="008452F4">
        <w:trPr>
          <w:cantSplit/>
          <w:jc w:val="center"/>
        </w:trPr>
        <w:tc>
          <w:tcPr>
            <w:tcW w:w="3780" w:type="dxa"/>
            <w:shd w:val="clear" w:color="auto" w:fill="FFFFFF"/>
            <w:tcMar>
              <w:left w:w="60" w:type="dxa"/>
              <w:right w:w="60" w:type="dxa"/>
            </w:tcMar>
          </w:tcPr>
          <w:p w14:paraId="1C39618F"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Panic attack</w:t>
            </w:r>
          </w:p>
        </w:tc>
        <w:tc>
          <w:tcPr>
            <w:tcW w:w="815" w:type="dxa"/>
            <w:shd w:val="clear" w:color="auto" w:fill="FFFFFF"/>
            <w:tcMar>
              <w:left w:w="60" w:type="dxa"/>
              <w:right w:w="60" w:type="dxa"/>
            </w:tcMar>
          </w:tcPr>
          <w:p w14:paraId="60607D5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0B677D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2320FE4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3C89F9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21FD9C2D" w14:textId="77777777" w:rsidTr="008452F4">
        <w:trPr>
          <w:cantSplit/>
          <w:jc w:val="center"/>
        </w:trPr>
        <w:tc>
          <w:tcPr>
            <w:tcW w:w="3780" w:type="dxa"/>
            <w:shd w:val="clear" w:color="auto" w:fill="FFFFFF"/>
            <w:tcMar>
              <w:left w:w="60" w:type="dxa"/>
              <w:right w:w="60" w:type="dxa"/>
            </w:tcMar>
          </w:tcPr>
          <w:p w14:paraId="6088300E"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Perceptual disturbance</w:t>
            </w:r>
          </w:p>
        </w:tc>
        <w:tc>
          <w:tcPr>
            <w:tcW w:w="815" w:type="dxa"/>
            <w:shd w:val="clear" w:color="auto" w:fill="FFFFFF"/>
            <w:tcMar>
              <w:left w:w="60" w:type="dxa"/>
              <w:right w:w="60" w:type="dxa"/>
            </w:tcMar>
          </w:tcPr>
          <w:p w14:paraId="63A8711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0074E5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4354D79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8DF84F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2BD4A107" w14:textId="77777777" w:rsidTr="008452F4">
        <w:trPr>
          <w:cantSplit/>
          <w:jc w:val="center"/>
        </w:trPr>
        <w:tc>
          <w:tcPr>
            <w:tcW w:w="3780" w:type="dxa"/>
            <w:shd w:val="clear" w:color="auto" w:fill="FFFFFF"/>
            <w:tcMar>
              <w:left w:w="60" w:type="dxa"/>
              <w:right w:w="60" w:type="dxa"/>
            </w:tcMar>
          </w:tcPr>
          <w:p w14:paraId="195D4204"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Postnasal drip</w:t>
            </w:r>
          </w:p>
        </w:tc>
        <w:tc>
          <w:tcPr>
            <w:tcW w:w="815" w:type="dxa"/>
            <w:shd w:val="clear" w:color="auto" w:fill="FFFFFF"/>
            <w:tcMar>
              <w:left w:w="60" w:type="dxa"/>
              <w:right w:w="60" w:type="dxa"/>
            </w:tcMar>
          </w:tcPr>
          <w:p w14:paraId="29BA5AD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D3C87B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462FFAA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39AFE44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12D04160" w14:textId="77777777" w:rsidTr="008452F4">
        <w:trPr>
          <w:cantSplit/>
          <w:jc w:val="center"/>
        </w:trPr>
        <w:tc>
          <w:tcPr>
            <w:tcW w:w="3780" w:type="dxa"/>
            <w:shd w:val="clear" w:color="auto" w:fill="FFFFFF"/>
            <w:tcMar>
              <w:left w:w="60" w:type="dxa"/>
              <w:right w:w="60" w:type="dxa"/>
            </w:tcMar>
          </w:tcPr>
          <w:p w14:paraId="17325659"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Reflux gastritis</w:t>
            </w:r>
          </w:p>
        </w:tc>
        <w:tc>
          <w:tcPr>
            <w:tcW w:w="815" w:type="dxa"/>
            <w:shd w:val="clear" w:color="auto" w:fill="FFFFFF"/>
            <w:tcMar>
              <w:left w:w="60" w:type="dxa"/>
              <w:right w:w="60" w:type="dxa"/>
            </w:tcMar>
          </w:tcPr>
          <w:p w14:paraId="01274EC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C05F5D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6BB5393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26188F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4CB83711" w14:textId="77777777" w:rsidTr="008452F4">
        <w:trPr>
          <w:cantSplit/>
          <w:jc w:val="center"/>
        </w:trPr>
        <w:tc>
          <w:tcPr>
            <w:tcW w:w="3780" w:type="dxa"/>
            <w:shd w:val="clear" w:color="auto" w:fill="FFFFFF"/>
            <w:tcMar>
              <w:left w:w="60" w:type="dxa"/>
              <w:right w:w="60" w:type="dxa"/>
            </w:tcMar>
          </w:tcPr>
          <w:p w14:paraId="5A68CAF4"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Self-injurious ideation</w:t>
            </w:r>
          </w:p>
        </w:tc>
        <w:tc>
          <w:tcPr>
            <w:tcW w:w="815" w:type="dxa"/>
            <w:shd w:val="clear" w:color="auto" w:fill="FFFFFF"/>
            <w:tcMar>
              <w:left w:w="60" w:type="dxa"/>
              <w:right w:w="60" w:type="dxa"/>
            </w:tcMar>
          </w:tcPr>
          <w:p w14:paraId="013ECCA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13D1C1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006BBC3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020FDD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4320BE6E" w14:textId="77777777" w:rsidTr="008452F4">
        <w:trPr>
          <w:cantSplit/>
          <w:jc w:val="center"/>
        </w:trPr>
        <w:tc>
          <w:tcPr>
            <w:tcW w:w="3780" w:type="dxa"/>
            <w:shd w:val="clear" w:color="auto" w:fill="FFFFFF"/>
            <w:tcMar>
              <w:left w:w="60" w:type="dxa"/>
              <w:right w:w="60" w:type="dxa"/>
            </w:tcMar>
          </w:tcPr>
          <w:p w14:paraId="5225716C"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Stools watery</w:t>
            </w:r>
          </w:p>
        </w:tc>
        <w:tc>
          <w:tcPr>
            <w:tcW w:w="815" w:type="dxa"/>
            <w:shd w:val="clear" w:color="auto" w:fill="FFFFFF"/>
            <w:tcMar>
              <w:left w:w="60" w:type="dxa"/>
              <w:right w:w="60" w:type="dxa"/>
            </w:tcMar>
          </w:tcPr>
          <w:p w14:paraId="017D2BC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3A06431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1D47DD1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8F9683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17FCF88A" w14:textId="77777777" w:rsidTr="008452F4">
        <w:trPr>
          <w:cantSplit/>
          <w:jc w:val="center"/>
        </w:trPr>
        <w:tc>
          <w:tcPr>
            <w:tcW w:w="3780" w:type="dxa"/>
            <w:shd w:val="clear" w:color="auto" w:fill="FFFFFF"/>
            <w:tcMar>
              <w:left w:w="60" w:type="dxa"/>
              <w:right w:w="60" w:type="dxa"/>
            </w:tcMar>
          </w:tcPr>
          <w:p w14:paraId="5A366CBC"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Swelling of feet</w:t>
            </w:r>
          </w:p>
        </w:tc>
        <w:tc>
          <w:tcPr>
            <w:tcW w:w="815" w:type="dxa"/>
            <w:shd w:val="clear" w:color="auto" w:fill="FFFFFF"/>
            <w:tcMar>
              <w:left w:w="60" w:type="dxa"/>
              <w:right w:w="60" w:type="dxa"/>
            </w:tcMar>
          </w:tcPr>
          <w:p w14:paraId="74F63BE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565751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404AFC8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7C5BD5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42EAAE7B" w14:textId="77777777" w:rsidTr="008452F4">
        <w:trPr>
          <w:cantSplit/>
          <w:jc w:val="center"/>
        </w:trPr>
        <w:tc>
          <w:tcPr>
            <w:tcW w:w="3780" w:type="dxa"/>
            <w:shd w:val="clear" w:color="auto" w:fill="FFFFFF"/>
            <w:tcMar>
              <w:left w:w="60" w:type="dxa"/>
              <w:right w:w="60" w:type="dxa"/>
            </w:tcMar>
          </w:tcPr>
          <w:p w14:paraId="5ED78260"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Tachycardia</w:t>
            </w:r>
          </w:p>
        </w:tc>
        <w:tc>
          <w:tcPr>
            <w:tcW w:w="815" w:type="dxa"/>
            <w:shd w:val="clear" w:color="auto" w:fill="FFFFFF"/>
            <w:tcMar>
              <w:left w:w="60" w:type="dxa"/>
              <w:right w:w="60" w:type="dxa"/>
            </w:tcMar>
          </w:tcPr>
          <w:p w14:paraId="0CB1783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0F5D999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14D9236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92EC93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62C7A52B" w14:textId="77777777" w:rsidTr="008452F4">
        <w:trPr>
          <w:cantSplit/>
          <w:jc w:val="center"/>
        </w:trPr>
        <w:tc>
          <w:tcPr>
            <w:tcW w:w="3780" w:type="dxa"/>
            <w:shd w:val="clear" w:color="auto" w:fill="FFFFFF"/>
            <w:tcMar>
              <w:left w:w="60" w:type="dxa"/>
              <w:right w:w="60" w:type="dxa"/>
            </w:tcMar>
          </w:tcPr>
          <w:p w14:paraId="40347A8D"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Transient aphasia</w:t>
            </w:r>
          </w:p>
        </w:tc>
        <w:tc>
          <w:tcPr>
            <w:tcW w:w="815" w:type="dxa"/>
            <w:shd w:val="clear" w:color="auto" w:fill="FFFFFF"/>
            <w:tcMar>
              <w:left w:w="60" w:type="dxa"/>
              <w:right w:w="60" w:type="dxa"/>
            </w:tcMar>
          </w:tcPr>
          <w:p w14:paraId="384E533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FDAE5E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7BB1C97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E8AED8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46695C1E" w14:textId="77777777" w:rsidTr="008452F4">
        <w:trPr>
          <w:cantSplit/>
          <w:jc w:val="center"/>
        </w:trPr>
        <w:tc>
          <w:tcPr>
            <w:tcW w:w="3780" w:type="dxa"/>
            <w:shd w:val="clear" w:color="auto" w:fill="FFFFFF"/>
            <w:tcMar>
              <w:left w:w="60" w:type="dxa"/>
              <w:right w:w="60" w:type="dxa"/>
            </w:tcMar>
          </w:tcPr>
          <w:p w14:paraId="20183AF7"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Twitching</w:t>
            </w:r>
          </w:p>
        </w:tc>
        <w:tc>
          <w:tcPr>
            <w:tcW w:w="815" w:type="dxa"/>
            <w:shd w:val="clear" w:color="auto" w:fill="FFFFFF"/>
            <w:tcMar>
              <w:left w:w="60" w:type="dxa"/>
              <w:right w:w="60" w:type="dxa"/>
            </w:tcMar>
          </w:tcPr>
          <w:p w14:paraId="5C9ACF2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3A08DDB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012E55D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9A051A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7D8B94BE" w14:textId="77777777" w:rsidTr="008452F4">
        <w:trPr>
          <w:cantSplit/>
          <w:jc w:val="center"/>
        </w:trPr>
        <w:tc>
          <w:tcPr>
            <w:tcW w:w="3780" w:type="dxa"/>
            <w:shd w:val="clear" w:color="auto" w:fill="FFFFFF"/>
            <w:tcMar>
              <w:left w:w="60" w:type="dxa"/>
              <w:right w:w="60" w:type="dxa"/>
            </w:tcMar>
          </w:tcPr>
          <w:p w14:paraId="52FFD825"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Urinary hesitation</w:t>
            </w:r>
          </w:p>
        </w:tc>
        <w:tc>
          <w:tcPr>
            <w:tcW w:w="815" w:type="dxa"/>
            <w:shd w:val="clear" w:color="auto" w:fill="FFFFFF"/>
            <w:tcMar>
              <w:left w:w="60" w:type="dxa"/>
              <w:right w:w="60" w:type="dxa"/>
            </w:tcMar>
          </w:tcPr>
          <w:p w14:paraId="3C13D6D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025AFF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20DBDFC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E25DC9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0EA0CF1F" w14:textId="77777777" w:rsidTr="008452F4">
        <w:trPr>
          <w:cantSplit/>
          <w:jc w:val="center"/>
        </w:trPr>
        <w:tc>
          <w:tcPr>
            <w:tcW w:w="3780" w:type="dxa"/>
            <w:shd w:val="clear" w:color="auto" w:fill="FFFFFF"/>
            <w:tcMar>
              <w:left w:w="60" w:type="dxa"/>
              <w:right w:w="60" w:type="dxa"/>
            </w:tcMar>
          </w:tcPr>
          <w:p w14:paraId="6ED636B4"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Urinary retention</w:t>
            </w:r>
          </w:p>
        </w:tc>
        <w:tc>
          <w:tcPr>
            <w:tcW w:w="815" w:type="dxa"/>
            <w:shd w:val="clear" w:color="auto" w:fill="FFFFFF"/>
            <w:tcMar>
              <w:left w:w="60" w:type="dxa"/>
              <w:right w:w="60" w:type="dxa"/>
            </w:tcMar>
          </w:tcPr>
          <w:p w14:paraId="2AFD96F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D96750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70135BF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31BBD9D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452464A2" w14:textId="77777777" w:rsidTr="008452F4">
        <w:trPr>
          <w:cantSplit/>
          <w:jc w:val="center"/>
        </w:trPr>
        <w:tc>
          <w:tcPr>
            <w:tcW w:w="3780" w:type="dxa"/>
            <w:shd w:val="clear" w:color="auto" w:fill="FFFFFF"/>
            <w:tcMar>
              <w:left w:w="60" w:type="dxa"/>
              <w:right w:w="60" w:type="dxa"/>
            </w:tcMar>
          </w:tcPr>
          <w:p w14:paraId="4A368CB6"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Urinary straining</w:t>
            </w:r>
          </w:p>
        </w:tc>
        <w:tc>
          <w:tcPr>
            <w:tcW w:w="815" w:type="dxa"/>
            <w:shd w:val="clear" w:color="auto" w:fill="FFFFFF"/>
            <w:tcMar>
              <w:left w:w="60" w:type="dxa"/>
              <w:right w:w="60" w:type="dxa"/>
            </w:tcMar>
          </w:tcPr>
          <w:p w14:paraId="29C101A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C692DD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1A10B0E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0D605EE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56BA4AB7" w14:textId="77777777" w:rsidTr="008452F4">
        <w:trPr>
          <w:cantSplit/>
          <w:jc w:val="center"/>
        </w:trPr>
        <w:tc>
          <w:tcPr>
            <w:tcW w:w="3780" w:type="dxa"/>
            <w:shd w:val="clear" w:color="auto" w:fill="FFFFFF"/>
            <w:tcMar>
              <w:left w:w="60" w:type="dxa"/>
              <w:right w:w="60" w:type="dxa"/>
            </w:tcMar>
          </w:tcPr>
          <w:p w14:paraId="2035699A"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Vaginal discharge abnormality</w:t>
            </w:r>
          </w:p>
        </w:tc>
        <w:tc>
          <w:tcPr>
            <w:tcW w:w="815" w:type="dxa"/>
            <w:shd w:val="clear" w:color="auto" w:fill="FFFFFF"/>
            <w:tcMar>
              <w:left w:w="60" w:type="dxa"/>
              <w:right w:w="60" w:type="dxa"/>
            </w:tcMar>
          </w:tcPr>
          <w:p w14:paraId="3C210F1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B4DA10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4C276D0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F8F479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408CC0FA" w14:textId="77777777" w:rsidTr="008452F4">
        <w:trPr>
          <w:cantSplit/>
          <w:jc w:val="center"/>
        </w:trPr>
        <w:tc>
          <w:tcPr>
            <w:tcW w:w="3780" w:type="dxa"/>
            <w:shd w:val="clear" w:color="auto" w:fill="FFFFFF"/>
            <w:tcMar>
              <w:left w:w="60" w:type="dxa"/>
              <w:right w:w="60" w:type="dxa"/>
            </w:tcMar>
          </w:tcPr>
          <w:p w14:paraId="43D126AC"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Visual phenomena</w:t>
            </w:r>
          </w:p>
        </w:tc>
        <w:tc>
          <w:tcPr>
            <w:tcW w:w="815" w:type="dxa"/>
            <w:shd w:val="clear" w:color="auto" w:fill="FFFFFF"/>
            <w:tcMar>
              <w:left w:w="60" w:type="dxa"/>
              <w:right w:w="60" w:type="dxa"/>
            </w:tcMar>
          </w:tcPr>
          <w:p w14:paraId="49C5664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34F2A5A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5BCA30B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6BCB58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00C0C0A2" w14:textId="77777777" w:rsidTr="008452F4">
        <w:trPr>
          <w:cantSplit/>
          <w:jc w:val="center"/>
        </w:trPr>
        <w:tc>
          <w:tcPr>
            <w:tcW w:w="3780" w:type="dxa"/>
            <w:shd w:val="clear" w:color="auto" w:fill="FFFFFF"/>
            <w:tcMar>
              <w:left w:w="60" w:type="dxa"/>
              <w:right w:w="60" w:type="dxa"/>
            </w:tcMar>
          </w:tcPr>
          <w:p w14:paraId="72D414DA"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Weak urinary stream</w:t>
            </w:r>
          </w:p>
        </w:tc>
        <w:tc>
          <w:tcPr>
            <w:tcW w:w="815" w:type="dxa"/>
            <w:shd w:val="clear" w:color="auto" w:fill="FFFFFF"/>
            <w:tcMar>
              <w:left w:w="60" w:type="dxa"/>
              <w:right w:w="60" w:type="dxa"/>
            </w:tcMar>
          </w:tcPr>
          <w:p w14:paraId="4D30EDD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920909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3.4</w:t>
            </w:r>
          </w:p>
        </w:tc>
        <w:tc>
          <w:tcPr>
            <w:tcW w:w="815" w:type="dxa"/>
            <w:shd w:val="clear" w:color="auto" w:fill="FFFFFF"/>
            <w:tcMar>
              <w:left w:w="60" w:type="dxa"/>
              <w:right w:w="60" w:type="dxa"/>
            </w:tcMar>
          </w:tcPr>
          <w:p w14:paraId="2157E20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385D81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r>
      <w:tr w:rsidR="00445EEE" w:rsidRPr="00445EEE" w14:paraId="13ECD8CC" w14:textId="77777777" w:rsidTr="008452F4">
        <w:trPr>
          <w:cantSplit/>
          <w:jc w:val="center"/>
        </w:trPr>
        <w:tc>
          <w:tcPr>
            <w:tcW w:w="3780" w:type="dxa"/>
            <w:shd w:val="clear" w:color="auto" w:fill="FFFFFF"/>
            <w:tcMar>
              <w:left w:w="60" w:type="dxa"/>
              <w:right w:w="60" w:type="dxa"/>
            </w:tcMar>
          </w:tcPr>
          <w:p w14:paraId="7DAAB022"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Viral syndrome</w:t>
            </w:r>
          </w:p>
        </w:tc>
        <w:tc>
          <w:tcPr>
            <w:tcW w:w="815" w:type="dxa"/>
            <w:shd w:val="clear" w:color="auto" w:fill="FFFFFF"/>
            <w:tcMar>
              <w:left w:w="60" w:type="dxa"/>
              <w:right w:w="60" w:type="dxa"/>
            </w:tcMar>
          </w:tcPr>
          <w:p w14:paraId="18340BC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FB4A73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70808FB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2</w:t>
            </w:r>
          </w:p>
        </w:tc>
        <w:tc>
          <w:tcPr>
            <w:tcW w:w="815" w:type="dxa"/>
            <w:shd w:val="clear" w:color="auto" w:fill="FFFFFF"/>
            <w:tcMar>
              <w:left w:w="60" w:type="dxa"/>
              <w:right w:w="60" w:type="dxa"/>
            </w:tcMar>
          </w:tcPr>
          <w:p w14:paraId="0F17824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6.7</w:t>
            </w:r>
          </w:p>
        </w:tc>
      </w:tr>
      <w:tr w:rsidR="00445EEE" w:rsidRPr="00445EEE" w14:paraId="00951C45" w14:textId="77777777" w:rsidTr="008452F4">
        <w:trPr>
          <w:cantSplit/>
          <w:jc w:val="center"/>
        </w:trPr>
        <w:tc>
          <w:tcPr>
            <w:tcW w:w="3780" w:type="dxa"/>
            <w:shd w:val="clear" w:color="auto" w:fill="FFFFFF"/>
            <w:tcMar>
              <w:left w:w="60" w:type="dxa"/>
              <w:right w:w="60" w:type="dxa"/>
            </w:tcMar>
          </w:tcPr>
          <w:p w14:paraId="0045D425"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Alanine aminotransferase increased</w:t>
            </w:r>
          </w:p>
        </w:tc>
        <w:tc>
          <w:tcPr>
            <w:tcW w:w="815" w:type="dxa"/>
            <w:shd w:val="clear" w:color="auto" w:fill="FFFFFF"/>
            <w:tcMar>
              <w:left w:w="60" w:type="dxa"/>
              <w:right w:w="60" w:type="dxa"/>
            </w:tcMar>
          </w:tcPr>
          <w:p w14:paraId="11E82E3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342A6B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7F037AE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438FD96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3F26B7BB" w14:textId="77777777" w:rsidTr="008452F4">
        <w:trPr>
          <w:cantSplit/>
          <w:jc w:val="center"/>
        </w:trPr>
        <w:tc>
          <w:tcPr>
            <w:tcW w:w="3780" w:type="dxa"/>
            <w:shd w:val="clear" w:color="auto" w:fill="FFFFFF"/>
            <w:tcMar>
              <w:left w:w="60" w:type="dxa"/>
              <w:right w:w="60" w:type="dxa"/>
            </w:tcMar>
          </w:tcPr>
          <w:p w14:paraId="736A253B"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Amaurosis fugax</w:t>
            </w:r>
          </w:p>
        </w:tc>
        <w:tc>
          <w:tcPr>
            <w:tcW w:w="815" w:type="dxa"/>
            <w:shd w:val="clear" w:color="auto" w:fill="FFFFFF"/>
            <w:tcMar>
              <w:left w:w="60" w:type="dxa"/>
              <w:right w:w="60" w:type="dxa"/>
            </w:tcMar>
          </w:tcPr>
          <w:p w14:paraId="4A23420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5A97DE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124F116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E5C89F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361189A7" w14:textId="77777777" w:rsidTr="008452F4">
        <w:trPr>
          <w:cantSplit/>
          <w:jc w:val="center"/>
        </w:trPr>
        <w:tc>
          <w:tcPr>
            <w:tcW w:w="3780" w:type="dxa"/>
            <w:shd w:val="clear" w:color="auto" w:fill="FFFFFF"/>
            <w:tcMar>
              <w:left w:w="60" w:type="dxa"/>
              <w:right w:w="60" w:type="dxa"/>
            </w:tcMar>
          </w:tcPr>
          <w:p w14:paraId="4B634E7C"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Anosmia</w:t>
            </w:r>
          </w:p>
        </w:tc>
        <w:tc>
          <w:tcPr>
            <w:tcW w:w="815" w:type="dxa"/>
            <w:shd w:val="clear" w:color="auto" w:fill="FFFFFF"/>
            <w:tcMar>
              <w:left w:w="60" w:type="dxa"/>
              <w:right w:w="60" w:type="dxa"/>
            </w:tcMar>
          </w:tcPr>
          <w:p w14:paraId="3BC6C4D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53792A4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6A575036"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32AD1BD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12A22BF0" w14:textId="77777777" w:rsidTr="008452F4">
        <w:trPr>
          <w:cantSplit/>
          <w:jc w:val="center"/>
        </w:trPr>
        <w:tc>
          <w:tcPr>
            <w:tcW w:w="3780" w:type="dxa"/>
            <w:shd w:val="clear" w:color="auto" w:fill="FFFFFF"/>
            <w:tcMar>
              <w:left w:w="60" w:type="dxa"/>
              <w:right w:w="60" w:type="dxa"/>
            </w:tcMar>
          </w:tcPr>
          <w:p w14:paraId="59DAAC40"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Asthenia</w:t>
            </w:r>
          </w:p>
        </w:tc>
        <w:tc>
          <w:tcPr>
            <w:tcW w:w="815" w:type="dxa"/>
            <w:shd w:val="clear" w:color="auto" w:fill="FFFFFF"/>
            <w:tcMar>
              <w:left w:w="60" w:type="dxa"/>
              <w:right w:w="60" w:type="dxa"/>
            </w:tcMar>
          </w:tcPr>
          <w:p w14:paraId="350EF24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970B41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13BA396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A38730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18E6FC1A" w14:textId="77777777" w:rsidTr="008452F4">
        <w:trPr>
          <w:cantSplit/>
          <w:jc w:val="center"/>
        </w:trPr>
        <w:tc>
          <w:tcPr>
            <w:tcW w:w="3780" w:type="dxa"/>
            <w:shd w:val="clear" w:color="auto" w:fill="FFFFFF"/>
            <w:tcMar>
              <w:left w:w="60" w:type="dxa"/>
              <w:right w:w="60" w:type="dxa"/>
            </w:tcMar>
          </w:tcPr>
          <w:p w14:paraId="727C5FD7"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Bruxism</w:t>
            </w:r>
          </w:p>
        </w:tc>
        <w:tc>
          <w:tcPr>
            <w:tcW w:w="815" w:type="dxa"/>
            <w:shd w:val="clear" w:color="auto" w:fill="FFFFFF"/>
            <w:tcMar>
              <w:left w:w="60" w:type="dxa"/>
              <w:right w:w="60" w:type="dxa"/>
            </w:tcMar>
          </w:tcPr>
          <w:p w14:paraId="2875AA2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50D552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2B87F7A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1A35B17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26752E7D" w14:textId="77777777" w:rsidTr="008452F4">
        <w:trPr>
          <w:cantSplit/>
          <w:jc w:val="center"/>
        </w:trPr>
        <w:tc>
          <w:tcPr>
            <w:tcW w:w="3780" w:type="dxa"/>
            <w:shd w:val="clear" w:color="auto" w:fill="FFFFFF"/>
            <w:tcMar>
              <w:left w:w="60" w:type="dxa"/>
              <w:right w:w="60" w:type="dxa"/>
            </w:tcMar>
          </w:tcPr>
          <w:p w14:paraId="7062364D"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Chest discomfort</w:t>
            </w:r>
          </w:p>
        </w:tc>
        <w:tc>
          <w:tcPr>
            <w:tcW w:w="815" w:type="dxa"/>
            <w:shd w:val="clear" w:color="auto" w:fill="FFFFFF"/>
            <w:tcMar>
              <w:left w:w="60" w:type="dxa"/>
              <w:right w:w="60" w:type="dxa"/>
            </w:tcMar>
          </w:tcPr>
          <w:p w14:paraId="02CA256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2009BCF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30A2C2F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F1F7FC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5B7F7AB8" w14:textId="77777777" w:rsidTr="008452F4">
        <w:trPr>
          <w:cantSplit/>
          <w:jc w:val="center"/>
        </w:trPr>
        <w:tc>
          <w:tcPr>
            <w:tcW w:w="3780" w:type="dxa"/>
            <w:shd w:val="clear" w:color="auto" w:fill="FFFFFF"/>
            <w:tcMar>
              <w:left w:w="60" w:type="dxa"/>
              <w:right w:w="60" w:type="dxa"/>
            </w:tcMar>
          </w:tcPr>
          <w:p w14:paraId="7885325F"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lastRenderedPageBreak/>
              <w:t>Diarrhea</w:t>
            </w:r>
          </w:p>
        </w:tc>
        <w:tc>
          <w:tcPr>
            <w:tcW w:w="815" w:type="dxa"/>
            <w:shd w:val="clear" w:color="auto" w:fill="FFFFFF"/>
            <w:tcMar>
              <w:left w:w="60" w:type="dxa"/>
              <w:right w:w="60" w:type="dxa"/>
            </w:tcMar>
          </w:tcPr>
          <w:p w14:paraId="28EA52D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0798E9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125F704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263033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13C8E0FC" w14:textId="77777777" w:rsidTr="008452F4">
        <w:trPr>
          <w:cantSplit/>
          <w:jc w:val="center"/>
        </w:trPr>
        <w:tc>
          <w:tcPr>
            <w:tcW w:w="3780" w:type="dxa"/>
            <w:shd w:val="clear" w:color="auto" w:fill="FFFFFF"/>
            <w:tcMar>
              <w:left w:w="60" w:type="dxa"/>
              <w:right w:w="60" w:type="dxa"/>
            </w:tcMar>
          </w:tcPr>
          <w:p w14:paraId="4493DCF4"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Diverticulitis</w:t>
            </w:r>
          </w:p>
        </w:tc>
        <w:tc>
          <w:tcPr>
            <w:tcW w:w="815" w:type="dxa"/>
            <w:shd w:val="clear" w:color="auto" w:fill="FFFFFF"/>
            <w:tcMar>
              <w:left w:w="60" w:type="dxa"/>
              <w:right w:w="60" w:type="dxa"/>
            </w:tcMar>
          </w:tcPr>
          <w:p w14:paraId="77905CF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84C931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2CB43F0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19E2259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531EA04D" w14:textId="77777777" w:rsidTr="008452F4">
        <w:trPr>
          <w:cantSplit/>
          <w:jc w:val="center"/>
        </w:trPr>
        <w:tc>
          <w:tcPr>
            <w:tcW w:w="3780" w:type="dxa"/>
            <w:shd w:val="clear" w:color="auto" w:fill="FFFFFF"/>
            <w:tcMar>
              <w:left w:w="60" w:type="dxa"/>
              <w:right w:w="60" w:type="dxa"/>
            </w:tcMar>
          </w:tcPr>
          <w:p w14:paraId="1C6BCFD5"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Ear feels clogged</w:t>
            </w:r>
          </w:p>
        </w:tc>
        <w:tc>
          <w:tcPr>
            <w:tcW w:w="815" w:type="dxa"/>
            <w:shd w:val="clear" w:color="auto" w:fill="FFFFFF"/>
            <w:tcMar>
              <w:left w:w="60" w:type="dxa"/>
              <w:right w:w="60" w:type="dxa"/>
            </w:tcMar>
          </w:tcPr>
          <w:p w14:paraId="6F10DF4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552191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69990B53"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F54611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55180D7B" w14:textId="77777777" w:rsidTr="008452F4">
        <w:trPr>
          <w:cantSplit/>
          <w:jc w:val="center"/>
        </w:trPr>
        <w:tc>
          <w:tcPr>
            <w:tcW w:w="3780" w:type="dxa"/>
            <w:shd w:val="clear" w:color="auto" w:fill="FFFFFF"/>
            <w:tcMar>
              <w:left w:w="60" w:type="dxa"/>
              <w:right w:w="60" w:type="dxa"/>
            </w:tcMar>
          </w:tcPr>
          <w:p w14:paraId="58F89319"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Early morning awakening</w:t>
            </w:r>
          </w:p>
        </w:tc>
        <w:tc>
          <w:tcPr>
            <w:tcW w:w="815" w:type="dxa"/>
            <w:shd w:val="clear" w:color="auto" w:fill="FFFFFF"/>
            <w:tcMar>
              <w:left w:w="60" w:type="dxa"/>
              <w:right w:w="60" w:type="dxa"/>
            </w:tcMar>
          </w:tcPr>
          <w:p w14:paraId="532FF9D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290FCE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3F42380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A6C3AC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4C26DCE0" w14:textId="77777777" w:rsidTr="008452F4">
        <w:trPr>
          <w:cantSplit/>
          <w:jc w:val="center"/>
        </w:trPr>
        <w:tc>
          <w:tcPr>
            <w:tcW w:w="3780" w:type="dxa"/>
            <w:shd w:val="clear" w:color="auto" w:fill="FFFFFF"/>
            <w:tcMar>
              <w:left w:w="60" w:type="dxa"/>
              <w:right w:w="60" w:type="dxa"/>
            </w:tcMar>
          </w:tcPr>
          <w:p w14:paraId="16CA0712"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Eczema facial</w:t>
            </w:r>
          </w:p>
        </w:tc>
        <w:tc>
          <w:tcPr>
            <w:tcW w:w="815" w:type="dxa"/>
            <w:shd w:val="clear" w:color="auto" w:fill="FFFFFF"/>
            <w:tcMar>
              <w:left w:w="60" w:type="dxa"/>
              <w:right w:w="60" w:type="dxa"/>
            </w:tcMar>
          </w:tcPr>
          <w:p w14:paraId="5F7DF9C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EE448FE"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16D1223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01AB88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1C8D4B12" w14:textId="77777777" w:rsidTr="008452F4">
        <w:trPr>
          <w:cantSplit/>
          <w:jc w:val="center"/>
        </w:trPr>
        <w:tc>
          <w:tcPr>
            <w:tcW w:w="3780" w:type="dxa"/>
            <w:shd w:val="clear" w:color="auto" w:fill="FFFFFF"/>
            <w:tcMar>
              <w:left w:w="60" w:type="dxa"/>
              <w:right w:w="60" w:type="dxa"/>
            </w:tcMar>
          </w:tcPr>
          <w:p w14:paraId="09F46DB2"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Fever</w:t>
            </w:r>
          </w:p>
        </w:tc>
        <w:tc>
          <w:tcPr>
            <w:tcW w:w="815" w:type="dxa"/>
            <w:shd w:val="clear" w:color="auto" w:fill="FFFFFF"/>
            <w:tcMar>
              <w:left w:w="60" w:type="dxa"/>
              <w:right w:w="60" w:type="dxa"/>
            </w:tcMar>
          </w:tcPr>
          <w:p w14:paraId="012103D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A9DB94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3FD8E48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EC311C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485904EB" w14:textId="77777777" w:rsidTr="008452F4">
        <w:trPr>
          <w:cantSplit/>
          <w:jc w:val="center"/>
        </w:trPr>
        <w:tc>
          <w:tcPr>
            <w:tcW w:w="3780" w:type="dxa"/>
            <w:shd w:val="clear" w:color="auto" w:fill="FFFFFF"/>
            <w:tcMar>
              <w:left w:w="60" w:type="dxa"/>
              <w:right w:w="60" w:type="dxa"/>
            </w:tcMar>
          </w:tcPr>
          <w:p w14:paraId="7385B44C"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Folliculitis decalvans</w:t>
            </w:r>
          </w:p>
        </w:tc>
        <w:tc>
          <w:tcPr>
            <w:tcW w:w="815" w:type="dxa"/>
            <w:shd w:val="clear" w:color="auto" w:fill="FFFFFF"/>
            <w:tcMar>
              <w:left w:w="60" w:type="dxa"/>
              <w:right w:w="60" w:type="dxa"/>
            </w:tcMar>
          </w:tcPr>
          <w:p w14:paraId="6B62C1B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46AF72D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53D63DD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5D0FF5E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78270466" w14:textId="77777777" w:rsidTr="008452F4">
        <w:trPr>
          <w:cantSplit/>
          <w:jc w:val="center"/>
        </w:trPr>
        <w:tc>
          <w:tcPr>
            <w:tcW w:w="3780" w:type="dxa"/>
            <w:shd w:val="clear" w:color="auto" w:fill="FFFFFF"/>
            <w:tcMar>
              <w:left w:w="60" w:type="dxa"/>
              <w:right w:w="60" w:type="dxa"/>
            </w:tcMar>
          </w:tcPr>
          <w:p w14:paraId="1A1E8417"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Hot flushes</w:t>
            </w:r>
          </w:p>
        </w:tc>
        <w:tc>
          <w:tcPr>
            <w:tcW w:w="815" w:type="dxa"/>
            <w:shd w:val="clear" w:color="auto" w:fill="FFFFFF"/>
            <w:tcMar>
              <w:left w:w="60" w:type="dxa"/>
              <w:right w:w="60" w:type="dxa"/>
            </w:tcMar>
          </w:tcPr>
          <w:p w14:paraId="1FBE1C3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5B4DCDE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52E1529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92B2B4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6145E122" w14:textId="77777777" w:rsidTr="008452F4">
        <w:trPr>
          <w:cantSplit/>
          <w:jc w:val="center"/>
        </w:trPr>
        <w:tc>
          <w:tcPr>
            <w:tcW w:w="3780" w:type="dxa"/>
            <w:shd w:val="clear" w:color="auto" w:fill="FFFFFF"/>
            <w:tcMar>
              <w:left w:w="60" w:type="dxa"/>
              <w:right w:w="60" w:type="dxa"/>
            </w:tcMar>
          </w:tcPr>
          <w:p w14:paraId="0BE0A835"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Insomnia exacerbated</w:t>
            </w:r>
          </w:p>
        </w:tc>
        <w:tc>
          <w:tcPr>
            <w:tcW w:w="815" w:type="dxa"/>
            <w:shd w:val="clear" w:color="auto" w:fill="FFFFFF"/>
            <w:tcMar>
              <w:left w:w="60" w:type="dxa"/>
              <w:right w:w="60" w:type="dxa"/>
            </w:tcMar>
          </w:tcPr>
          <w:p w14:paraId="44A1A32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07FC642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789B48B1"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840994C"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52F0D08C" w14:textId="77777777" w:rsidTr="008452F4">
        <w:trPr>
          <w:cantSplit/>
          <w:jc w:val="center"/>
        </w:trPr>
        <w:tc>
          <w:tcPr>
            <w:tcW w:w="3780" w:type="dxa"/>
            <w:shd w:val="clear" w:color="auto" w:fill="FFFFFF"/>
            <w:tcMar>
              <w:left w:w="60" w:type="dxa"/>
              <w:right w:w="60" w:type="dxa"/>
            </w:tcMar>
          </w:tcPr>
          <w:p w14:paraId="50DABE2D"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Painful urination</w:t>
            </w:r>
          </w:p>
        </w:tc>
        <w:tc>
          <w:tcPr>
            <w:tcW w:w="815" w:type="dxa"/>
            <w:shd w:val="clear" w:color="auto" w:fill="FFFFFF"/>
            <w:tcMar>
              <w:left w:w="60" w:type="dxa"/>
              <w:right w:w="60" w:type="dxa"/>
            </w:tcMar>
          </w:tcPr>
          <w:p w14:paraId="72BEA29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671017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0852983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3A52E5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3DF875E3" w14:textId="77777777" w:rsidTr="008452F4">
        <w:trPr>
          <w:cantSplit/>
          <w:jc w:val="center"/>
        </w:trPr>
        <w:tc>
          <w:tcPr>
            <w:tcW w:w="3780" w:type="dxa"/>
            <w:shd w:val="clear" w:color="auto" w:fill="FFFFFF"/>
            <w:tcMar>
              <w:left w:w="60" w:type="dxa"/>
              <w:right w:w="60" w:type="dxa"/>
            </w:tcMar>
          </w:tcPr>
          <w:p w14:paraId="7B7D631F"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Shoulder pain</w:t>
            </w:r>
          </w:p>
        </w:tc>
        <w:tc>
          <w:tcPr>
            <w:tcW w:w="815" w:type="dxa"/>
            <w:shd w:val="clear" w:color="auto" w:fill="FFFFFF"/>
            <w:tcMar>
              <w:left w:w="60" w:type="dxa"/>
              <w:right w:w="60" w:type="dxa"/>
            </w:tcMar>
          </w:tcPr>
          <w:p w14:paraId="14509B6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736714C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549556B5"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002C48F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258EE1E2" w14:textId="77777777" w:rsidTr="008452F4">
        <w:trPr>
          <w:cantSplit/>
          <w:jc w:val="center"/>
        </w:trPr>
        <w:tc>
          <w:tcPr>
            <w:tcW w:w="3780" w:type="dxa"/>
            <w:shd w:val="clear" w:color="auto" w:fill="FFFFFF"/>
            <w:tcMar>
              <w:left w:w="60" w:type="dxa"/>
              <w:right w:w="60" w:type="dxa"/>
            </w:tcMar>
          </w:tcPr>
          <w:p w14:paraId="7FCF61D9"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Throat infection</w:t>
            </w:r>
          </w:p>
        </w:tc>
        <w:tc>
          <w:tcPr>
            <w:tcW w:w="815" w:type="dxa"/>
            <w:shd w:val="clear" w:color="auto" w:fill="FFFFFF"/>
            <w:tcMar>
              <w:left w:w="60" w:type="dxa"/>
              <w:right w:w="60" w:type="dxa"/>
            </w:tcMar>
          </w:tcPr>
          <w:p w14:paraId="51E9CEFF"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11B6EE92"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31EB1A07"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235240DB"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01563200" w14:textId="77777777" w:rsidTr="008452F4">
        <w:trPr>
          <w:cantSplit/>
          <w:jc w:val="center"/>
        </w:trPr>
        <w:tc>
          <w:tcPr>
            <w:tcW w:w="3780" w:type="dxa"/>
            <w:shd w:val="clear" w:color="auto" w:fill="FFFFFF"/>
            <w:tcMar>
              <w:left w:w="60" w:type="dxa"/>
              <w:right w:w="60" w:type="dxa"/>
            </w:tcMar>
          </w:tcPr>
          <w:p w14:paraId="757C6A26"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Urinary frequency</w:t>
            </w:r>
          </w:p>
        </w:tc>
        <w:tc>
          <w:tcPr>
            <w:tcW w:w="815" w:type="dxa"/>
            <w:shd w:val="clear" w:color="auto" w:fill="FFFFFF"/>
            <w:tcMar>
              <w:left w:w="60" w:type="dxa"/>
              <w:right w:w="60" w:type="dxa"/>
            </w:tcMar>
          </w:tcPr>
          <w:p w14:paraId="410125D9"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415BAF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30B36EDA"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6EB06D18"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r w:rsidR="00445EEE" w:rsidRPr="00445EEE" w14:paraId="491D3757" w14:textId="77777777" w:rsidTr="008452F4">
        <w:trPr>
          <w:cantSplit/>
          <w:jc w:val="center"/>
        </w:trPr>
        <w:tc>
          <w:tcPr>
            <w:tcW w:w="3780" w:type="dxa"/>
            <w:shd w:val="clear" w:color="auto" w:fill="FFFFFF"/>
            <w:tcMar>
              <w:left w:w="60" w:type="dxa"/>
              <w:right w:w="60" w:type="dxa"/>
            </w:tcMar>
          </w:tcPr>
          <w:p w14:paraId="62C8DC46" w14:textId="77777777" w:rsidR="00445EEE" w:rsidRPr="00445EEE" w:rsidRDefault="00445EEE" w:rsidP="00445EEE">
            <w:pPr>
              <w:keepNext/>
              <w:adjustRightInd w:val="0"/>
              <w:spacing w:before="60" w:after="60" w:line="259" w:lineRule="auto"/>
              <w:ind w:firstLine="288"/>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Vomiting</w:t>
            </w:r>
          </w:p>
        </w:tc>
        <w:tc>
          <w:tcPr>
            <w:tcW w:w="815" w:type="dxa"/>
            <w:shd w:val="clear" w:color="auto" w:fill="FFFFFF"/>
            <w:tcMar>
              <w:left w:w="60" w:type="dxa"/>
              <w:right w:w="60" w:type="dxa"/>
            </w:tcMar>
          </w:tcPr>
          <w:p w14:paraId="4EB7651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w:t>
            </w:r>
          </w:p>
        </w:tc>
        <w:tc>
          <w:tcPr>
            <w:tcW w:w="815" w:type="dxa"/>
            <w:shd w:val="clear" w:color="auto" w:fill="FFFFFF"/>
            <w:tcMar>
              <w:left w:w="60" w:type="dxa"/>
              <w:right w:w="60" w:type="dxa"/>
            </w:tcMar>
          </w:tcPr>
          <w:p w14:paraId="6CACF0E0"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0.0</w:t>
            </w:r>
          </w:p>
        </w:tc>
        <w:tc>
          <w:tcPr>
            <w:tcW w:w="815" w:type="dxa"/>
            <w:shd w:val="clear" w:color="auto" w:fill="FFFFFF"/>
            <w:tcMar>
              <w:left w:w="60" w:type="dxa"/>
              <w:right w:w="60" w:type="dxa"/>
            </w:tcMar>
          </w:tcPr>
          <w:p w14:paraId="41A1A7F4"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1</w:t>
            </w:r>
          </w:p>
        </w:tc>
        <w:tc>
          <w:tcPr>
            <w:tcW w:w="815" w:type="dxa"/>
            <w:shd w:val="clear" w:color="auto" w:fill="FFFFFF"/>
            <w:tcMar>
              <w:left w:w="60" w:type="dxa"/>
              <w:right w:w="60" w:type="dxa"/>
            </w:tcMar>
          </w:tcPr>
          <w:p w14:paraId="71B508BD" w14:textId="77777777" w:rsidR="00445EEE" w:rsidRPr="00445EEE" w:rsidRDefault="00445EEE" w:rsidP="00445EEE">
            <w:pPr>
              <w:keepNext/>
              <w:adjustRightInd w:val="0"/>
              <w:spacing w:before="60" w:after="60" w:line="259" w:lineRule="auto"/>
              <w:jc w:val="center"/>
              <w:rPr>
                <w:rFonts w:ascii="Times New Roman" w:eastAsia="Calibri" w:hAnsi="Times New Roman" w:cs="Times New Roman"/>
                <w:color w:val="000000"/>
                <w:sz w:val="22"/>
                <w:szCs w:val="22"/>
                <w:lang w:eastAsia="en-US"/>
              </w:rPr>
            </w:pPr>
            <w:r w:rsidRPr="00445EEE">
              <w:rPr>
                <w:rFonts w:ascii="Times New Roman" w:eastAsia="Calibri" w:hAnsi="Times New Roman" w:cs="Times New Roman"/>
                <w:color w:val="000000"/>
                <w:sz w:val="22"/>
                <w:szCs w:val="22"/>
                <w:lang w:eastAsia="en-US"/>
              </w:rPr>
              <w:t>3.3</w:t>
            </w:r>
          </w:p>
        </w:tc>
      </w:tr>
    </w:tbl>
    <w:p w14:paraId="07435688" w14:textId="69A91C99" w:rsidR="00445EEE" w:rsidRDefault="00445EEE" w:rsidP="73A2934E">
      <w:pPr>
        <w:rPr>
          <w:rFonts w:ascii="Arial" w:eastAsia="Arial" w:hAnsi="Arial" w:cs="Arial"/>
        </w:rPr>
      </w:pPr>
    </w:p>
    <w:p w14:paraId="401BA44A" w14:textId="728491DB" w:rsidR="00607453" w:rsidRPr="004C0746" w:rsidRDefault="00607453">
      <w:pPr>
        <w:rPr>
          <w:rFonts w:ascii="Times New Roman" w:eastAsia="Arial" w:hAnsi="Times New Roman" w:cs="Times New Roman"/>
          <w:sz w:val="22"/>
          <w:szCs w:val="22"/>
        </w:rPr>
      </w:pPr>
      <w:r w:rsidRPr="004C0746">
        <w:rPr>
          <w:rFonts w:ascii="Times New Roman" w:eastAsia="Calibri" w:hAnsi="Times New Roman" w:cs="Times New Roman"/>
          <w:color w:val="000000"/>
          <w:sz w:val="22"/>
          <w:szCs w:val="22"/>
          <w:vertAlign w:val="superscript"/>
          <w:lang w:eastAsia="en-US"/>
        </w:rPr>
        <w:t>a</w:t>
      </w:r>
      <w:r w:rsidRPr="004C0746">
        <w:rPr>
          <w:rFonts w:ascii="Times New Roman" w:eastAsia="Calibri" w:hAnsi="Times New Roman" w:cs="Times New Roman"/>
          <w:color w:val="000000"/>
          <w:sz w:val="22"/>
          <w:szCs w:val="22"/>
          <w:lang w:eastAsia="en-US"/>
        </w:rPr>
        <w:t xml:space="preserve"> Data for adverse events from randomization through 12 weeks are shown. Adverse events were collected using MedDRA-preferred terms. Safety was evaluated in the safety population and included all randomized participants who received at least one dose of </w:t>
      </w:r>
      <w:proofErr w:type="spellStart"/>
      <w:r w:rsidR="004C0746" w:rsidRPr="004C0746">
        <w:rPr>
          <w:rFonts w:ascii="Times New Roman" w:eastAsia="Calibri" w:hAnsi="Times New Roman" w:cs="Times New Roman"/>
          <w:color w:val="000000"/>
          <w:sz w:val="22"/>
          <w:szCs w:val="22"/>
          <w:lang w:eastAsia="en-US"/>
        </w:rPr>
        <w:t>a</w:t>
      </w:r>
      <w:r w:rsidRPr="004C0746">
        <w:rPr>
          <w:rFonts w:ascii="Times New Roman" w:eastAsia="Calibri" w:hAnsi="Times New Roman" w:cs="Times New Roman"/>
          <w:color w:val="000000"/>
          <w:sz w:val="22"/>
          <w:szCs w:val="22"/>
          <w:lang w:eastAsia="en-US"/>
        </w:rPr>
        <w:t>zetukalner</w:t>
      </w:r>
      <w:proofErr w:type="spellEnd"/>
      <w:r w:rsidRPr="004C0746">
        <w:rPr>
          <w:rFonts w:ascii="Times New Roman" w:eastAsia="Calibri" w:hAnsi="Times New Roman" w:cs="Times New Roman"/>
          <w:color w:val="000000"/>
          <w:sz w:val="22"/>
          <w:szCs w:val="22"/>
          <w:lang w:eastAsia="en-US"/>
        </w:rPr>
        <w:t xml:space="preserve"> or placebo.</w:t>
      </w:r>
      <w:r w:rsidRPr="004C0746">
        <w:rPr>
          <w:rFonts w:ascii="Times New Roman" w:eastAsia="Arial" w:hAnsi="Times New Roman" w:cs="Times New Roman"/>
          <w:sz w:val="22"/>
          <w:szCs w:val="22"/>
        </w:rPr>
        <w:br w:type="page"/>
      </w:r>
    </w:p>
    <w:p w14:paraId="16C96FBB" w14:textId="5EE11DDF" w:rsidR="00607453" w:rsidRPr="008507E3" w:rsidRDefault="00607453" w:rsidP="00607453">
      <w:pPr>
        <w:spacing w:line="259" w:lineRule="auto"/>
        <w:rPr>
          <w:rFonts w:ascii="Arial" w:eastAsia="Times New Roman" w:hAnsi="Arial" w:cs="Arial"/>
          <w:b/>
          <w:lang w:eastAsia="en-US"/>
        </w:rPr>
      </w:pPr>
      <w:r w:rsidRPr="008507E3">
        <w:rPr>
          <w:rFonts w:ascii="Arial" w:eastAsia="Times New Roman" w:hAnsi="Arial" w:cs="Arial"/>
          <w:b/>
          <w:lang w:eastAsia="en-US"/>
        </w:rPr>
        <w:lastRenderedPageBreak/>
        <w:t xml:space="preserve">Table S2: </w:t>
      </w:r>
      <w:r w:rsidRPr="008507E3">
        <w:rPr>
          <w:rFonts w:ascii="Arial" w:eastAsia="Calibri" w:hAnsi="Arial" w:cs="Arial"/>
          <w:b/>
          <w:color w:val="000000"/>
          <w:shd w:val="clear" w:color="auto" w:fill="FFFFFF"/>
          <w:lang w:eastAsia="en-US"/>
        </w:rPr>
        <w:t xml:space="preserve">Linear Mixed-Effects Model Estimates for Primary Endpoint </w:t>
      </w:r>
      <w:proofErr w:type="spellStart"/>
      <w:proofErr w:type="gramStart"/>
      <w:r w:rsidRPr="008507E3">
        <w:rPr>
          <w:rFonts w:ascii="Arial" w:eastAsia="Calibri" w:hAnsi="Arial" w:cs="Arial"/>
          <w:b/>
          <w:color w:val="000000"/>
          <w:shd w:val="clear" w:color="auto" w:fill="FFFFFF"/>
          <w:vertAlign w:val="superscript"/>
          <w:lang w:eastAsia="en-US"/>
        </w:rPr>
        <w:t>a,b</w:t>
      </w:r>
      <w:proofErr w:type="spellEnd"/>
      <w:proofErr w:type="gramEnd"/>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1335"/>
        <w:gridCol w:w="1335"/>
        <w:gridCol w:w="2025"/>
      </w:tblGrid>
      <w:tr w:rsidR="00607453" w:rsidRPr="00607453" w14:paraId="45468D92" w14:textId="77777777" w:rsidTr="008452F4">
        <w:trPr>
          <w:trHeight w:val="300"/>
        </w:trPr>
        <w:tc>
          <w:tcPr>
            <w:tcW w:w="1590" w:type="dxa"/>
            <w:tcBorders>
              <w:top w:val="single" w:sz="6" w:space="0" w:color="auto"/>
              <w:left w:val="single" w:sz="6" w:space="0" w:color="auto"/>
              <w:bottom w:val="single" w:sz="6" w:space="0" w:color="auto"/>
              <w:right w:val="single" w:sz="6" w:space="0" w:color="auto"/>
            </w:tcBorders>
            <w:shd w:val="clear" w:color="auto" w:fill="BDD6EE"/>
            <w:hideMark/>
          </w:tcPr>
          <w:p w14:paraId="116650DE"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1D39117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b/>
                <w:bCs/>
                <w:sz w:val="22"/>
                <w:szCs w:val="22"/>
                <w:lang w:eastAsia="en-US"/>
              </w:rPr>
              <w:t>Azetukalner</w:t>
            </w:r>
            <w:proofErr w:type="spellEnd"/>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160D52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Placebo</w:t>
            </w:r>
            <w:r w:rsidRPr="00607453">
              <w:rPr>
                <w:rFonts w:ascii="Times New Roman" w:eastAsia="Times New Roman" w:hAnsi="Times New Roman" w:cs="Times New Roman"/>
                <w:sz w:val="22"/>
                <w:szCs w:val="22"/>
                <w:lang w:eastAsia="en-US"/>
              </w:rPr>
              <w:t> </w:t>
            </w:r>
          </w:p>
        </w:tc>
        <w:tc>
          <w:tcPr>
            <w:tcW w:w="202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6ADD425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b/>
                <w:bCs/>
                <w:sz w:val="22"/>
                <w:szCs w:val="22"/>
                <w:lang w:eastAsia="en-US"/>
              </w:rPr>
              <w:t>Azetukalner</w:t>
            </w:r>
            <w:proofErr w:type="spellEnd"/>
            <w:r w:rsidRPr="00607453">
              <w:rPr>
                <w:rFonts w:ascii="Times New Roman" w:eastAsia="Times New Roman" w:hAnsi="Times New Roman" w:cs="Times New Roman"/>
                <w:b/>
                <w:bCs/>
                <w:sz w:val="22"/>
                <w:szCs w:val="22"/>
                <w:lang w:eastAsia="en-US"/>
              </w:rPr>
              <w:t xml:space="preserve"> – Placebo</w:t>
            </w:r>
            <w:r w:rsidRPr="00607453">
              <w:rPr>
                <w:rFonts w:ascii="Times New Roman" w:eastAsia="Times New Roman" w:hAnsi="Times New Roman" w:cs="Times New Roman"/>
                <w:sz w:val="22"/>
                <w:szCs w:val="22"/>
                <w:lang w:eastAsia="en-US"/>
              </w:rPr>
              <w:t> </w:t>
            </w:r>
          </w:p>
        </w:tc>
      </w:tr>
      <w:tr w:rsidR="00607453" w:rsidRPr="00607453" w14:paraId="2BE366A3" w14:textId="77777777" w:rsidTr="008452F4">
        <w:trPr>
          <w:trHeight w:val="300"/>
        </w:trPr>
        <w:tc>
          <w:tcPr>
            <w:tcW w:w="1590" w:type="dxa"/>
            <w:tcBorders>
              <w:top w:val="single" w:sz="6" w:space="0" w:color="auto"/>
              <w:left w:val="single" w:sz="6" w:space="0" w:color="auto"/>
              <w:bottom w:val="single" w:sz="6" w:space="0" w:color="auto"/>
              <w:right w:val="single" w:sz="6" w:space="0" w:color="auto"/>
            </w:tcBorders>
            <w:hideMark/>
          </w:tcPr>
          <w:p w14:paraId="3EB1FA06"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4CD185C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Predicted Mean (SE) </w:t>
            </w:r>
          </w:p>
        </w:tc>
        <w:tc>
          <w:tcPr>
            <w:tcW w:w="1335" w:type="dxa"/>
            <w:tcBorders>
              <w:top w:val="single" w:sz="6" w:space="0" w:color="auto"/>
              <w:left w:val="single" w:sz="6" w:space="0" w:color="auto"/>
              <w:bottom w:val="single" w:sz="6" w:space="0" w:color="auto"/>
              <w:right w:val="single" w:sz="6" w:space="0" w:color="auto"/>
            </w:tcBorders>
            <w:hideMark/>
          </w:tcPr>
          <w:p w14:paraId="1D07109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Predicted Mean (SE) </w:t>
            </w:r>
          </w:p>
        </w:tc>
        <w:tc>
          <w:tcPr>
            <w:tcW w:w="2025" w:type="dxa"/>
            <w:tcBorders>
              <w:top w:val="single" w:sz="6" w:space="0" w:color="auto"/>
              <w:left w:val="single" w:sz="6" w:space="0" w:color="auto"/>
              <w:bottom w:val="single" w:sz="6" w:space="0" w:color="auto"/>
              <w:right w:val="single" w:sz="6" w:space="0" w:color="auto"/>
            </w:tcBorders>
            <w:hideMark/>
          </w:tcPr>
          <w:p w14:paraId="3313779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w:t>
            </w:r>
          </w:p>
          <w:p w14:paraId="0CE0ECA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(90% CI) </w:t>
            </w:r>
          </w:p>
        </w:tc>
      </w:tr>
      <w:tr w:rsidR="00607453" w:rsidRPr="00607453" w14:paraId="312C477F" w14:textId="77777777" w:rsidTr="008452F4">
        <w:trPr>
          <w:trHeight w:val="300"/>
        </w:trPr>
        <w:tc>
          <w:tcPr>
            <w:tcW w:w="1590" w:type="dxa"/>
            <w:tcBorders>
              <w:top w:val="single" w:sz="6" w:space="0" w:color="auto"/>
              <w:left w:val="single" w:sz="6" w:space="0" w:color="auto"/>
              <w:bottom w:val="single" w:sz="6" w:space="0" w:color="auto"/>
              <w:right w:val="single" w:sz="6" w:space="0" w:color="auto"/>
            </w:tcBorders>
            <w:hideMark/>
          </w:tcPr>
          <w:p w14:paraId="4DE535E2"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Baseline </w:t>
            </w:r>
          </w:p>
        </w:tc>
        <w:tc>
          <w:tcPr>
            <w:tcW w:w="1335" w:type="dxa"/>
            <w:tcBorders>
              <w:top w:val="single" w:sz="6" w:space="0" w:color="auto"/>
              <w:left w:val="single" w:sz="6" w:space="0" w:color="auto"/>
              <w:bottom w:val="single" w:sz="6" w:space="0" w:color="auto"/>
              <w:right w:val="single" w:sz="6" w:space="0" w:color="auto"/>
            </w:tcBorders>
            <w:hideMark/>
          </w:tcPr>
          <w:p w14:paraId="6D51018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0.13 (0.10) </w:t>
            </w:r>
          </w:p>
        </w:tc>
        <w:tc>
          <w:tcPr>
            <w:tcW w:w="1335" w:type="dxa"/>
            <w:tcBorders>
              <w:top w:val="single" w:sz="6" w:space="0" w:color="auto"/>
              <w:left w:val="single" w:sz="6" w:space="0" w:color="auto"/>
              <w:bottom w:val="single" w:sz="6" w:space="0" w:color="auto"/>
              <w:right w:val="single" w:sz="6" w:space="0" w:color="auto"/>
            </w:tcBorders>
            <w:hideMark/>
          </w:tcPr>
          <w:p w14:paraId="57B5985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0.12 (0.10) </w:t>
            </w:r>
          </w:p>
        </w:tc>
        <w:tc>
          <w:tcPr>
            <w:tcW w:w="2025" w:type="dxa"/>
            <w:tcBorders>
              <w:top w:val="single" w:sz="6" w:space="0" w:color="auto"/>
              <w:left w:val="single" w:sz="6" w:space="0" w:color="auto"/>
              <w:bottom w:val="single" w:sz="6" w:space="0" w:color="auto"/>
              <w:right w:val="single" w:sz="6" w:space="0" w:color="auto"/>
            </w:tcBorders>
            <w:hideMark/>
          </w:tcPr>
          <w:p w14:paraId="6CA28098" w14:textId="66EEC3B4"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0.01 (-0.2</w:t>
            </w:r>
            <w:r w:rsidR="009C6CB8">
              <w:rPr>
                <w:rFonts w:ascii="Times New Roman" w:eastAsia="Times New Roman" w:hAnsi="Times New Roman" w:cs="Times New Roman"/>
                <w:sz w:val="22"/>
                <w:szCs w:val="22"/>
                <w:lang w:eastAsia="en-US"/>
              </w:rPr>
              <w:t>2</w:t>
            </w:r>
            <w:r w:rsidRPr="00607453">
              <w:rPr>
                <w:rFonts w:ascii="Times New Roman" w:eastAsia="Times New Roman" w:hAnsi="Times New Roman" w:cs="Times New Roman"/>
                <w:sz w:val="22"/>
                <w:szCs w:val="22"/>
                <w:lang w:eastAsia="en-US"/>
              </w:rPr>
              <w:t>, 0.2</w:t>
            </w:r>
            <w:r w:rsidR="009C6CB8">
              <w:rPr>
                <w:rFonts w:ascii="Times New Roman" w:eastAsia="Times New Roman" w:hAnsi="Times New Roman" w:cs="Times New Roman"/>
                <w:sz w:val="22"/>
                <w:szCs w:val="22"/>
                <w:lang w:eastAsia="en-US"/>
              </w:rPr>
              <w:t>4</w:t>
            </w:r>
            <w:r w:rsidRPr="00607453">
              <w:rPr>
                <w:rFonts w:ascii="Times New Roman" w:eastAsia="Times New Roman" w:hAnsi="Times New Roman" w:cs="Times New Roman"/>
                <w:sz w:val="22"/>
                <w:szCs w:val="22"/>
                <w:lang w:eastAsia="en-US"/>
              </w:rPr>
              <w:t>) </w:t>
            </w:r>
          </w:p>
        </w:tc>
      </w:tr>
      <w:tr w:rsidR="00607453" w:rsidRPr="00607453" w14:paraId="279E86C5" w14:textId="77777777" w:rsidTr="008452F4">
        <w:trPr>
          <w:trHeight w:val="300"/>
        </w:trPr>
        <w:tc>
          <w:tcPr>
            <w:tcW w:w="1590" w:type="dxa"/>
            <w:tcBorders>
              <w:top w:val="single" w:sz="6" w:space="0" w:color="auto"/>
              <w:left w:val="single" w:sz="6" w:space="0" w:color="auto"/>
              <w:bottom w:val="single" w:sz="6" w:space="0" w:color="auto"/>
              <w:right w:val="single" w:sz="6" w:space="0" w:color="auto"/>
            </w:tcBorders>
            <w:hideMark/>
          </w:tcPr>
          <w:p w14:paraId="0ABFABC8"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Week 8 </w:t>
            </w:r>
          </w:p>
        </w:tc>
        <w:tc>
          <w:tcPr>
            <w:tcW w:w="1335" w:type="dxa"/>
            <w:tcBorders>
              <w:top w:val="single" w:sz="6" w:space="0" w:color="auto"/>
              <w:left w:val="single" w:sz="6" w:space="0" w:color="auto"/>
              <w:bottom w:val="single" w:sz="6" w:space="0" w:color="auto"/>
              <w:right w:val="single" w:sz="6" w:space="0" w:color="auto"/>
            </w:tcBorders>
            <w:hideMark/>
          </w:tcPr>
          <w:p w14:paraId="762DC68F" w14:textId="70D6C833"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-0.1</w:t>
            </w:r>
            <w:r w:rsidR="009C6CB8">
              <w:rPr>
                <w:rFonts w:ascii="Times New Roman" w:eastAsia="Times New Roman" w:hAnsi="Times New Roman" w:cs="Times New Roman"/>
                <w:sz w:val="22"/>
                <w:szCs w:val="22"/>
                <w:lang w:eastAsia="en-US"/>
              </w:rPr>
              <w:t>1</w:t>
            </w:r>
            <w:r w:rsidRPr="00607453">
              <w:rPr>
                <w:rFonts w:ascii="Times New Roman" w:eastAsia="Times New Roman" w:hAnsi="Times New Roman" w:cs="Times New Roman"/>
                <w:sz w:val="22"/>
                <w:szCs w:val="22"/>
                <w:lang w:eastAsia="en-US"/>
              </w:rPr>
              <w:t xml:space="preserve"> (0.10) </w:t>
            </w:r>
          </w:p>
        </w:tc>
        <w:tc>
          <w:tcPr>
            <w:tcW w:w="1335" w:type="dxa"/>
            <w:tcBorders>
              <w:top w:val="single" w:sz="6" w:space="0" w:color="auto"/>
              <w:left w:val="single" w:sz="6" w:space="0" w:color="auto"/>
              <w:bottom w:val="single" w:sz="6" w:space="0" w:color="auto"/>
              <w:right w:val="single" w:sz="6" w:space="0" w:color="auto"/>
            </w:tcBorders>
            <w:hideMark/>
          </w:tcPr>
          <w:p w14:paraId="552750E9" w14:textId="7ACB375F"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0.0</w:t>
            </w:r>
            <w:r w:rsidR="009C6CB8">
              <w:rPr>
                <w:rFonts w:ascii="Times New Roman" w:eastAsia="Times New Roman" w:hAnsi="Times New Roman" w:cs="Times New Roman"/>
                <w:sz w:val="22"/>
                <w:szCs w:val="22"/>
                <w:lang w:eastAsia="en-US"/>
              </w:rPr>
              <w:t>4</w:t>
            </w:r>
            <w:r w:rsidRPr="00607453">
              <w:rPr>
                <w:rFonts w:ascii="Times New Roman" w:eastAsia="Times New Roman" w:hAnsi="Times New Roman" w:cs="Times New Roman"/>
                <w:sz w:val="22"/>
                <w:szCs w:val="22"/>
                <w:lang w:eastAsia="en-US"/>
              </w:rPr>
              <w:t xml:space="preserve"> (0.10) </w:t>
            </w:r>
          </w:p>
        </w:tc>
        <w:tc>
          <w:tcPr>
            <w:tcW w:w="2025" w:type="dxa"/>
            <w:tcBorders>
              <w:top w:val="single" w:sz="6" w:space="0" w:color="auto"/>
              <w:left w:val="single" w:sz="6" w:space="0" w:color="auto"/>
              <w:bottom w:val="single" w:sz="6" w:space="0" w:color="auto"/>
              <w:right w:val="single" w:sz="6" w:space="0" w:color="auto"/>
            </w:tcBorders>
            <w:hideMark/>
          </w:tcPr>
          <w:p w14:paraId="6057E950" w14:textId="3CDC76A6"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-0.1</w:t>
            </w:r>
            <w:r w:rsidR="009C6CB8">
              <w:rPr>
                <w:rFonts w:ascii="Times New Roman" w:eastAsia="Times New Roman" w:hAnsi="Times New Roman" w:cs="Times New Roman"/>
                <w:sz w:val="22"/>
                <w:szCs w:val="22"/>
                <w:lang w:eastAsia="en-US"/>
              </w:rPr>
              <w:t>5</w:t>
            </w:r>
            <w:r w:rsidRPr="00607453">
              <w:rPr>
                <w:rFonts w:ascii="Times New Roman" w:eastAsia="Times New Roman" w:hAnsi="Times New Roman" w:cs="Times New Roman"/>
                <w:sz w:val="22"/>
                <w:szCs w:val="22"/>
                <w:lang w:eastAsia="en-US"/>
              </w:rPr>
              <w:t xml:space="preserve"> (-0.</w:t>
            </w:r>
            <w:r w:rsidR="00C50E44">
              <w:rPr>
                <w:rFonts w:ascii="Times New Roman" w:eastAsia="Times New Roman" w:hAnsi="Times New Roman" w:cs="Times New Roman"/>
                <w:sz w:val="22"/>
                <w:szCs w:val="22"/>
                <w:lang w:eastAsia="en-US"/>
              </w:rPr>
              <w:t>3</w:t>
            </w:r>
            <w:r w:rsidR="009C6CB8">
              <w:rPr>
                <w:rFonts w:ascii="Times New Roman" w:eastAsia="Times New Roman" w:hAnsi="Times New Roman" w:cs="Times New Roman"/>
                <w:sz w:val="22"/>
                <w:szCs w:val="22"/>
                <w:lang w:eastAsia="en-US"/>
              </w:rPr>
              <w:t>8</w:t>
            </w:r>
            <w:r w:rsidRPr="00607453">
              <w:rPr>
                <w:rFonts w:ascii="Times New Roman" w:eastAsia="Times New Roman" w:hAnsi="Times New Roman" w:cs="Times New Roman"/>
                <w:sz w:val="22"/>
                <w:szCs w:val="22"/>
                <w:lang w:eastAsia="en-US"/>
              </w:rPr>
              <w:t>, 0.</w:t>
            </w:r>
            <w:r w:rsidR="009C6CB8">
              <w:rPr>
                <w:rFonts w:ascii="Times New Roman" w:eastAsia="Times New Roman" w:hAnsi="Times New Roman" w:cs="Times New Roman"/>
                <w:sz w:val="22"/>
                <w:szCs w:val="22"/>
                <w:lang w:eastAsia="en-US"/>
              </w:rPr>
              <w:t>08</w:t>
            </w:r>
            <w:r w:rsidRPr="00607453">
              <w:rPr>
                <w:rFonts w:ascii="Times New Roman" w:eastAsia="Times New Roman" w:hAnsi="Times New Roman" w:cs="Times New Roman"/>
                <w:sz w:val="22"/>
                <w:szCs w:val="22"/>
                <w:lang w:eastAsia="en-US"/>
              </w:rPr>
              <w:t>) </w:t>
            </w:r>
          </w:p>
        </w:tc>
      </w:tr>
    </w:tbl>
    <w:p w14:paraId="47B4D99F" w14:textId="3EB08C83" w:rsidR="00445EEE" w:rsidRDefault="00445EEE" w:rsidP="73A2934E">
      <w:pPr>
        <w:rPr>
          <w:rFonts w:ascii="Arial" w:eastAsia="Arial" w:hAnsi="Arial" w:cs="Arial"/>
        </w:rPr>
      </w:pPr>
    </w:p>
    <w:p w14:paraId="4E00334B"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17"/>
          <w:szCs w:val="17"/>
          <w:vertAlign w:val="superscript"/>
          <w:lang w:eastAsia="en-US"/>
        </w:rPr>
        <w:t xml:space="preserve">a </w:t>
      </w:r>
      <w:r w:rsidRPr="00607453">
        <w:rPr>
          <w:rFonts w:ascii="Times New Roman" w:eastAsia="Times New Roman" w:hAnsi="Times New Roman" w:cs="Times New Roman"/>
          <w:sz w:val="22"/>
          <w:szCs w:val="22"/>
          <w:lang w:eastAsia="en-US"/>
        </w:rPr>
        <w:t>CI denotes confidence interval, SE standard error. </w:t>
      </w:r>
    </w:p>
    <w:p w14:paraId="78BCA833" w14:textId="77777777" w:rsidR="00607453" w:rsidRPr="00607453" w:rsidRDefault="00607453" w:rsidP="00607453">
      <w:pPr>
        <w:spacing w:after="0" w:line="240" w:lineRule="auto"/>
        <w:textAlignment w:val="baseline"/>
        <w:rPr>
          <w:rFonts w:ascii="Times New Roman" w:eastAsia="Times New Roman" w:hAnsi="Times New Roman" w:cs="Times New Roman"/>
          <w:sz w:val="22"/>
          <w:szCs w:val="22"/>
          <w:lang w:eastAsia="en-US"/>
        </w:rPr>
      </w:pPr>
      <w:r w:rsidRPr="00607453">
        <w:rPr>
          <w:rFonts w:ascii="Times New Roman" w:eastAsia="Times New Roman" w:hAnsi="Times New Roman" w:cs="Times New Roman"/>
          <w:sz w:val="17"/>
          <w:szCs w:val="17"/>
          <w:vertAlign w:val="superscript"/>
          <w:lang w:eastAsia="en-US"/>
        </w:rPr>
        <w:t xml:space="preserve">b </w:t>
      </w:r>
      <w:r w:rsidRPr="00607453">
        <w:rPr>
          <w:rFonts w:ascii="Times New Roman" w:eastAsia="Times New Roman" w:hAnsi="Times New Roman" w:cs="Times New Roman"/>
          <w:sz w:val="22"/>
          <w:szCs w:val="22"/>
          <w:lang w:eastAsia="en-US"/>
        </w:rPr>
        <w:t>Estimates are based on pooled estimates from multiply imputed datasets. </w:t>
      </w:r>
    </w:p>
    <w:p w14:paraId="160B63CB" w14:textId="788D9234" w:rsidR="00607453" w:rsidRDefault="00607453" w:rsidP="73A2934E">
      <w:pPr>
        <w:rPr>
          <w:rFonts w:ascii="Arial" w:eastAsia="Arial" w:hAnsi="Arial" w:cs="Arial"/>
        </w:rPr>
      </w:pPr>
    </w:p>
    <w:p w14:paraId="6A2EC176" w14:textId="1EC0AD5A" w:rsidR="00607453" w:rsidRDefault="00607453">
      <w:pPr>
        <w:rPr>
          <w:rFonts w:ascii="Arial" w:eastAsia="Arial" w:hAnsi="Arial" w:cs="Arial"/>
        </w:rPr>
      </w:pPr>
      <w:r>
        <w:rPr>
          <w:rFonts w:ascii="Arial" w:eastAsia="Arial" w:hAnsi="Arial" w:cs="Arial"/>
        </w:rPr>
        <w:br w:type="page"/>
      </w:r>
    </w:p>
    <w:p w14:paraId="52B9D0C3" w14:textId="77777777" w:rsidR="00607453" w:rsidRPr="008507E3" w:rsidRDefault="00607453" w:rsidP="00607453">
      <w:pPr>
        <w:spacing w:line="259" w:lineRule="auto"/>
        <w:rPr>
          <w:rFonts w:ascii="Arial" w:eastAsia="Times New Roman" w:hAnsi="Arial" w:cs="Arial"/>
          <w:b/>
          <w:sz w:val="22"/>
          <w:szCs w:val="22"/>
          <w:lang w:eastAsia="en-US"/>
        </w:rPr>
      </w:pPr>
      <w:r w:rsidRPr="008507E3">
        <w:rPr>
          <w:rFonts w:ascii="Arial" w:eastAsia="Times New Roman" w:hAnsi="Arial" w:cs="Arial"/>
          <w:b/>
          <w:lang w:eastAsia="en-US"/>
        </w:rPr>
        <w:lastRenderedPageBreak/>
        <w:t xml:space="preserve">Table S3: </w:t>
      </w:r>
      <w:r w:rsidRPr="008507E3">
        <w:rPr>
          <w:rFonts w:ascii="Arial" w:eastAsia="Calibri" w:hAnsi="Arial" w:cs="Arial"/>
          <w:b/>
          <w:lang w:eastAsia="en-US"/>
        </w:rPr>
        <w:t xml:space="preserve">Linear Mixed-Effects Model Estimates for Secondary </w:t>
      </w:r>
      <w:proofErr w:type="spellStart"/>
      <w:r w:rsidRPr="008507E3">
        <w:rPr>
          <w:rFonts w:ascii="Arial" w:eastAsia="Calibri" w:hAnsi="Arial" w:cs="Arial"/>
          <w:b/>
          <w:lang w:eastAsia="en-US"/>
        </w:rPr>
        <w:t>Endpoints</w:t>
      </w:r>
      <w:r w:rsidRPr="008507E3">
        <w:rPr>
          <w:rFonts w:ascii="Arial" w:eastAsia="Calibri" w:hAnsi="Arial" w:cs="Arial"/>
          <w:b/>
          <w:vertAlign w:val="superscript"/>
          <w:lang w:eastAsia="en-US"/>
        </w:rPr>
        <w:t>a</w:t>
      </w:r>
      <w:proofErr w:type="spellEnd"/>
      <w:r w:rsidRPr="008507E3">
        <w:rPr>
          <w:rFonts w:ascii="Arial" w:eastAsia="Calibri" w:hAnsi="Arial" w:cs="Arial"/>
          <w:b/>
          <w:vertAlign w:val="superscript"/>
          <w:lang w:eastAsia="en-US"/>
        </w:rPr>
        <w:t>, b</w:t>
      </w:r>
      <w:r w:rsidRPr="008507E3">
        <w:rPr>
          <w:rFonts w:ascii="Arial" w:eastAsia="Calibri" w:hAnsi="Arial" w:cs="Arial"/>
          <w:b/>
          <w:lang w:eastAsia="en-US"/>
        </w:rPr>
        <w:t> </w:t>
      </w:r>
    </w:p>
    <w:p w14:paraId="3D8A97E4" w14:textId="77777777" w:rsidR="00607453" w:rsidRPr="00607453" w:rsidRDefault="00607453" w:rsidP="00607453">
      <w:pPr>
        <w:spacing w:line="259" w:lineRule="auto"/>
        <w:rPr>
          <w:rFonts w:ascii="Times New Roman" w:eastAsia="Times New Roman" w:hAnsi="Times New Roman" w:cs="Times New Roman"/>
          <w:b/>
          <w:bCs/>
          <w:sz w:val="22"/>
          <w:szCs w:val="22"/>
          <w:lang w:eastAsia="en-US"/>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335"/>
        <w:gridCol w:w="1335"/>
        <w:gridCol w:w="1335"/>
        <w:gridCol w:w="1335"/>
        <w:gridCol w:w="1335"/>
      </w:tblGrid>
      <w:tr w:rsidR="00607453" w:rsidRPr="00607453" w14:paraId="2AB1F2C1"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08F1D182"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3FFF2D3C"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0</w:t>
            </w: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3B773BC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2</w:t>
            </w: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683DFB9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4</w:t>
            </w: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2CEAB59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6</w:t>
            </w: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434434F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8</w:t>
            </w:r>
            <w:r w:rsidRPr="00607453">
              <w:rPr>
                <w:rFonts w:ascii="Times New Roman" w:eastAsia="Times New Roman" w:hAnsi="Times New Roman" w:cs="Times New Roman"/>
                <w:sz w:val="22"/>
                <w:szCs w:val="22"/>
                <w:lang w:eastAsia="en-US"/>
              </w:rPr>
              <w:t> </w:t>
            </w:r>
          </w:p>
        </w:tc>
      </w:tr>
      <w:tr w:rsidR="00607453" w:rsidRPr="00607453" w14:paraId="1DBE0F2E" w14:textId="77777777" w:rsidTr="008452F4">
        <w:trPr>
          <w:trHeight w:val="300"/>
        </w:trPr>
        <w:tc>
          <w:tcPr>
            <w:tcW w:w="864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07BAA0F8"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MADRS Predicted Mean (SE)</w:t>
            </w:r>
            <w:r w:rsidRPr="00607453">
              <w:rPr>
                <w:rFonts w:ascii="Times New Roman" w:eastAsia="Times New Roman" w:hAnsi="Times New Roman" w:cs="Times New Roman"/>
                <w:sz w:val="22"/>
                <w:szCs w:val="22"/>
                <w:lang w:eastAsia="en-US"/>
              </w:rPr>
              <w:t>  </w:t>
            </w:r>
          </w:p>
        </w:tc>
      </w:tr>
      <w:tr w:rsidR="00607453" w:rsidRPr="00607453" w14:paraId="7E29C54F"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1F591D52"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sz w:val="22"/>
                <w:szCs w:val="22"/>
                <w:lang w:eastAsia="en-US"/>
              </w:rPr>
              <w:t>Azetukalner</w:t>
            </w:r>
            <w:proofErr w:type="spellEnd"/>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38C6A2D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28.55 (1.70) </w:t>
            </w:r>
          </w:p>
        </w:tc>
        <w:tc>
          <w:tcPr>
            <w:tcW w:w="1335" w:type="dxa"/>
            <w:tcBorders>
              <w:top w:val="single" w:sz="6" w:space="0" w:color="auto"/>
              <w:left w:val="single" w:sz="6" w:space="0" w:color="auto"/>
              <w:bottom w:val="single" w:sz="6" w:space="0" w:color="auto"/>
              <w:right w:val="single" w:sz="6" w:space="0" w:color="auto"/>
            </w:tcBorders>
            <w:hideMark/>
          </w:tcPr>
          <w:p w14:paraId="3760DF1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20.15 (1.72) </w:t>
            </w:r>
          </w:p>
        </w:tc>
        <w:tc>
          <w:tcPr>
            <w:tcW w:w="1335" w:type="dxa"/>
            <w:tcBorders>
              <w:top w:val="single" w:sz="6" w:space="0" w:color="auto"/>
              <w:left w:val="single" w:sz="6" w:space="0" w:color="auto"/>
              <w:bottom w:val="single" w:sz="6" w:space="0" w:color="auto"/>
              <w:right w:val="single" w:sz="6" w:space="0" w:color="auto"/>
            </w:tcBorders>
            <w:hideMark/>
          </w:tcPr>
          <w:p w14:paraId="1A5BC49C"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16.06 (1.74) </w:t>
            </w:r>
          </w:p>
        </w:tc>
        <w:tc>
          <w:tcPr>
            <w:tcW w:w="1335" w:type="dxa"/>
            <w:tcBorders>
              <w:top w:val="single" w:sz="6" w:space="0" w:color="auto"/>
              <w:left w:val="single" w:sz="6" w:space="0" w:color="auto"/>
              <w:bottom w:val="single" w:sz="6" w:space="0" w:color="auto"/>
              <w:right w:val="single" w:sz="6" w:space="0" w:color="auto"/>
            </w:tcBorders>
            <w:hideMark/>
          </w:tcPr>
          <w:p w14:paraId="4D92582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15.02 (1.77) </w:t>
            </w:r>
          </w:p>
        </w:tc>
        <w:tc>
          <w:tcPr>
            <w:tcW w:w="1335" w:type="dxa"/>
            <w:tcBorders>
              <w:top w:val="single" w:sz="6" w:space="0" w:color="auto"/>
              <w:left w:val="single" w:sz="6" w:space="0" w:color="auto"/>
              <w:bottom w:val="single" w:sz="6" w:space="0" w:color="auto"/>
              <w:right w:val="single" w:sz="6" w:space="0" w:color="auto"/>
            </w:tcBorders>
            <w:hideMark/>
          </w:tcPr>
          <w:p w14:paraId="024DCFC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15.54 (1.77) </w:t>
            </w:r>
          </w:p>
        </w:tc>
      </w:tr>
      <w:tr w:rsidR="00607453" w:rsidRPr="00607453" w14:paraId="68BD6874"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23835FBD"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Placebo  </w:t>
            </w:r>
          </w:p>
        </w:tc>
        <w:tc>
          <w:tcPr>
            <w:tcW w:w="1335" w:type="dxa"/>
            <w:tcBorders>
              <w:top w:val="single" w:sz="6" w:space="0" w:color="auto"/>
              <w:left w:val="single" w:sz="6" w:space="0" w:color="auto"/>
              <w:bottom w:val="single" w:sz="6" w:space="0" w:color="auto"/>
              <w:right w:val="single" w:sz="6" w:space="0" w:color="auto"/>
            </w:tcBorders>
            <w:hideMark/>
          </w:tcPr>
          <w:p w14:paraId="01FC9FC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27.87 (1.65) </w:t>
            </w:r>
          </w:p>
        </w:tc>
        <w:tc>
          <w:tcPr>
            <w:tcW w:w="1335" w:type="dxa"/>
            <w:tcBorders>
              <w:top w:val="single" w:sz="6" w:space="0" w:color="auto"/>
              <w:left w:val="single" w:sz="6" w:space="0" w:color="auto"/>
              <w:bottom w:val="single" w:sz="6" w:space="0" w:color="auto"/>
              <w:right w:val="single" w:sz="6" w:space="0" w:color="auto"/>
            </w:tcBorders>
            <w:hideMark/>
          </w:tcPr>
          <w:p w14:paraId="5389EE5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22.05 (1.66) </w:t>
            </w:r>
          </w:p>
        </w:tc>
        <w:tc>
          <w:tcPr>
            <w:tcW w:w="1335" w:type="dxa"/>
            <w:tcBorders>
              <w:top w:val="single" w:sz="6" w:space="0" w:color="auto"/>
              <w:left w:val="single" w:sz="6" w:space="0" w:color="auto"/>
              <w:bottom w:val="single" w:sz="6" w:space="0" w:color="auto"/>
              <w:right w:val="single" w:sz="6" w:space="0" w:color="auto"/>
            </w:tcBorders>
            <w:hideMark/>
          </w:tcPr>
          <w:p w14:paraId="6D88FB5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19.23 (1.70) </w:t>
            </w:r>
          </w:p>
        </w:tc>
        <w:tc>
          <w:tcPr>
            <w:tcW w:w="1335" w:type="dxa"/>
            <w:tcBorders>
              <w:top w:val="single" w:sz="6" w:space="0" w:color="auto"/>
              <w:left w:val="single" w:sz="6" w:space="0" w:color="auto"/>
              <w:bottom w:val="single" w:sz="6" w:space="0" w:color="auto"/>
              <w:right w:val="single" w:sz="6" w:space="0" w:color="auto"/>
            </w:tcBorders>
            <w:hideMark/>
          </w:tcPr>
          <w:p w14:paraId="3B1EF58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19.37 (1.70) </w:t>
            </w:r>
          </w:p>
        </w:tc>
        <w:tc>
          <w:tcPr>
            <w:tcW w:w="1335" w:type="dxa"/>
            <w:tcBorders>
              <w:top w:val="single" w:sz="6" w:space="0" w:color="auto"/>
              <w:left w:val="single" w:sz="6" w:space="0" w:color="auto"/>
              <w:bottom w:val="single" w:sz="6" w:space="0" w:color="auto"/>
              <w:right w:val="single" w:sz="6" w:space="0" w:color="auto"/>
            </w:tcBorders>
            <w:hideMark/>
          </w:tcPr>
          <w:p w14:paraId="2DBDE31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16.86 (1.71) </w:t>
            </w:r>
          </w:p>
        </w:tc>
      </w:tr>
      <w:tr w:rsidR="00607453" w:rsidRPr="00607453" w14:paraId="3F00C0E2"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455D2373"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(90% CI)  </w:t>
            </w:r>
          </w:p>
        </w:tc>
        <w:tc>
          <w:tcPr>
            <w:tcW w:w="1335" w:type="dxa"/>
            <w:tcBorders>
              <w:top w:val="single" w:sz="6" w:space="0" w:color="auto"/>
              <w:left w:val="single" w:sz="6" w:space="0" w:color="auto"/>
              <w:bottom w:val="single" w:sz="6" w:space="0" w:color="auto"/>
              <w:right w:val="single" w:sz="6" w:space="0" w:color="auto"/>
            </w:tcBorders>
            <w:hideMark/>
          </w:tcPr>
          <w:p w14:paraId="2125CF8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0.68 </w:t>
            </w:r>
          </w:p>
          <w:p w14:paraId="4297B60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(-3.24, 4.60) </w:t>
            </w:r>
          </w:p>
        </w:tc>
        <w:tc>
          <w:tcPr>
            <w:tcW w:w="1335" w:type="dxa"/>
            <w:tcBorders>
              <w:top w:val="single" w:sz="6" w:space="0" w:color="auto"/>
              <w:left w:val="single" w:sz="6" w:space="0" w:color="auto"/>
              <w:bottom w:val="single" w:sz="6" w:space="0" w:color="auto"/>
              <w:right w:val="single" w:sz="6" w:space="0" w:color="auto"/>
            </w:tcBorders>
            <w:hideMark/>
          </w:tcPr>
          <w:p w14:paraId="512EFCA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-1.90 </w:t>
            </w:r>
          </w:p>
          <w:p w14:paraId="129FE29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(-5.86, 2.06) </w:t>
            </w:r>
          </w:p>
        </w:tc>
        <w:tc>
          <w:tcPr>
            <w:tcW w:w="1335" w:type="dxa"/>
            <w:tcBorders>
              <w:top w:val="single" w:sz="6" w:space="0" w:color="auto"/>
              <w:left w:val="single" w:sz="6" w:space="0" w:color="auto"/>
              <w:bottom w:val="single" w:sz="6" w:space="0" w:color="auto"/>
              <w:right w:val="single" w:sz="6" w:space="0" w:color="auto"/>
            </w:tcBorders>
            <w:hideMark/>
          </w:tcPr>
          <w:p w14:paraId="1AC4BD1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-3.17 </w:t>
            </w:r>
          </w:p>
          <w:p w14:paraId="08969CA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(-7.19, 0.84) </w:t>
            </w:r>
          </w:p>
        </w:tc>
        <w:tc>
          <w:tcPr>
            <w:tcW w:w="1335" w:type="dxa"/>
            <w:tcBorders>
              <w:top w:val="single" w:sz="6" w:space="0" w:color="auto"/>
              <w:left w:val="single" w:sz="6" w:space="0" w:color="auto"/>
              <w:bottom w:val="single" w:sz="6" w:space="0" w:color="auto"/>
              <w:right w:val="single" w:sz="6" w:space="0" w:color="auto"/>
            </w:tcBorders>
            <w:hideMark/>
          </w:tcPr>
          <w:p w14:paraId="1503A9B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-4.35 </w:t>
            </w:r>
          </w:p>
          <w:p w14:paraId="4892105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(-8.40, -0.30) </w:t>
            </w:r>
          </w:p>
        </w:tc>
        <w:tc>
          <w:tcPr>
            <w:tcW w:w="1335" w:type="dxa"/>
            <w:tcBorders>
              <w:top w:val="single" w:sz="6" w:space="0" w:color="auto"/>
              <w:left w:val="single" w:sz="6" w:space="0" w:color="auto"/>
              <w:bottom w:val="single" w:sz="6" w:space="0" w:color="auto"/>
              <w:right w:val="single" w:sz="6" w:space="0" w:color="auto"/>
            </w:tcBorders>
            <w:hideMark/>
          </w:tcPr>
          <w:p w14:paraId="268AC5E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-1.32 </w:t>
            </w:r>
          </w:p>
          <w:p w14:paraId="34D7345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(-5.39, 2.75) </w:t>
            </w:r>
          </w:p>
        </w:tc>
      </w:tr>
      <w:tr w:rsidR="00607453" w:rsidRPr="00607453" w14:paraId="2C9C4D67" w14:textId="77777777" w:rsidTr="008452F4">
        <w:trPr>
          <w:trHeight w:val="300"/>
        </w:trPr>
        <w:tc>
          <w:tcPr>
            <w:tcW w:w="864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1AF46390"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SHAPS Predicted Mean (SE)</w:t>
            </w:r>
            <w:r w:rsidRPr="00607453">
              <w:rPr>
                <w:rFonts w:ascii="Times New Roman" w:eastAsia="Times New Roman" w:hAnsi="Times New Roman" w:cs="Times New Roman"/>
                <w:sz w:val="22"/>
                <w:szCs w:val="22"/>
                <w:lang w:eastAsia="en-US"/>
              </w:rPr>
              <w:t>  </w:t>
            </w:r>
          </w:p>
        </w:tc>
      </w:tr>
      <w:tr w:rsidR="00607453" w:rsidRPr="00607453" w14:paraId="1D7F73F3"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035223D7"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sz w:val="22"/>
                <w:szCs w:val="22"/>
                <w:lang w:eastAsia="en-US"/>
              </w:rPr>
              <w:t>Azetukalner</w:t>
            </w:r>
            <w:proofErr w:type="spellEnd"/>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0135A42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32.10 (1.32) </w:t>
            </w:r>
          </w:p>
        </w:tc>
        <w:tc>
          <w:tcPr>
            <w:tcW w:w="1335" w:type="dxa"/>
            <w:tcBorders>
              <w:top w:val="single" w:sz="6" w:space="0" w:color="auto"/>
              <w:left w:val="single" w:sz="6" w:space="0" w:color="auto"/>
              <w:bottom w:val="single" w:sz="6" w:space="0" w:color="auto"/>
              <w:right w:val="single" w:sz="6" w:space="0" w:color="auto"/>
            </w:tcBorders>
            <w:hideMark/>
          </w:tcPr>
          <w:p w14:paraId="01E75D1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28.93 (1.33) </w:t>
            </w:r>
          </w:p>
        </w:tc>
        <w:tc>
          <w:tcPr>
            <w:tcW w:w="1335" w:type="dxa"/>
            <w:tcBorders>
              <w:top w:val="single" w:sz="6" w:space="0" w:color="auto"/>
              <w:left w:val="single" w:sz="6" w:space="0" w:color="auto"/>
              <w:bottom w:val="single" w:sz="6" w:space="0" w:color="auto"/>
              <w:right w:val="single" w:sz="6" w:space="0" w:color="auto"/>
            </w:tcBorders>
            <w:hideMark/>
          </w:tcPr>
          <w:p w14:paraId="23EAFB9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26.93 (1.35) </w:t>
            </w:r>
          </w:p>
        </w:tc>
        <w:tc>
          <w:tcPr>
            <w:tcW w:w="1335" w:type="dxa"/>
            <w:tcBorders>
              <w:top w:val="single" w:sz="6" w:space="0" w:color="auto"/>
              <w:left w:val="single" w:sz="6" w:space="0" w:color="auto"/>
              <w:bottom w:val="single" w:sz="6" w:space="0" w:color="auto"/>
              <w:right w:val="single" w:sz="6" w:space="0" w:color="auto"/>
            </w:tcBorders>
            <w:hideMark/>
          </w:tcPr>
          <w:p w14:paraId="08C1A39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28.13 (1.37) </w:t>
            </w:r>
          </w:p>
        </w:tc>
        <w:tc>
          <w:tcPr>
            <w:tcW w:w="1335" w:type="dxa"/>
            <w:tcBorders>
              <w:top w:val="single" w:sz="6" w:space="0" w:color="auto"/>
              <w:left w:val="single" w:sz="6" w:space="0" w:color="auto"/>
              <w:bottom w:val="single" w:sz="6" w:space="0" w:color="auto"/>
              <w:right w:val="single" w:sz="6" w:space="0" w:color="auto"/>
            </w:tcBorders>
            <w:hideMark/>
          </w:tcPr>
          <w:p w14:paraId="07AD46B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26.17 (1.37) </w:t>
            </w:r>
          </w:p>
        </w:tc>
      </w:tr>
      <w:tr w:rsidR="00607453" w:rsidRPr="00607453" w14:paraId="4E64BCA7"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3D9004B6"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Placebo  </w:t>
            </w:r>
          </w:p>
        </w:tc>
        <w:tc>
          <w:tcPr>
            <w:tcW w:w="1335" w:type="dxa"/>
            <w:tcBorders>
              <w:top w:val="single" w:sz="6" w:space="0" w:color="auto"/>
              <w:left w:val="single" w:sz="6" w:space="0" w:color="auto"/>
              <w:bottom w:val="single" w:sz="6" w:space="0" w:color="auto"/>
              <w:right w:val="single" w:sz="6" w:space="0" w:color="auto"/>
            </w:tcBorders>
            <w:hideMark/>
          </w:tcPr>
          <w:p w14:paraId="59118AA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32.87 (1.28) </w:t>
            </w:r>
          </w:p>
        </w:tc>
        <w:tc>
          <w:tcPr>
            <w:tcW w:w="1335" w:type="dxa"/>
            <w:tcBorders>
              <w:top w:val="single" w:sz="6" w:space="0" w:color="auto"/>
              <w:left w:val="single" w:sz="6" w:space="0" w:color="auto"/>
              <w:bottom w:val="single" w:sz="6" w:space="0" w:color="auto"/>
              <w:right w:val="single" w:sz="6" w:space="0" w:color="auto"/>
            </w:tcBorders>
            <w:hideMark/>
          </w:tcPr>
          <w:p w14:paraId="11000FD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30.86 (1.29) </w:t>
            </w:r>
          </w:p>
        </w:tc>
        <w:tc>
          <w:tcPr>
            <w:tcW w:w="1335" w:type="dxa"/>
            <w:tcBorders>
              <w:top w:val="single" w:sz="6" w:space="0" w:color="auto"/>
              <w:left w:val="single" w:sz="6" w:space="0" w:color="auto"/>
              <w:bottom w:val="single" w:sz="6" w:space="0" w:color="auto"/>
              <w:right w:val="single" w:sz="6" w:space="0" w:color="auto"/>
            </w:tcBorders>
            <w:hideMark/>
          </w:tcPr>
          <w:p w14:paraId="4A6B89C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31.43 (1.31) </w:t>
            </w:r>
          </w:p>
        </w:tc>
        <w:tc>
          <w:tcPr>
            <w:tcW w:w="1335" w:type="dxa"/>
            <w:tcBorders>
              <w:top w:val="single" w:sz="6" w:space="0" w:color="auto"/>
              <w:left w:val="single" w:sz="6" w:space="0" w:color="auto"/>
              <w:bottom w:val="single" w:sz="6" w:space="0" w:color="auto"/>
              <w:right w:val="single" w:sz="6" w:space="0" w:color="auto"/>
            </w:tcBorders>
            <w:hideMark/>
          </w:tcPr>
          <w:p w14:paraId="1A91BB1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31.22 (1.31) </w:t>
            </w:r>
          </w:p>
        </w:tc>
        <w:tc>
          <w:tcPr>
            <w:tcW w:w="1335" w:type="dxa"/>
            <w:tcBorders>
              <w:top w:val="single" w:sz="6" w:space="0" w:color="auto"/>
              <w:left w:val="single" w:sz="6" w:space="0" w:color="auto"/>
              <w:bottom w:val="single" w:sz="6" w:space="0" w:color="auto"/>
              <w:right w:val="single" w:sz="6" w:space="0" w:color="auto"/>
            </w:tcBorders>
            <w:hideMark/>
          </w:tcPr>
          <w:p w14:paraId="63C3176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28.63 (1.33) </w:t>
            </w:r>
          </w:p>
        </w:tc>
      </w:tr>
      <w:tr w:rsidR="00607453" w:rsidRPr="00607453" w14:paraId="688CD499"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09A63966"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(90% CI)  </w:t>
            </w:r>
          </w:p>
        </w:tc>
        <w:tc>
          <w:tcPr>
            <w:tcW w:w="1335" w:type="dxa"/>
            <w:tcBorders>
              <w:top w:val="single" w:sz="6" w:space="0" w:color="auto"/>
              <w:left w:val="single" w:sz="6" w:space="0" w:color="auto"/>
              <w:bottom w:val="single" w:sz="6" w:space="0" w:color="auto"/>
              <w:right w:val="single" w:sz="6" w:space="0" w:color="auto"/>
            </w:tcBorders>
            <w:hideMark/>
          </w:tcPr>
          <w:p w14:paraId="48F4B2A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-0.77  </w:t>
            </w:r>
          </w:p>
          <w:p w14:paraId="6E769E23"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(-3.80, 2.27) </w:t>
            </w:r>
          </w:p>
        </w:tc>
        <w:tc>
          <w:tcPr>
            <w:tcW w:w="1335" w:type="dxa"/>
            <w:tcBorders>
              <w:top w:val="single" w:sz="6" w:space="0" w:color="auto"/>
              <w:left w:val="single" w:sz="6" w:space="0" w:color="auto"/>
              <w:bottom w:val="single" w:sz="6" w:space="0" w:color="auto"/>
              <w:right w:val="single" w:sz="6" w:space="0" w:color="auto"/>
            </w:tcBorders>
            <w:hideMark/>
          </w:tcPr>
          <w:p w14:paraId="579D8D0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-1.93  </w:t>
            </w:r>
          </w:p>
          <w:p w14:paraId="5237A64C"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(-5.00, 1.14) </w:t>
            </w:r>
          </w:p>
        </w:tc>
        <w:tc>
          <w:tcPr>
            <w:tcW w:w="1335" w:type="dxa"/>
            <w:tcBorders>
              <w:top w:val="single" w:sz="6" w:space="0" w:color="auto"/>
              <w:left w:val="single" w:sz="6" w:space="0" w:color="auto"/>
              <w:bottom w:val="single" w:sz="6" w:space="0" w:color="auto"/>
              <w:right w:val="single" w:sz="6" w:space="0" w:color="auto"/>
            </w:tcBorders>
            <w:hideMark/>
          </w:tcPr>
          <w:p w14:paraId="3BF3954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-4.50  </w:t>
            </w:r>
          </w:p>
          <w:p w14:paraId="0AB21B83"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(-7.62, -1.39) </w:t>
            </w:r>
          </w:p>
        </w:tc>
        <w:tc>
          <w:tcPr>
            <w:tcW w:w="1335" w:type="dxa"/>
            <w:tcBorders>
              <w:top w:val="single" w:sz="6" w:space="0" w:color="auto"/>
              <w:left w:val="single" w:sz="6" w:space="0" w:color="auto"/>
              <w:bottom w:val="single" w:sz="6" w:space="0" w:color="auto"/>
              <w:right w:val="single" w:sz="6" w:space="0" w:color="auto"/>
            </w:tcBorders>
            <w:hideMark/>
          </w:tcPr>
          <w:p w14:paraId="6DD620D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-3.09  </w:t>
            </w:r>
          </w:p>
          <w:p w14:paraId="4AB6D76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(-6.23, 0.05) </w:t>
            </w:r>
          </w:p>
        </w:tc>
        <w:tc>
          <w:tcPr>
            <w:tcW w:w="1335" w:type="dxa"/>
            <w:tcBorders>
              <w:top w:val="single" w:sz="6" w:space="0" w:color="auto"/>
              <w:left w:val="single" w:sz="6" w:space="0" w:color="auto"/>
              <w:bottom w:val="single" w:sz="6" w:space="0" w:color="auto"/>
              <w:right w:val="single" w:sz="6" w:space="0" w:color="auto"/>
            </w:tcBorders>
            <w:hideMark/>
          </w:tcPr>
          <w:p w14:paraId="6372A1F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-2.46  </w:t>
            </w:r>
          </w:p>
          <w:p w14:paraId="3FBD9F1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(-5.62, 0.69) </w:t>
            </w:r>
          </w:p>
        </w:tc>
      </w:tr>
    </w:tbl>
    <w:p w14:paraId="7DC4E7F7" w14:textId="77777777" w:rsidR="00607453" w:rsidRPr="00607453" w:rsidRDefault="00607453" w:rsidP="00607453">
      <w:pPr>
        <w:spacing w:line="259" w:lineRule="auto"/>
        <w:rPr>
          <w:rFonts w:ascii="Times New Roman" w:eastAsia="Times New Roman" w:hAnsi="Times New Roman" w:cs="Times New Roman"/>
          <w:b/>
          <w:bCs/>
          <w:sz w:val="22"/>
          <w:szCs w:val="22"/>
          <w:lang w:eastAsia="en-US"/>
        </w:rPr>
      </w:pPr>
    </w:p>
    <w:p w14:paraId="0603EEA3" w14:textId="5997E478"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17"/>
          <w:szCs w:val="17"/>
          <w:vertAlign w:val="superscript"/>
          <w:lang w:eastAsia="en-US"/>
        </w:rPr>
        <w:t xml:space="preserve">a </w:t>
      </w:r>
      <w:r w:rsidRPr="00607453">
        <w:rPr>
          <w:rFonts w:ascii="Times New Roman" w:eastAsia="Times New Roman" w:hAnsi="Times New Roman" w:cs="Times New Roman"/>
          <w:sz w:val="22"/>
          <w:szCs w:val="22"/>
          <w:lang w:eastAsia="en-US"/>
        </w:rPr>
        <w:t>CI denotes confidence interval, MADRS Montgomery–</w:t>
      </w:r>
      <w:proofErr w:type="spellStart"/>
      <w:r w:rsidR="004670EE" w:rsidRPr="004670EE">
        <w:rPr>
          <w:rFonts w:ascii="Times New Roman" w:eastAsia="Times New Roman" w:hAnsi="Times New Roman" w:cs="Times New Roman"/>
          <w:sz w:val="22"/>
          <w:szCs w:val="22"/>
          <w:lang w:eastAsia="en-US"/>
        </w:rPr>
        <w:t>Åsberg</w:t>
      </w:r>
      <w:proofErr w:type="spellEnd"/>
      <w:r w:rsidR="004670EE" w:rsidRPr="004670EE">
        <w:rPr>
          <w:rFonts w:ascii="Times New Roman" w:eastAsia="Times New Roman" w:hAnsi="Times New Roman" w:cs="Times New Roman"/>
          <w:sz w:val="22"/>
          <w:szCs w:val="22"/>
          <w:lang w:eastAsia="en-US"/>
        </w:rPr>
        <w:t xml:space="preserve"> </w:t>
      </w:r>
      <w:r w:rsidRPr="00607453">
        <w:rPr>
          <w:rFonts w:ascii="Times New Roman" w:eastAsia="Times New Roman" w:hAnsi="Times New Roman" w:cs="Times New Roman"/>
          <w:sz w:val="22"/>
          <w:szCs w:val="22"/>
          <w:lang w:eastAsia="en-US"/>
        </w:rPr>
        <w:t>Depression Rating Scale, SE standard error, SHAPS Snaith-Hamilton Pleasure Scale. </w:t>
      </w:r>
    </w:p>
    <w:p w14:paraId="5FE69916" w14:textId="1C54947A" w:rsidR="00607453" w:rsidRDefault="00607453" w:rsidP="00607453">
      <w:pPr>
        <w:spacing w:after="0" w:line="240" w:lineRule="auto"/>
        <w:textAlignment w:val="baseline"/>
        <w:rPr>
          <w:rFonts w:ascii="Times New Roman" w:eastAsia="Times New Roman" w:hAnsi="Times New Roman" w:cs="Times New Roman"/>
          <w:color w:val="000000"/>
          <w:sz w:val="22"/>
          <w:szCs w:val="22"/>
          <w:lang w:eastAsia="en-US"/>
        </w:rPr>
      </w:pPr>
      <w:r w:rsidRPr="00607453">
        <w:rPr>
          <w:rFonts w:ascii="Times New Roman" w:eastAsia="Times New Roman" w:hAnsi="Times New Roman" w:cs="Times New Roman"/>
          <w:sz w:val="17"/>
          <w:szCs w:val="17"/>
          <w:vertAlign w:val="superscript"/>
          <w:lang w:eastAsia="en-US"/>
        </w:rPr>
        <w:t xml:space="preserve">b </w:t>
      </w:r>
      <w:r w:rsidRPr="00607453">
        <w:rPr>
          <w:rFonts w:ascii="Times New Roman" w:eastAsia="Times New Roman" w:hAnsi="Times New Roman" w:cs="Times New Roman"/>
          <w:color w:val="000000"/>
          <w:sz w:val="22"/>
          <w:szCs w:val="22"/>
          <w:shd w:val="clear" w:color="auto" w:fill="FFFFFF"/>
          <w:lang w:eastAsia="en-US"/>
        </w:rPr>
        <w:t>Scores on the MADRS range from 0 to 60 with higher scores indicating greater severity of depression. Scores on the SHAPS range from 14 to 56 with higher scores indicating greater level of anhedonia. </w:t>
      </w:r>
      <w:r w:rsidRPr="00607453">
        <w:rPr>
          <w:rFonts w:ascii="Times New Roman" w:eastAsia="Times New Roman" w:hAnsi="Times New Roman" w:cs="Times New Roman"/>
          <w:color w:val="000000"/>
          <w:sz w:val="22"/>
          <w:szCs w:val="22"/>
          <w:lang w:eastAsia="en-US"/>
        </w:rPr>
        <w:t> </w:t>
      </w:r>
    </w:p>
    <w:p w14:paraId="73D0C676" w14:textId="2B5A9B46" w:rsidR="00607453" w:rsidRDefault="00607453" w:rsidP="00607453">
      <w:pPr>
        <w:spacing w:after="0" w:line="240" w:lineRule="auto"/>
        <w:textAlignment w:val="baseline"/>
        <w:rPr>
          <w:rFonts w:ascii="Times New Roman" w:eastAsia="Times New Roman" w:hAnsi="Times New Roman" w:cs="Times New Roman"/>
          <w:color w:val="000000"/>
          <w:sz w:val="22"/>
          <w:szCs w:val="22"/>
          <w:lang w:eastAsia="en-US"/>
        </w:rPr>
      </w:pPr>
    </w:p>
    <w:p w14:paraId="4E039064" w14:textId="79C71C80" w:rsidR="00607453" w:rsidRDefault="00607453">
      <w:pP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br w:type="page"/>
      </w:r>
    </w:p>
    <w:p w14:paraId="49876090" w14:textId="77777777" w:rsidR="00607453" w:rsidRPr="008507E3" w:rsidRDefault="00607453" w:rsidP="00607453">
      <w:pPr>
        <w:spacing w:after="0" w:line="240" w:lineRule="auto"/>
        <w:textAlignment w:val="baseline"/>
        <w:rPr>
          <w:rFonts w:ascii="Arial" w:eastAsia="Times New Roman" w:hAnsi="Arial" w:cs="Arial"/>
          <w:b/>
          <w:sz w:val="18"/>
          <w:szCs w:val="18"/>
          <w:lang w:eastAsia="en-US"/>
        </w:rPr>
      </w:pPr>
      <w:r w:rsidRPr="008507E3">
        <w:rPr>
          <w:rFonts w:ascii="Arial" w:eastAsia="Times New Roman" w:hAnsi="Arial" w:cs="Arial"/>
          <w:b/>
          <w:lang w:eastAsia="en-US"/>
        </w:rPr>
        <w:lastRenderedPageBreak/>
        <w:t xml:space="preserve">Table S4: Response and Remission Rates Post-Baseline Based on the </w:t>
      </w:r>
      <w:proofErr w:type="spellStart"/>
      <w:r w:rsidRPr="008507E3">
        <w:rPr>
          <w:rFonts w:ascii="Arial" w:eastAsia="Times New Roman" w:hAnsi="Arial" w:cs="Arial"/>
          <w:b/>
          <w:lang w:eastAsia="en-US"/>
        </w:rPr>
        <w:t>MADRS</w:t>
      </w:r>
      <w:r w:rsidRPr="008507E3">
        <w:rPr>
          <w:rFonts w:ascii="Arial" w:eastAsia="Times New Roman" w:hAnsi="Arial" w:cs="Arial"/>
          <w:b/>
          <w:vertAlign w:val="superscript"/>
          <w:lang w:eastAsia="en-US"/>
        </w:rPr>
        <w:t>a</w:t>
      </w:r>
      <w:proofErr w:type="spellEnd"/>
      <w:r w:rsidRPr="008507E3">
        <w:rPr>
          <w:rFonts w:ascii="Arial" w:eastAsia="Times New Roman" w:hAnsi="Arial" w:cs="Arial"/>
          <w:b/>
          <w:sz w:val="17"/>
          <w:szCs w:val="17"/>
          <w:lang w:eastAsia="en-US"/>
        </w:rPr>
        <w:t> </w:t>
      </w:r>
    </w:p>
    <w:p w14:paraId="69904528" w14:textId="77777777" w:rsidR="00607453" w:rsidRPr="00607453" w:rsidRDefault="00607453" w:rsidP="00607453">
      <w:pPr>
        <w:spacing w:line="259" w:lineRule="auto"/>
        <w:rPr>
          <w:rFonts w:ascii="Times New Roman" w:eastAsia="Times New Roman" w:hAnsi="Times New Roman" w:cs="Times New Roman"/>
          <w:b/>
          <w:bCs/>
          <w:sz w:val="22"/>
          <w:szCs w:val="22"/>
          <w:lang w:eastAsia="en-US"/>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5"/>
        <w:gridCol w:w="1605"/>
        <w:gridCol w:w="1575"/>
        <w:gridCol w:w="1575"/>
        <w:gridCol w:w="1575"/>
      </w:tblGrid>
      <w:tr w:rsidR="00607453" w:rsidRPr="00607453" w14:paraId="4390D942" w14:textId="77777777" w:rsidTr="008452F4">
        <w:trPr>
          <w:trHeight w:val="300"/>
        </w:trPr>
        <w:tc>
          <w:tcPr>
            <w:tcW w:w="1395" w:type="dxa"/>
            <w:tcBorders>
              <w:top w:val="single" w:sz="6" w:space="0" w:color="auto"/>
              <w:left w:val="single" w:sz="6" w:space="0" w:color="auto"/>
              <w:bottom w:val="single" w:sz="6" w:space="0" w:color="auto"/>
              <w:right w:val="single" w:sz="6" w:space="0" w:color="auto"/>
            </w:tcBorders>
            <w:shd w:val="clear" w:color="auto" w:fill="BDD6EE"/>
            <w:hideMark/>
          </w:tcPr>
          <w:p w14:paraId="5EBA0F5B"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w:t>
            </w:r>
          </w:p>
        </w:tc>
        <w:tc>
          <w:tcPr>
            <w:tcW w:w="3180" w:type="dxa"/>
            <w:gridSpan w:val="2"/>
            <w:tcBorders>
              <w:top w:val="single" w:sz="6" w:space="0" w:color="auto"/>
              <w:left w:val="single" w:sz="6" w:space="0" w:color="auto"/>
              <w:bottom w:val="single" w:sz="6" w:space="0" w:color="auto"/>
              <w:right w:val="single" w:sz="6" w:space="0" w:color="auto"/>
            </w:tcBorders>
            <w:shd w:val="clear" w:color="auto" w:fill="BDD6EE"/>
            <w:vAlign w:val="center"/>
            <w:hideMark/>
          </w:tcPr>
          <w:p w14:paraId="22EC119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b/>
                <w:bCs/>
                <w:sz w:val="22"/>
                <w:szCs w:val="22"/>
                <w:lang w:eastAsia="en-US"/>
              </w:rPr>
              <w:t>Response</w:t>
            </w:r>
            <w:r w:rsidRPr="00607453">
              <w:rPr>
                <w:rFonts w:ascii="Times New Roman" w:eastAsia="Times New Roman" w:hAnsi="Times New Roman" w:cs="Times New Roman"/>
                <w:b/>
                <w:bCs/>
                <w:sz w:val="17"/>
                <w:szCs w:val="17"/>
                <w:vertAlign w:val="superscript"/>
                <w:lang w:eastAsia="en-US"/>
              </w:rPr>
              <w:t>b</w:t>
            </w:r>
            <w:proofErr w:type="spellEnd"/>
            <w:r w:rsidRPr="00607453">
              <w:rPr>
                <w:rFonts w:ascii="Times New Roman" w:eastAsia="Times New Roman" w:hAnsi="Times New Roman" w:cs="Times New Roman"/>
                <w:sz w:val="17"/>
                <w:szCs w:val="17"/>
                <w:lang w:eastAsia="en-US"/>
              </w:rPr>
              <w:t> </w:t>
            </w:r>
          </w:p>
        </w:tc>
        <w:tc>
          <w:tcPr>
            <w:tcW w:w="3150"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556CA20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b/>
                <w:bCs/>
                <w:sz w:val="22"/>
                <w:szCs w:val="22"/>
                <w:lang w:eastAsia="en-US"/>
              </w:rPr>
              <w:t>Remission</w:t>
            </w:r>
            <w:r w:rsidRPr="00607453">
              <w:rPr>
                <w:rFonts w:ascii="Times New Roman" w:eastAsia="Times New Roman" w:hAnsi="Times New Roman" w:cs="Times New Roman"/>
                <w:b/>
                <w:bCs/>
                <w:sz w:val="17"/>
                <w:szCs w:val="17"/>
                <w:vertAlign w:val="superscript"/>
                <w:lang w:eastAsia="en-US"/>
              </w:rPr>
              <w:t>c</w:t>
            </w:r>
            <w:proofErr w:type="spellEnd"/>
            <w:r w:rsidRPr="00607453">
              <w:rPr>
                <w:rFonts w:ascii="Times New Roman" w:eastAsia="Times New Roman" w:hAnsi="Times New Roman" w:cs="Times New Roman"/>
                <w:sz w:val="17"/>
                <w:szCs w:val="17"/>
                <w:lang w:eastAsia="en-US"/>
              </w:rPr>
              <w:t> </w:t>
            </w:r>
          </w:p>
        </w:tc>
      </w:tr>
      <w:tr w:rsidR="00607453" w:rsidRPr="00607453" w14:paraId="0B18A519" w14:textId="77777777" w:rsidTr="008452F4">
        <w:trPr>
          <w:trHeight w:val="300"/>
        </w:trPr>
        <w:tc>
          <w:tcPr>
            <w:tcW w:w="1395" w:type="dxa"/>
            <w:tcBorders>
              <w:top w:val="single" w:sz="6" w:space="0" w:color="auto"/>
              <w:left w:val="single" w:sz="6" w:space="0" w:color="auto"/>
              <w:bottom w:val="single" w:sz="6" w:space="0" w:color="auto"/>
              <w:right w:val="single" w:sz="6" w:space="0" w:color="auto"/>
            </w:tcBorders>
            <w:shd w:val="clear" w:color="auto" w:fill="BDD6EE"/>
            <w:hideMark/>
          </w:tcPr>
          <w:p w14:paraId="26EB9657"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w:t>
            </w:r>
          </w:p>
        </w:tc>
        <w:tc>
          <w:tcPr>
            <w:tcW w:w="160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6F3478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b/>
                <w:bCs/>
                <w:sz w:val="22"/>
                <w:szCs w:val="22"/>
                <w:lang w:eastAsia="en-US"/>
              </w:rPr>
              <w:t>Azetukalner</w:t>
            </w:r>
            <w:proofErr w:type="spellEnd"/>
          </w:p>
        </w:tc>
        <w:tc>
          <w:tcPr>
            <w:tcW w:w="157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2E0B90D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Placebo</w:t>
            </w:r>
            <w:r w:rsidRPr="00607453">
              <w:rPr>
                <w:rFonts w:ascii="Times New Roman" w:eastAsia="Times New Roman" w:hAnsi="Times New Roman" w:cs="Times New Roman"/>
                <w:sz w:val="22"/>
                <w:szCs w:val="22"/>
                <w:lang w:eastAsia="en-US"/>
              </w:rPr>
              <w:t> </w:t>
            </w:r>
          </w:p>
        </w:tc>
        <w:tc>
          <w:tcPr>
            <w:tcW w:w="157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CC01B3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b/>
                <w:bCs/>
                <w:sz w:val="22"/>
                <w:szCs w:val="22"/>
                <w:lang w:eastAsia="en-US"/>
              </w:rPr>
              <w:t>Azetukalner</w:t>
            </w:r>
            <w:proofErr w:type="spellEnd"/>
            <w:r w:rsidRPr="00607453">
              <w:rPr>
                <w:rFonts w:ascii="Times New Roman" w:eastAsia="Times New Roman" w:hAnsi="Times New Roman" w:cs="Times New Roman"/>
                <w:sz w:val="22"/>
                <w:szCs w:val="22"/>
                <w:lang w:eastAsia="en-US"/>
              </w:rPr>
              <w:t> </w:t>
            </w:r>
          </w:p>
        </w:tc>
        <w:tc>
          <w:tcPr>
            <w:tcW w:w="157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40E0CCA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Placebo</w:t>
            </w:r>
            <w:r w:rsidRPr="00607453">
              <w:rPr>
                <w:rFonts w:ascii="Times New Roman" w:eastAsia="Times New Roman" w:hAnsi="Times New Roman" w:cs="Times New Roman"/>
                <w:sz w:val="22"/>
                <w:szCs w:val="22"/>
                <w:lang w:eastAsia="en-US"/>
              </w:rPr>
              <w:t> </w:t>
            </w:r>
          </w:p>
        </w:tc>
      </w:tr>
      <w:tr w:rsidR="00607453" w:rsidRPr="00607453" w14:paraId="4A420C57" w14:textId="77777777" w:rsidTr="008452F4">
        <w:trPr>
          <w:trHeight w:val="300"/>
        </w:trPr>
        <w:tc>
          <w:tcPr>
            <w:tcW w:w="1395" w:type="dxa"/>
            <w:tcBorders>
              <w:top w:val="single" w:sz="6" w:space="0" w:color="auto"/>
              <w:left w:val="single" w:sz="6" w:space="0" w:color="auto"/>
              <w:bottom w:val="single" w:sz="6" w:space="0" w:color="auto"/>
              <w:right w:val="single" w:sz="6" w:space="0" w:color="auto"/>
            </w:tcBorders>
            <w:hideMark/>
          </w:tcPr>
          <w:p w14:paraId="4B8275EA"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Week 2 </w:t>
            </w:r>
          </w:p>
        </w:tc>
        <w:tc>
          <w:tcPr>
            <w:tcW w:w="1605" w:type="dxa"/>
            <w:tcBorders>
              <w:top w:val="single" w:sz="6" w:space="0" w:color="auto"/>
              <w:left w:val="single" w:sz="6" w:space="0" w:color="auto"/>
              <w:bottom w:val="single" w:sz="6" w:space="0" w:color="auto"/>
              <w:right w:val="single" w:sz="6" w:space="0" w:color="auto"/>
            </w:tcBorders>
            <w:hideMark/>
          </w:tcPr>
          <w:p w14:paraId="66F276E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7/29 = 0.24 </w:t>
            </w:r>
          </w:p>
        </w:tc>
        <w:tc>
          <w:tcPr>
            <w:tcW w:w="1575" w:type="dxa"/>
            <w:tcBorders>
              <w:top w:val="single" w:sz="6" w:space="0" w:color="auto"/>
              <w:left w:val="single" w:sz="6" w:space="0" w:color="auto"/>
              <w:bottom w:val="single" w:sz="6" w:space="0" w:color="auto"/>
              <w:right w:val="single" w:sz="6" w:space="0" w:color="auto"/>
            </w:tcBorders>
            <w:hideMark/>
          </w:tcPr>
          <w:p w14:paraId="7EC9A25C"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6/31 = 0.19 </w:t>
            </w:r>
          </w:p>
        </w:tc>
        <w:tc>
          <w:tcPr>
            <w:tcW w:w="1575" w:type="dxa"/>
            <w:tcBorders>
              <w:top w:val="single" w:sz="6" w:space="0" w:color="auto"/>
              <w:left w:val="single" w:sz="6" w:space="0" w:color="auto"/>
              <w:bottom w:val="single" w:sz="6" w:space="0" w:color="auto"/>
              <w:right w:val="single" w:sz="6" w:space="0" w:color="auto"/>
            </w:tcBorders>
            <w:hideMark/>
          </w:tcPr>
          <w:p w14:paraId="1866A713"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5/29 = 0.17 </w:t>
            </w:r>
          </w:p>
        </w:tc>
        <w:tc>
          <w:tcPr>
            <w:tcW w:w="1575" w:type="dxa"/>
            <w:tcBorders>
              <w:top w:val="single" w:sz="6" w:space="0" w:color="auto"/>
              <w:left w:val="single" w:sz="6" w:space="0" w:color="auto"/>
              <w:bottom w:val="single" w:sz="6" w:space="0" w:color="auto"/>
              <w:right w:val="single" w:sz="6" w:space="0" w:color="auto"/>
            </w:tcBorders>
            <w:hideMark/>
          </w:tcPr>
          <w:p w14:paraId="35243CEC"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4/31 = 0.13 </w:t>
            </w:r>
          </w:p>
        </w:tc>
      </w:tr>
      <w:tr w:rsidR="00607453" w:rsidRPr="00607453" w14:paraId="4F07A3AC" w14:textId="77777777" w:rsidTr="008452F4">
        <w:trPr>
          <w:trHeight w:val="300"/>
        </w:trPr>
        <w:tc>
          <w:tcPr>
            <w:tcW w:w="1395" w:type="dxa"/>
            <w:tcBorders>
              <w:top w:val="single" w:sz="6" w:space="0" w:color="auto"/>
              <w:left w:val="single" w:sz="6" w:space="0" w:color="auto"/>
              <w:bottom w:val="single" w:sz="6" w:space="0" w:color="auto"/>
              <w:right w:val="single" w:sz="6" w:space="0" w:color="auto"/>
            </w:tcBorders>
            <w:hideMark/>
          </w:tcPr>
          <w:p w14:paraId="62E040F1"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Week 4 </w:t>
            </w:r>
          </w:p>
        </w:tc>
        <w:tc>
          <w:tcPr>
            <w:tcW w:w="1605" w:type="dxa"/>
            <w:tcBorders>
              <w:top w:val="single" w:sz="6" w:space="0" w:color="auto"/>
              <w:left w:val="single" w:sz="6" w:space="0" w:color="auto"/>
              <w:bottom w:val="single" w:sz="6" w:space="0" w:color="auto"/>
              <w:right w:val="single" w:sz="6" w:space="0" w:color="auto"/>
            </w:tcBorders>
            <w:hideMark/>
          </w:tcPr>
          <w:p w14:paraId="5028478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11/29 = 0.38 </w:t>
            </w:r>
          </w:p>
        </w:tc>
        <w:tc>
          <w:tcPr>
            <w:tcW w:w="1575" w:type="dxa"/>
            <w:tcBorders>
              <w:top w:val="single" w:sz="6" w:space="0" w:color="auto"/>
              <w:left w:val="single" w:sz="6" w:space="0" w:color="auto"/>
              <w:bottom w:val="single" w:sz="6" w:space="0" w:color="auto"/>
              <w:right w:val="single" w:sz="6" w:space="0" w:color="auto"/>
            </w:tcBorders>
            <w:hideMark/>
          </w:tcPr>
          <w:p w14:paraId="344BCD3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9/31 = 0.29 </w:t>
            </w:r>
          </w:p>
        </w:tc>
        <w:tc>
          <w:tcPr>
            <w:tcW w:w="1575" w:type="dxa"/>
            <w:tcBorders>
              <w:top w:val="single" w:sz="6" w:space="0" w:color="auto"/>
              <w:left w:val="single" w:sz="6" w:space="0" w:color="auto"/>
              <w:bottom w:val="single" w:sz="6" w:space="0" w:color="auto"/>
              <w:right w:val="single" w:sz="6" w:space="0" w:color="auto"/>
            </w:tcBorders>
            <w:hideMark/>
          </w:tcPr>
          <w:p w14:paraId="5B0BCCE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8/29 =   0.28 </w:t>
            </w:r>
          </w:p>
        </w:tc>
        <w:tc>
          <w:tcPr>
            <w:tcW w:w="1575" w:type="dxa"/>
            <w:tcBorders>
              <w:top w:val="single" w:sz="6" w:space="0" w:color="auto"/>
              <w:left w:val="single" w:sz="6" w:space="0" w:color="auto"/>
              <w:bottom w:val="single" w:sz="6" w:space="0" w:color="auto"/>
              <w:right w:val="single" w:sz="6" w:space="0" w:color="auto"/>
            </w:tcBorders>
            <w:hideMark/>
          </w:tcPr>
          <w:p w14:paraId="6EBFCC2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5/31 = 0.16 </w:t>
            </w:r>
          </w:p>
        </w:tc>
      </w:tr>
      <w:tr w:rsidR="00607453" w:rsidRPr="00607453" w14:paraId="50102D8F" w14:textId="77777777" w:rsidTr="008452F4">
        <w:trPr>
          <w:trHeight w:val="300"/>
        </w:trPr>
        <w:tc>
          <w:tcPr>
            <w:tcW w:w="1395" w:type="dxa"/>
            <w:tcBorders>
              <w:top w:val="single" w:sz="6" w:space="0" w:color="auto"/>
              <w:left w:val="single" w:sz="6" w:space="0" w:color="auto"/>
              <w:bottom w:val="single" w:sz="6" w:space="0" w:color="auto"/>
              <w:right w:val="single" w:sz="6" w:space="0" w:color="auto"/>
            </w:tcBorders>
            <w:hideMark/>
          </w:tcPr>
          <w:p w14:paraId="731EDD9D"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Week 6 </w:t>
            </w:r>
          </w:p>
        </w:tc>
        <w:tc>
          <w:tcPr>
            <w:tcW w:w="1605" w:type="dxa"/>
            <w:tcBorders>
              <w:top w:val="single" w:sz="6" w:space="0" w:color="auto"/>
              <w:left w:val="single" w:sz="6" w:space="0" w:color="auto"/>
              <w:bottom w:val="single" w:sz="6" w:space="0" w:color="auto"/>
              <w:right w:val="single" w:sz="6" w:space="0" w:color="auto"/>
            </w:tcBorders>
            <w:hideMark/>
          </w:tcPr>
          <w:p w14:paraId="0228D1F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13/29 = 0.45 </w:t>
            </w:r>
          </w:p>
        </w:tc>
        <w:tc>
          <w:tcPr>
            <w:tcW w:w="1575" w:type="dxa"/>
            <w:tcBorders>
              <w:top w:val="single" w:sz="6" w:space="0" w:color="auto"/>
              <w:left w:val="single" w:sz="6" w:space="0" w:color="auto"/>
              <w:bottom w:val="single" w:sz="6" w:space="0" w:color="auto"/>
              <w:right w:val="single" w:sz="6" w:space="0" w:color="auto"/>
            </w:tcBorders>
            <w:hideMark/>
          </w:tcPr>
          <w:p w14:paraId="730BA30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7/31 = 0.23 </w:t>
            </w:r>
          </w:p>
        </w:tc>
        <w:tc>
          <w:tcPr>
            <w:tcW w:w="1575" w:type="dxa"/>
            <w:tcBorders>
              <w:top w:val="single" w:sz="6" w:space="0" w:color="auto"/>
              <w:left w:val="single" w:sz="6" w:space="0" w:color="auto"/>
              <w:bottom w:val="single" w:sz="6" w:space="0" w:color="auto"/>
              <w:right w:val="single" w:sz="6" w:space="0" w:color="auto"/>
            </w:tcBorders>
            <w:hideMark/>
          </w:tcPr>
          <w:p w14:paraId="2079590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10/29 = 0.34 </w:t>
            </w:r>
          </w:p>
        </w:tc>
        <w:tc>
          <w:tcPr>
            <w:tcW w:w="1575" w:type="dxa"/>
            <w:tcBorders>
              <w:top w:val="single" w:sz="6" w:space="0" w:color="auto"/>
              <w:left w:val="single" w:sz="6" w:space="0" w:color="auto"/>
              <w:bottom w:val="single" w:sz="6" w:space="0" w:color="auto"/>
              <w:right w:val="single" w:sz="6" w:space="0" w:color="auto"/>
            </w:tcBorders>
            <w:hideMark/>
          </w:tcPr>
          <w:p w14:paraId="6A58145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6/31 = 0.19 </w:t>
            </w:r>
          </w:p>
        </w:tc>
      </w:tr>
      <w:tr w:rsidR="00607453" w:rsidRPr="00607453" w14:paraId="46B9A928" w14:textId="77777777" w:rsidTr="008452F4">
        <w:trPr>
          <w:trHeight w:val="300"/>
        </w:trPr>
        <w:tc>
          <w:tcPr>
            <w:tcW w:w="1395" w:type="dxa"/>
            <w:tcBorders>
              <w:top w:val="single" w:sz="6" w:space="0" w:color="auto"/>
              <w:left w:val="single" w:sz="6" w:space="0" w:color="auto"/>
              <w:bottom w:val="single" w:sz="6" w:space="0" w:color="auto"/>
              <w:right w:val="single" w:sz="6" w:space="0" w:color="auto"/>
            </w:tcBorders>
            <w:hideMark/>
          </w:tcPr>
          <w:p w14:paraId="17B0A164"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Week 8 </w:t>
            </w:r>
          </w:p>
        </w:tc>
        <w:tc>
          <w:tcPr>
            <w:tcW w:w="1605" w:type="dxa"/>
            <w:tcBorders>
              <w:top w:val="single" w:sz="6" w:space="0" w:color="auto"/>
              <w:left w:val="single" w:sz="6" w:space="0" w:color="auto"/>
              <w:bottom w:val="single" w:sz="6" w:space="0" w:color="auto"/>
              <w:right w:val="single" w:sz="6" w:space="0" w:color="auto"/>
            </w:tcBorders>
            <w:hideMark/>
          </w:tcPr>
          <w:p w14:paraId="6E2C360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11/29 = 0.38 </w:t>
            </w:r>
          </w:p>
        </w:tc>
        <w:tc>
          <w:tcPr>
            <w:tcW w:w="1575" w:type="dxa"/>
            <w:tcBorders>
              <w:top w:val="single" w:sz="6" w:space="0" w:color="auto"/>
              <w:left w:val="single" w:sz="6" w:space="0" w:color="auto"/>
              <w:bottom w:val="single" w:sz="6" w:space="0" w:color="auto"/>
              <w:right w:val="single" w:sz="6" w:space="0" w:color="auto"/>
            </w:tcBorders>
            <w:hideMark/>
          </w:tcPr>
          <w:p w14:paraId="31213C9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11/31 = 0.35 </w:t>
            </w:r>
          </w:p>
        </w:tc>
        <w:tc>
          <w:tcPr>
            <w:tcW w:w="1575" w:type="dxa"/>
            <w:tcBorders>
              <w:top w:val="single" w:sz="6" w:space="0" w:color="auto"/>
              <w:left w:val="single" w:sz="6" w:space="0" w:color="auto"/>
              <w:bottom w:val="single" w:sz="6" w:space="0" w:color="auto"/>
              <w:right w:val="single" w:sz="6" w:space="0" w:color="auto"/>
            </w:tcBorders>
            <w:hideMark/>
          </w:tcPr>
          <w:p w14:paraId="631EB13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9/29 =   0.31 </w:t>
            </w:r>
          </w:p>
        </w:tc>
        <w:tc>
          <w:tcPr>
            <w:tcW w:w="1575" w:type="dxa"/>
            <w:tcBorders>
              <w:top w:val="single" w:sz="6" w:space="0" w:color="auto"/>
              <w:left w:val="single" w:sz="6" w:space="0" w:color="auto"/>
              <w:bottom w:val="single" w:sz="6" w:space="0" w:color="auto"/>
              <w:right w:val="single" w:sz="6" w:space="0" w:color="auto"/>
            </w:tcBorders>
            <w:hideMark/>
          </w:tcPr>
          <w:p w14:paraId="2B82747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8/31 = 0.26 </w:t>
            </w:r>
          </w:p>
        </w:tc>
      </w:tr>
    </w:tbl>
    <w:p w14:paraId="5B9B2D69" w14:textId="77777777" w:rsidR="00607453" w:rsidRPr="00607453" w:rsidRDefault="00607453" w:rsidP="00607453">
      <w:pPr>
        <w:spacing w:line="259" w:lineRule="auto"/>
        <w:rPr>
          <w:rFonts w:ascii="Times New Roman" w:eastAsia="Times New Roman" w:hAnsi="Times New Roman" w:cs="Times New Roman"/>
          <w:b/>
          <w:bCs/>
          <w:sz w:val="22"/>
          <w:szCs w:val="22"/>
          <w:lang w:eastAsia="en-US"/>
        </w:rPr>
      </w:pPr>
    </w:p>
    <w:p w14:paraId="6B29F2BA"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17"/>
          <w:szCs w:val="17"/>
          <w:vertAlign w:val="superscript"/>
          <w:lang w:eastAsia="en-US"/>
        </w:rPr>
        <w:t xml:space="preserve">a </w:t>
      </w:r>
      <w:r w:rsidRPr="00607453">
        <w:rPr>
          <w:rFonts w:ascii="Times New Roman" w:eastAsia="Times New Roman" w:hAnsi="Times New Roman" w:cs="Times New Roman"/>
          <w:sz w:val="22"/>
          <w:szCs w:val="22"/>
          <w:lang w:eastAsia="en-US"/>
        </w:rPr>
        <w:t>MADRS denotes Montgomery–</w:t>
      </w:r>
      <w:proofErr w:type="spellStart"/>
      <w:r w:rsidRPr="00607453">
        <w:rPr>
          <w:rFonts w:ascii="Times New Roman" w:eastAsia="Times New Roman" w:hAnsi="Times New Roman" w:cs="Times New Roman"/>
          <w:sz w:val="22"/>
          <w:szCs w:val="22"/>
          <w:lang w:eastAsia="en-US"/>
        </w:rPr>
        <w:t>Asberg</w:t>
      </w:r>
      <w:proofErr w:type="spellEnd"/>
      <w:r w:rsidRPr="00607453">
        <w:rPr>
          <w:rFonts w:ascii="Times New Roman" w:eastAsia="Times New Roman" w:hAnsi="Times New Roman" w:cs="Times New Roman"/>
          <w:sz w:val="22"/>
          <w:szCs w:val="22"/>
          <w:lang w:eastAsia="en-US"/>
        </w:rPr>
        <w:t xml:space="preserve"> Depression Rating Scale. </w:t>
      </w:r>
    </w:p>
    <w:p w14:paraId="4351C4C1"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17"/>
          <w:szCs w:val="17"/>
          <w:vertAlign w:val="superscript"/>
          <w:lang w:eastAsia="en-US"/>
        </w:rPr>
        <w:t xml:space="preserve">b </w:t>
      </w:r>
      <w:r w:rsidRPr="00607453">
        <w:rPr>
          <w:rFonts w:ascii="Times New Roman" w:eastAsia="Times New Roman" w:hAnsi="Times New Roman" w:cs="Times New Roman"/>
          <w:color w:val="000000"/>
          <w:sz w:val="22"/>
          <w:szCs w:val="22"/>
          <w:shd w:val="clear" w:color="auto" w:fill="FFFFFF"/>
          <w:lang w:eastAsia="en-US"/>
        </w:rPr>
        <w:t>Response was defined as reduction of ≥50% in the MADRS score from baseline.</w:t>
      </w:r>
      <w:r w:rsidRPr="00607453">
        <w:rPr>
          <w:rFonts w:ascii="Times New Roman" w:eastAsia="Times New Roman" w:hAnsi="Times New Roman" w:cs="Times New Roman"/>
          <w:color w:val="000000"/>
          <w:sz w:val="22"/>
          <w:szCs w:val="22"/>
          <w:lang w:eastAsia="en-US"/>
        </w:rPr>
        <w:t> </w:t>
      </w:r>
    </w:p>
    <w:p w14:paraId="32F5EB44" w14:textId="37768B01" w:rsidR="00607453" w:rsidRDefault="00607453" w:rsidP="00607453">
      <w:pPr>
        <w:spacing w:after="0" w:line="240" w:lineRule="auto"/>
        <w:textAlignment w:val="baseline"/>
        <w:rPr>
          <w:rFonts w:ascii="Times New Roman" w:eastAsia="Times New Roman" w:hAnsi="Times New Roman" w:cs="Times New Roman"/>
          <w:color w:val="000000"/>
          <w:sz w:val="22"/>
          <w:szCs w:val="22"/>
          <w:lang w:eastAsia="en-US"/>
        </w:rPr>
      </w:pPr>
      <w:r w:rsidRPr="00607453">
        <w:rPr>
          <w:rFonts w:ascii="Times New Roman" w:eastAsia="Times New Roman" w:hAnsi="Times New Roman" w:cs="Times New Roman"/>
          <w:color w:val="000000"/>
          <w:sz w:val="17"/>
          <w:szCs w:val="17"/>
          <w:shd w:val="clear" w:color="auto" w:fill="FFFFFF"/>
          <w:vertAlign w:val="superscript"/>
          <w:lang w:eastAsia="en-US"/>
        </w:rPr>
        <w:t xml:space="preserve">c </w:t>
      </w:r>
      <w:r w:rsidRPr="00607453">
        <w:rPr>
          <w:rFonts w:ascii="Times New Roman" w:eastAsia="Times New Roman" w:hAnsi="Times New Roman" w:cs="Times New Roman"/>
          <w:color w:val="000000"/>
          <w:sz w:val="22"/>
          <w:szCs w:val="22"/>
          <w:shd w:val="clear" w:color="auto" w:fill="FFFFFF"/>
          <w:lang w:eastAsia="en-US"/>
        </w:rPr>
        <w:t>Remission was defined as a score &lt; 10 on the MADRS.</w:t>
      </w:r>
      <w:r w:rsidRPr="00607453">
        <w:rPr>
          <w:rFonts w:ascii="Times New Roman" w:eastAsia="Times New Roman" w:hAnsi="Times New Roman" w:cs="Times New Roman"/>
          <w:color w:val="000000"/>
          <w:sz w:val="22"/>
          <w:szCs w:val="22"/>
          <w:lang w:eastAsia="en-US"/>
        </w:rPr>
        <w:t> </w:t>
      </w:r>
    </w:p>
    <w:p w14:paraId="59BF899E" w14:textId="240F4D97" w:rsidR="00607453" w:rsidRDefault="00607453" w:rsidP="00607453">
      <w:pPr>
        <w:spacing w:after="0" w:line="240" w:lineRule="auto"/>
        <w:textAlignment w:val="baseline"/>
        <w:rPr>
          <w:rFonts w:ascii="Times New Roman" w:eastAsia="Times New Roman" w:hAnsi="Times New Roman" w:cs="Times New Roman"/>
          <w:color w:val="000000"/>
          <w:sz w:val="22"/>
          <w:szCs w:val="22"/>
          <w:lang w:eastAsia="en-US"/>
        </w:rPr>
      </w:pPr>
    </w:p>
    <w:p w14:paraId="7A204F80" w14:textId="4496E3CD" w:rsidR="00607453" w:rsidRDefault="00607453">
      <w:pPr>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lang w:eastAsia="en-US"/>
        </w:rPr>
        <w:br w:type="page"/>
      </w:r>
    </w:p>
    <w:p w14:paraId="6B9AF640" w14:textId="77777777" w:rsidR="00607453" w:rsidRPr="008507E3" w:rsidRDefault="00607453" w:rsidP="00607453">
      <w:pPr>
        <w:spacing w:line="259" w:lineRule="auto"/>
        <w:rPr>
          <w:rFonts w:ascii="Arial" w:eastAsia="Times New Roman" w:hAnsi="Arial" w:cs="Arial"/>
          <w:b/>
          <w:lang w:eastAsia="en-US"/>
        </w:rPr>
      </w:pPr>
      <w:r w:rsidRPr="008507E3">
        <w:rPr>
          <w:rFonts w:ascii="Arial" w:eastAsia="Times New Roman" w:hAnsi="Arial" w:cs="Arial"/>
          <w:b/>
          <w:lang w:eastAsia="en-US"/>
        </w:rPr>
        <w:lastRenderedPageBreak/>
        <w:t xml:space="preserve">Table S5: </w:t>
      </w:r>
      <w:r w:rsidRPr="008507E3">
        <w:rPr>
          <w:rFonts w:ascii="Arial" w:eastAsia="Calibri" w:hAnsi="Arial" w:cs="Arial"/>
          <w:b/>
          <w:color w:val="000000"/>
          <w:shd w:val="clear" w:color="auto" w:fill="FFFFFF"/>
          <w:lang w:eastAsia="en-US"/>
        </w:rPr>
        <w:t xml:space="preserve">Linear Mixed-Effects Model Estimates for Exploratory </w:t>
      </w:r>
      <w:proofErr w:type="spellStart"/>
      <w:r w:rsidRPr="008507E3">
        <w:rPr>
          <w:rFonts w:ascii="Arial" w:eastAsia="Calibri" w:hAnsi="Arial" w:cs="Arial"/>
          <w:b/>
          <w:color w:val="000000"/>
          <w:shd w:val="clear" w:color="auto" w:fill="FFFFFF"/>
          <w:lang w:eastAsia="en-US"/>
        </w:rPr>
        <w:t>Endpoints</w:t>
      </w:r>
      <w:r w:rsidRPr="008507E3">
        <w:rPr>
          <w:rFonts w:ascii="Arial" w:eastAsia="Calibri" w:hAnsi="Arial" w:cs="Arial"/>
          <w:b/>
          <w:color w:val="000000"/>
          <w:shd w:val="clear" w:color="auto" w:fill="FFFFFF"/>
          <w:vertAlign w:val="superscript"/>
          <w:lang w:eastAsia="en-US"/>
        </w:rPr>
        <w:t>a</w:t>
      </w:r>
      <w:proofErr w:type="spellEnd"/>
      <w:r w:rsidRPr="008507E3">
        <w:rPr>
          <w:rFonts w:ascii="Arial" w:eastAsia="Calibri" w:hAnsi="Arial" w:cs="Arial"/>
          <w:b/>
          <w:color w:val="000000"/>
          <w:shd w:val="clear" w:color="auto" w:fill="FFFFFF"/>
          <w:vertAlign w:val="superscript"/>
          <w:lang w:eastAsia="en-US"/>
        </w:rPr>
        <w:t>, b</w:t>
      </w:r>
    </w:p>
    <w:p w14:paraId="32E5DD8D" w14:textId="77777777" w:rsidR="00607453" w:rsidRPr="00607453" w:rsidRDefault="00607453" w:rsidP="00607453">
      <w:pPr>
        <w:spacing w:line="259" w:lineRule="auto"/>
        <w:rPr>
          <w:rFonts w:ascii="Times New Roman" w:eastAsia="Times New Roman" w:hAnsi="Times New Roman" w:cs="Times New Roman"/>
          <w:b/>
          <w:bCs/>
          <w:sz w:val="22"/>
          <w:szCs w:val="22"/>
          <w:lang w:eastAsia="en-US"/>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1335"/>
        <w:gridCol w:w="1335"/>
        <w:gridCol w:w="1335"/>
        <w:gridCol w:w="1335"/>
        <w:gridCol w:w="1335"/>
      </w:tblGrid>
      <w:tr w:rsidR="00607453" w:rsidRPr="00607453" w14:paraId="4303A19A"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37713E11"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0E66F5D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18"/>
                <w:szCs w:val="18"/>
                <w:lang w:eastAsia="en-US"/>
              </w:rPr>
              <w:t>Week 0</w:t>
            </w:r>
            <w:r w:rsidRPr="00607453">
              <w:rPr>
                <w:rFonts w:ascii="Times New Roman" w:eastAsia="Times New Roman" w:hAnsi="Times New Roman" w:cs="Times New Roman"/>
                <w:sz w:val="18"/>
                <w:szCs w:val="18"/>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1EF1B63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2</w:t>
            </w: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39E6FFB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4</w:t>
            </w: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6DEC023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6</w:t>
            </w:r>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121ECF4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Week 8</w:t>
            </w:r>
            <w:r w:rsidRPr="00607453">
              <w:rPr>
                <w:rFonts w:ascii="Times New Roman" w:eastAsia="Times New Roman" w:hAnsi="Times New Roman" w:cs="Times New Roman"/>
                <w:sz w:val="22"/>
                <w:szCs w:val="22"/>
                <w:lang w:eastAsia="en-US"/>
              </w:rPr>
              <w:t> </w:t>
            </w:r>
          </w:p>
        </w:tc>
      </w:tr>
      <w:tr w:rsidR="00607453" w:rsidRPr="00607453" w14:paraId="36C91671" w14:textId="77777777" w:rsidTr="008452F4">
        <w:trPr>
          <w:trHeight w:val="300"/>
        </w:trPr>
        <w:tc>
          <w:tcPr>
            <w:tcW w:w="864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7D5B689C"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QIDS-SR Predicted Mean (SE)</w:t>
            </w:r>
            <w:r w:rsidRPr="00607453">
              <w:rPr>
                <w:rFonts w:ascii="Times New Roman" w:eastAsia="Times New Roman" w:hAnsi="Times New Roman" w:cs="Times New Roman"/>
                <w:sz w:val="22"/>
                <w:szCs w:val="22"/>
                <w:lang w:eastAsia="en-US"/>
              </w:rPr>
              <w:t>  </w:t>
            </w:r>
          </w:p>
        </w:tc>
      </w:tr>
      <w:tr w:rsidR="00607453" w:rsidRPr="00607453" w14:paraId="16151CCD"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5B6ECAEF"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sz w:val="22"/>
                <w:szCs w:val="22"/>
                <w:lang w:eastAsia="en-US"/>
              </w:rPr>
              <w:t>Azetukalner</w:t>
            </w:r>
            <w:proofErr w:type="spellEnd"/>
          </w:p>
        </w:tc>
        <w:tc>
          <w:tcPr>
            <w:tcW w:w="1335" w:type="dxa"/>
            <w:tcBorders>
              <w:top w:val="single" w:sz="6" w:space="0" w:color="auto"/>
              <w:left w:val="single" w:sz="6" w:space="0" w:color="auto"/>
              <w:bottom w:val="single" w:sz="6" w:space="0" w:color="auto"/>
              <w:right w:val="single" w:sz="6" w:space="0" w:color="auto"/>
            </w:tcBorders>
            <w:hideMark/>
          </w:tcPr>
          <w:p w14:paraId="446C238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12.76 (0.81) </w:t>
            </w:r>
          </w:p>
        </w:tc>
        <w:tc>
          <w:tcPr>
            <w:tcW w:w="1335" w:type="dxa"/>
            <w:tcBorders>
              <w:top w:val="single" w:sz="6" w:space="0" w:color="auto"/>
              <w:left w:val="single" w:sz="6" w:space="0" w:color="auto"/>
              <w:bottom w:val="single" w:sz="6" w:space="0" w:color="auto"/>
              <w:right w:val="single" w:sz="6" w:space="0" w:color="auto"/>
            </w:tcBorders>
            <w:hideMark/>
          </w:tcPr>
          <w:p w14:paraId="039B5FF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9.84 (0.82) </w:t>
            </w:r>
          </w:p>
        </w:tc>
        <w:tc>
          <w:tcPr>
            <w:tcW w:w="1335" w:type="dxa"/>
            <w:tcBorders>
              <w:top w:val="single" w:sz="6" w:space="0" w:color="auto"/>
              <w:left w:val="single" w:sz="6" w:space="0" w:color="auto"/>
              <w:bottom w:val="single" w:sz="6" w:space="0" w:color="auto"/>
              <w:right w:val="single" w:sz="6" w:space="0" w:color="auto"/>
            </w:tcBorders>
            <w:hideMark/>
          </w:tcPr>
          <w:p w14:paraId="7ABE290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9.01 (0.83) </w:t>
            </w:r>
          </w:p>
        </w:tc>
        <w:tc>
          <w:tcPr>
            <w:tcW w:w="1335" w:type="dxa"/>
            <w:tcBorders>
              <w:top w:val="single" w:sz="6" w:space="0" w:color="auto"/>
              <w:left w:val="single" w:sz="6" w:space="0" w:color="auto"/>
              <w:bottom w:val="single" w:sz="6" w:space="0" w:color="auto"/>
              <w:right w:val="single" w:sz="6" w:space="0" w:color="auto"/>
            </w:tcBorders>
            <w:hideMark/>
          </w:tcPr>
          <w:p w14:paraId="6C37D8C3"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8.37 (0.85) </w:t>
            </w:r>
          </w:p>
        </w:tc>
        <w:tc>
          <w:tcPr>
            <w:tcW w:w="1335" w:type="dxa"/>
            <w:tcBorders>
              <w:top w:val="single" w:sz="6" w:space="0" w:color="auto"/>
              <w:left w:val="single" w:sz="6" w:space="0" w:color="auto"/>
              <w:bottom w:val="single" w:sz="6" w:space="0" w:color="auto"/>
              <w:right w:val="single" w:sz="6" w:space="0" w:color="auto"/>
            </w:tcBorders>
            <w:hideMark/>
          </w:tcPr>
          <w:p w14:paraId="3583A31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7.97 (0.85) </w:t>
            </w:r>
          </w:p>
        </w:tc>
      </w:tr>
      <w:tr w:rsidR="00607453" w:rsidRPr="00607453" w14:paraId="2CA21AF2"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42FE9DB8"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Placebo  </w:t>
            </w:r>
          </w:p>
        </w:tc>
        <w:tc>
          <w:tcPr>
            <w:tcW w:w="1335" w:type="dxa"/>
            <w:tcBorders>
              <w:top w:val="single" w:sz="6" w:space="0" w:color="auto"/>
              <w:left w:val="single" w:sz="6" w:space="0" w:color="auto"/>
              <w:bottom w:val="single" w:sz="6" w:space="0" w:color="auto"/>
              <w:right w:val="single" w:sz="6" w:space="0" w:color="auto"/>
            </w:tcBorders>
            <w:hideMark/>
          </w:tcPr>
          <w:p w14:paraId="3CF56CF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14.26 (0.79) </w:t>
            </w:r>
          </w:p>
        </w:tc>
        <w:tc>
          <w:tcPr>
            <w:tcW w:w="1335" w:type="dxa"/>
            <w:tcBorders>
              <w:top w:val="single" w:sz="6" w:space="0" w:color="auto"/>
              <w:left w:val="single" w:sz="6" w:space="0" w:color="auto"/>
              <w:bottom w:val="single" w:sz="6" w:space="0" w:color="auto"/>
              <w:right w:val="single" w:sz="6" w:space="0" w:color="auto"/>
            </w:tcBorders>
            <w:hideMark/>
          </w:tcPr>
          <w:p w14:paraId="2E631B4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9.63 (0.79) </w:t>
            </w:r>
          </w:p>
        </w:tc>
        <w:tc>
          <w:tcPr>
            <w:tcW w:w="1335" w:type="dxa"/>
            <w:tcBorders>
              <w:top w:val="single" w:sz="6" w:space="0" w:color="auto"/>
              <w:left w:val="single" w:sz="6" w:space="0" w:color="auto"/>
              <w:bottom w:val="single" w:sz="6" w:space="0" w:color="auto"/>
              <w:right w:val="single" w:sz="6" w:space="0" w:color="auto"/>
            </w:tcBorders>
            <w:hideMark/>
          </w:tcPr>
          <w:p w14:paraId="2B192AF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8.73 (0.81) </w:t>
            </w:r>
          </w:p>
        </w:tc>
        <w:tc>
          <w:tcPr>
            <w:tcW w:w="1335" w:type="dxa"/>
            <w:tcBorders>
              <w:top w:val="single" w:sz="6" w:space="0" w:color="auto"/>
              <w:left w:val="single" w:sz="6" w:space="0" w:color="auto"/>
              <w:bottom w:val="single" w:sz="6" w:space="0" w:color="auto"/>
              <w:right w:val="single" w:sz="6" w:space="0" w:color="auto"/>
            </w:tcBorders>
            <w:hideMark/>
          </w:tcPr>
          <w:p w14:paraId="7F91E87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8.69 (0.81) </w:t>
            </w:r>
          </w:p>
        </w:tc>
        <w:tc>
          <w:tcPr>
            <w:tcW w:w="1335" w:type="dxa"/>
            <w:tcBorders>
              <w:top w:val="single" w:sz="6" w:space="0" w:color="auto"/>
              <w:left w:val="single" w:sz="6" w:space="0" w:color="auto"/>
              <w:bottom w:val="single" w:sz="6" w:space="0" w:color="auto"/>
              <w:right w:val="single" w:sz="6" w:space="0" w:color="auto"/>
            </w:tcBorders>
            <w:hideMark/>
          </w:tcPr>
          <w:p w14:paraId="1B9134C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7.65 (0.82) </w:t>
            </w:r>
          </w:p>
        </w:tc>
      </w:tr>
      <w:tr w:rsidR="00607453" w:rsidRPr="00607453" w14:paraId="1DC4B0A1"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61F0844A"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(90% CI)  </w:t>
            </w:r>
          </w:p>
        </w:tc>
        <w:tc>
          <w:tcPr>
            <w:tcW w:w="1335" w:type="dxa"/>
            <w:tcBorders>
              <w:top w:val="single" w:sz="6" w:space="0" w:color="auto"/>
              <w:left w:val="single" w:sz="6" w:space="0" w:color="auto"/>
              <w:bottom w:val="single" w:sz="6" w:space="0" w:color="auto"/>
              <w:right w:val="single" w:sz="6" w:space="0" w:color="auto"/>
            </w:tcBorders>
            <w:hideMark/>
          </w:tcPr>
          <w:p w14:paraId="630FE49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-1.50 </w:t>
            </w:r>
          </w:p>
          <w:p w14:paraId="73C09F2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(-3.37, 0.37) </w:t>
            </w:r>
          </w:p>
        </w:tc>
        <w:tc>
          <w:tcPr>
            <w:tcW w:w="1335" w:type="dxa"/>
            <w:tcBorders>
              <w:top w:val="single" w:sz="6" w:space="0" w:color="auto"/>
              <w:left w:val="single" w:sz="6" w:space="0" w:color="auto"/>
              <w:bottom w:val="single" w:sz="6" w:space="0" w:color="auto"/>
              <w:right w:val="single" w:sz="6" w:space="0" w:color="auto"/>
            </w:tcBorders>
            <w:hideMark/>
          </w:tcPr>
          <w:p w14:paraId="3FA5E35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0.21 </w:t>
            </w:r>
          </w:p>
          <w:p w14:paraId="5A0F9AE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(-1.68, 2.10) </w:t>
            </w:r>
          </w:p>
        </w:tc>
        <w:tc>
          <w:tcPr>
            <w:tcW w:w="1335" w:type="dxa"/>
            <w:tcBorders>
              <w:top w:val="single" w:sz="6" w:space="0" w:color="auto"/>
              <w:left w:val="single" w:sz="6" w:space="0" w:color="auto"/>
              <w:bottom w:val="single" w:sz="6" w:space="0" w:color="auto"/>
              <w:right w:val="single" w:sz="6" w:space="0" w:color="auto"/>
            </w:tcBorders>
            <w:hideMark/>
          </w:tcPr>
          <w:p w14:paraId="23B5A9D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0.28  </w:t>
            </w:r>
          </w:p>
          <w:p w14:paraId="0B42745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(-1.64, 2.20) </w:t>
            </w:r>
          </w:p>
        </w:tc>
        <w:tc>
          <w:tcPr>
            <w:tcW w:w="1335" w:type="dxa"/>
            <w:tcBorders>
              <w:top w:val="single" w:sz="6" w:space="0" w:color="auto"/>
              <w:left w:val="single" w:sz="6" w:space="0" w:color="auto"/>
              <w:bottom w:val="single" w:sz="6" w:space="0" w:color="auto"/>
              <w:right w:val="single" w:sz="6" w:space="0" w:color="auto"/>
            </w:tcBorders>
            <w:hideMark/>
          </w:tcPr>
          <w:p w14:paraId="0F767E3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-0.32 </w:t>
            </w:r>
          </w:p>
          <w:p w14:paraId="4FD4851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(-2.27, 1.62) </w:t>
            </w:r>
          </w:p>
        </w:tc>
        <w:tc>
          <w:tcPr>
            <w:tcW w:w="1335" w:type="dxa"/>
            <w:tcBorders>
              <w:top w:val="single" w:sz="6" w:space="0" w:color="auto"/>
              <w:left w:val="single" w:sz="6" w:space="0" w:color="auto"/>
              <w:bottom w:val="single" w:sz="6" w:space="0" w:color="auto"/>
              <w:right w:val="single" w:sz="6" w:space="0" w:color="auto"/>
            </w:tcBorders>
            <w:hideMark/>
          </w:tcPr>
          <w:p w14:paraId="27032C1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0.32 </w:t>
            </w:r>
          </w:p>
          <w:p w14:paraId="3FBF023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(-1.63, 2.27) </w:t>
            </w:r>
          </w:p>
        </w:tc>
      </w:tr>
      <w:tr w:rsidR="00607453" w:rsidRPr="00607453" w14:paraId="561A1731" w14:textId="77777777" w:rsidTr="008452F4">
        <w:trPr>
          <w:trHeight w:val="300"/>
        </w:trPr>
        <w:tc>
          <w:tcPr>
            <w:tcW w:w="864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1DB8D041"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TEPS-AP Predicted Mean (SE)</w:t>
            </w:r>
            <w:r w:rsidRPr="00607453">
              <w:rPr>
                <w:rFonts w:ascii="Times New Roman" w:eastAsia="Times New Roman" w:hAnsi="Times New Roman" w:cs="Times New Roman"/>
                <w:sz w:val="22"/>
                <w:szCs w:val="22"/>
                <w:lang w:eastAsia="en-US"/>
              </w:rPr>
              <w:t>  </w:t>
            </w:r>
          </w:p>
        </w:tc>
      </w:tr>
      <w:tr w:rsidR="00607453" w:rsidRPr="00607453" w14:paraId="2D44F1D0"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41F89AE0"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sz w:val="22"/>
                <w:szCs w:val="22"/>
                <w:lang w:eastAsia="en-US"/>
              </w:rPr>
              <w:t>Azetukalner</w:t>
            </w:r>
            <w:proofErr w:type="spellEnd"/>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795A68A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34.48 (1.56) </w:t>
            </w:r>
          </w:p>
        </w:tc>
        <w:tc>
          <w:tcPr>
            <w:tcW w:w="1335" w:type="dxa"/>
            <w:tcBorders>
              <w:top w:val="single" w:sz="6" w:space="0" w:color="auto"/>
              <w:left w:val="single" w:sz="6" w:space="0" w:color="auto"/>
              <w:bottom w:val="single" w:sz="6" w:space="0" w:color="auto"/>
              <w:right w:val="single" w:sz="6" w:space="0" w:color="auto"/>
            </w:tcBorders>
            <w:hideMark/>
          </w:tcPr>
          <w:p w14:paraId="1C6EA4D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35.41 (1.57) </w:t>
            </w:r>
          </w:p>
        </w:tc>
        <w:tc>
          <w:tcPr>
            <w:tcW w:w="1335" w:type="dxa"/>
            <w:tcBorders>
              <w:top w:val="single" w:sz="6" w:space="0" w:color="auto"/>
              <w:left w:val="single" w:sz="6" w:space="0" w:color="auto"/>
              <w:bottom w:val="single" w:sz="6" w:space="0" w:color="auto"/>
              <w:right w:val="single" w:sz="6" w:space="0" w:color="auto"/>
            </w:tcBorders>
            <w:hideMark/>
          </w:tcPr>
          <w:p w14:paraId="5BB7A16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37.55 (1.58) </w:t>
            </w:r>
          </w:p>
        </w:tc>
        <w:tc>
          <w:tcPr>
            <w:tcW w:w="1335" w:type="dxa"/>
            <w:tcBorders>
              <w:top w:val="single" w:sz="6" w:space="0" w:color="auto"/>
              <w:left w:val="single" w:sz="6" w:space="0" w:color="auto"/>
              <w:bottom w:val="single" w:sz="6" w:space="0" w:color="auto"/>
              <w:right w:val="single" w:sz="6" w:space="0" w:color="auto"/>
            </w:tcBorders>
            <w:hideMark/>
          </w:tcPr>
          <w:p w14:paraId="2EB7D49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37.90 (1.60) </w:t>
            </w:r>
          </w:p>
        </w:tc>
        <w:tc>
          <w:tcPr>
            <w:tcW w:w="1335" w:type="dxa"/>
            <w:tcBorders>
              <w:top w:val="single" w:sz="6" w:space="0" w:color="auto"/>
              <w:left w:val="single" w:sz="6" w:space="0" w:color="auto"/>
              <w:bottom w:val="single" w:sz="6" w:space="0" w:color="auto"/>
              <w:right w:val="single" w:sz="6" w:space="0" w:color="auto"/>
            </w:tcBorders>
            <w:hideMark/>
          </w:tcPr>
          <w:p w14:paraId="5D62AAF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39.10 (1.60) </w:t>
            </w:r>
          </w:p>
        </w:tc>
      </w:tr>
      <w:tr w:rsidR="00607453" w:rsidRPr="00607453" w14:paraId="44E7C194"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48FD819E"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Placebo  </w:t>
            </w:r>
          </w:p>
        </w:tc>
        <w:tc>
          <w:tcPr>
            <w:tcW w:w="1335" w:type="dxa"/>
            <w:tcBorders>
              <w:top w:val="single" w:sz="6" w:space="0" w:color="auto"/>
              <w:left w:val="single" w:sz="6" w:space="0" w:color="auto"/>
              <w:bottom w:val="single" w:sz="6" w:space="0" w:color="auto"/>
              <w:right w:val="single" w:sz="6" w:space="0" w:color="auto"/>
            </w:tcBorders>
            <w:hideMark/>
          </w:tcPr>
          <w:p w14:paraId="4062680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32.10 (1.51) </w:t>
            </w:r>
          </w:p>
        </w:tc>
        <w:tc>
          <w:tcPr>
            <w:tcW w:w="1335" w:type="dxa"/>
            <w:tcBorders>
              <w:top w:val="single" w:sz="6" w:space="0" w:color="auto"/>
              <w:left w:val="single" w:sz="6" w:space="0" w:color="auto"/>
              <w:bottom w:val="single" w:sz="6" w:space="0" w:color="auto"/>
              <w:right w:val="single" w:sz="6" w:space="0" w:color="auto"/>
            </w:tcBorders>
            <w:hideMark/>
          </w:tcPr>
          <w:p w14:paraId="1A3EE33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31.70 (1.52) </w:t>
            </w:r>
          </w:p>
        </w:tc>
        <w:tc>
          <w:tcPr>
            <w:tcW w:w="1335" w:type="dxa"/>
            <w:tcBorders>
              <w:top w:val="single" w:sz="6" w:space="0" w:color="auto"/>
              <w:left w:val="single" w:sz="6" w:space="0" w:color="auto"/>
              <w:bottom w:val="single" w:sz="6" w:space="0" w:color="auto"/>
              <w:right w:val="single" w:sz="6" w:space="0" w:color="auto"/>
            </w:tcBorders>
            <w:hideMark/>
          </w:tcPr>
          <w:p w14:paraId="79A0623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32.71 (1.54) </w:t>
            </w:r>
          </w:p>
        </w:tc>
        <w:tc>
          <w:tcPr>
            <w:tcW w:w="1335" w:type="dxa"/>
            <w:tcBorders>
              <w:top w:val="single" w:sz="6" w:space="0" w:color="auto"/>
              <w:left w:val="single" w:sz="6" w:space="0" w:color="auto"/>
              <w:bottom w:val="single" w:sz="6" w:space="0" w:color="auto"/>
              <w:right w:val="single" w:sz="6" w:space="0" w:color="auto"/>
            </w:tcBorders>
            <w:hideMark/>
          </w:tcPr>
          <w:p w14:paraId="18E3D323"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32.17 (1.54) </w:t>
            </w:r>
          </w:p>
        </w:tc>
        <w:tc>
          <w:tcPr>
            <w:tcW w:w="1335" w:type="dxa"/>
            <w:tcBorders>
              <w:top w:val="single" w:sz="6" w:space="0" w:color="auto"/>
              <w:left w:val="single" w:sz="6" w:space="0" w:color="auto"/>
              <w:bottom w:val="single" w:sz="6" w:space="0" w:color="auto"/>
              <w:right w:val="single" w:sz="6" w:space="0" w:color="auto"/>
            </w:tcBorders>
            <w:hideMark/>
          </w:tcPr>
          <w:p w14:paraId="7727976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32.75 (1.55) </w:t>
            </w:r>
          </w:p>
        </w:tc>
      </w:tr>
      <w:tr w:rsidR="00607453" w:rsidRPr="00607453" w14:paraId="34B376D8"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09FA1420"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(90% CI)  </w:t>
            </w:r>
          </w:p>
        </w:tc>
        <w:tc>
          <w:tcPr>
            <w:tcW w:w="1335" w:type="dxa"/>
            <w:tcBorders>
              <w:top w:val="single" w:sz="6" w:space="0" w:color="auto"/>
              <w:left w:val="single" w:sz="6" w:space="0" w:color="auto"/>
              <w:bottom w:val="single" w:sz="6" w:space="0" w:color="auto"/>
              <w:right w:val="single" w:sz="6" w:space="0" w:color="auto"/>
            </w:tcBorders>
            <w:hideMark/>
          </w:tcPr>
          <w:p w14:paraId="59E2BC6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2.39 </w:t>
            </w:r>
          </w:p>
          <w:p w14:paraId="6A63B9A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(-1.20, 5.97) </w:t>
            </w:r>
          </w:p>
        </w:tc>
        <w:tc>
          <w:tcPr>
            <w:tcW w:w="1335" w:type="dxa"/>
            <w:tcBorders>
              <w:top w:val="single" w:sz="6" w:space="0" w:color="auto"/>
              <w:left w:val="single" w:sz="6" w:space="0" w:color="auto"/>
              <w:bottom w:val="single" w:sz="6" w:space="0" w:color="auto"/>
              <w:right w:val="single" w:sz="6" w:space="0" w:color="auto"/>
            </w:tcBorders>
            <w:hideMark/>
          </w:tcPr>
          <w:p w14:paraId="0ED51E0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3.71 </w:t>
            </w:r>
          </w:p>
          <w:p w14:paraId="20ED791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(0.10, 7.32) </w:t>
            </w:r>
          </w:p>
        </w:tc>
        <w:tc>
          <w:tcPr>
            <w:tcW w:w="1335" w:type="dxa"/>
            <w:tcBorders>
              <w:top w:val="single" w:sz="6" w:space="0" w:color="auto"/>
              <w:left w:val="single" w:sz="6" w:space="0" w:color="auto"/>
              <w:bottom w:val="single" w:sz="6" w:space="0" w:color="auto"/>
              <w:right w:val="single" w:sz="6" w:space="0" w:color="auto"/>
            </w:tcBorders>
            <w:hideMark/>
          </w:tcPr>
          <w:p w14:paraId="514A2D1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4.84 </w:t>
            </w:r>
          </w:p>
          <w:p w14:paraId="25B0696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(1.19, 8.49) </w:t>
            </w:r>
          </w:p>
        </w:tc>
        <w:tc>
          <w:tcPr>
            <w:tcW w:w="1335" w:type="dxa"/>
            <w:tcBorders>
              <w:top w:val="single" w:sz="6" w:space="0" w:color="auto"/>
              <w:left w:val="single" w:sz="6" w:space="0" w:color="auto"/>
              <w:bottom w:val="single" w:sz="6" w:space="0" w:color="auto"/>
              <w:right w:val="single" w:sz="6" w:space="0" w:color="auto"/>
            </w:tcBorders>
            <w:hideMark/>
          </w:tcPr>
          <w:p w14:paraId="7BC8680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5.72 </w:t>
            </w:r>
          </w:p>
          <w:p w14:paraId="524C166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(2.05, 9.40) </w:t>
            </w:r>
          </w:p>
        </w:tc>
        <w:tc>
          <w:tcPr>
            <w:tcW w:w="1335" w:type="dxa"/>
            <w:tcBorders>
              <w:top w:val="single" w:sz="6" w:space="0" w:color="auto"/>
              <w:left w:val="single" w:sz="6" w:space="0" w:color="auto"/>
              <w:bottom w:val="single" w:sz="6" w:space="0" w:color="auto"/>
              <w:right w:val="single" w:sz="6" w:space="0" w:color="auto"/>
            </w:tcBorders>
            <w:hideMark/>
          </w:tcPr>
          <w:p w14:paraId="4C0383D8"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6.35 </w:t>
            </w:r>
          </w:p>
          <w:p w14:paraId="3DE5D1E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(2.66, 10.03) </w:t>
            </w:r>
          </w:p>
        </w:tc>
      </w:tr>
      <w:tr w:rsidR="00607453" w:rsidRPr="00607453" w14:paraId="1B2BF73E" w14:textId="77777777" w:rsidTr="008452F4">
        <w:trPr>
          <w:trHeight w:val="300"/>
        </w:trPr>
        <w:tc>
          <w:tcPr>
            <w:tcW w:w="864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63E31F13"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TEPS-CP Predicted Mean (SE)</w:t>
            </w:r>
            <w:r w:rsidRPr="00607453">
              <w:rPr>
                <w:rFonts w:ascii="Times New Roman" w:eastAsia="Times New Roman" w:hAnsi="Times New Roman" w:cs="Times New Roman"/>
                <w:sz w:val="22"/>
                <w:szCs w:val="22"/>
                <w:lang w:eastAsia="en-US"/>
              </w:rPr>
              <w:t>  </w:t>
            </w:r>
          </w:p>
        </w:tc>
      </w:tr>
      <w:tr w:rsidR="00607453" w:rsidRPr="00607453" w14:paraId="4836697A"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00B8C91D"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sz w:val="22"/>
                <w:szCs w:val="22"/>
                <w:lang w:eastAsia="en-US"/>
              </w:rPr>
              <w:t>Azetukalner</w:t>
            </w:r>
            <w:proofErr w:type="spellEnd"/>
          </w:p>
        </w:tc>
        <w:tc>
          <w:tcPr>
            <w:tcW w:w="1335" w:type="dxa"/>
            <w:tcBorders>
              <w:top w:val="single" w:sz="6" w:space="0" w:color="auto"/>
              <w:left w:val="single" w:sz="6" w:space="0" w:color="auto"/>
              <w:bottom w:val="single" w:sz="6" w:space="0" w:color="auto"/>
              <w:right w:val="single" w:sz="6" w:space="0" w:color="auto"/>
            </w:tcBorders>
            <w:hideMark/>
          </w:tcPr>
          <w:p w14:paraId="4C080AD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29.00 (1.53) </w:t>
            </w:r>
          </w:p>
        </w:tc>
        <w:tc>
          <w:tcPr>
            <w:tcW w:w="1335" w:type="dxa"/>
            <w:tcBorders>
              <w:top w:val="single" w:sz="6" w:space="0" w:color="auto"/>
              <w:left w:val="single" w:sz="6" w:space="0" w:color="auto"/>
              <w:bottom w:val="single" w:sz="6" w:space="0" w:color="auto"/>
              <w:right w:val="single" w:sz="6" w:space="0" w:color="auto"/>
            </w:tcBorders>
            <w:hideMark/>
          </w:tcPr>
          <w:p w14:paraId="6B95BC5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29.34 (1.53) </w:t>
            </w:r>
          </w:p>
        </w:tc>
        <w:tc>
          <w:tcPr>
            <w:tcW w:w="1335" w:type="dxa"/>
            <w:tcBorders>
              <w:top w:val="single" w:sz="6" w:space="0" w:color="auto"/>
              <w:left w:val="single" w:sz="6" w:space="0" w:color="auto"/>
              <w:bottom w:val="single" w:sz="6" w:space="0" w:color="auto"/>
              <w:right w:val="single" w:sz="6" w:space="0" w:color="auto"/>
            </w:tcBorders>
            <w:hideMark/>
          </w:tcPr>
          <w:p w14:paraId="6A683FA8"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29.76 (1.54) </w:t>
            </w:r>
          </w:p>
        </w:tc>
        <w:tc>
          <w:tcPr>
            <w:tcW w:w="1335" w:type="dxa"/>
            <w:tcBorders>
              <w:top w:val="single" w:sz="6" w:space="0" w:color="auto"/>
              <w:left w:val="single" w:sz="6" w:space="0" w:color="auto"/>
              <w:bottom w:val="single" w:sz="6" w:space="0" w:color="auto"/>
              <w:right w:val="single" w:sz="6" w:space="0" w:color="auto"/>
            </w:tcBorders>
            <w:hideMark/>
          </w:tcPr>
          <w:p w14:paraId="3C5F043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30.89 (1.55) </w:t>
            </w:r>
          </w:p>
        </w:tc>
        <w:tc>
          <w:tcPr>
            <w:tcW w:w="1335" w:type="dxa"/>
            <w:tcBorders>
              <w:top w:val="single" w:sz="6" w:space="0" w:color="auto"/>
              <w:left w:val="single" w:sz="6" w:space="0" w:color="auto"/>
              <w:bottom w:val="single" w:sz="6" w:space="0" w:color="auto"/>
              <w:right w:val="single" w:sz="6" w:space="0" w:color="auto"/>
            </w:tcBorders>
            <w:hideMark/>
          </w:tcPr>
          <w:p w14:paraId="2432B42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32.05 (1.55) </w:t>
            </w:r>
          </w:p>
        </w:tc>
      </w:tr>
      <w:tr w:rsidR="00607453" w:rsidRPr="00607453" w14:paraId="6C6115FB"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6A794C54"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Placebo  </w:t>
            </w:r>
          </w:p>
        </w:tc>
        <w:tc>
          <w:tcPr>
            <w:tcW w:w="1335" w:type="dxa"/>
            <w:tcBorders>
              <w:top w:val="single" w:sz="6" w:space="0" w:color="auto"/>
              <w:left w:val="single" w:sz="6" w:space="0" w:color="auto"/>
              <w:bottom w:val="single" w:sz="6" w:space="0" w:color="auto"/>
              <w:right w:val="single" w:sz="6" w:space="0" w:color="auto"/>
            </w:tcBorders>
            <w:hideMark/>
          </w:tcPr>
          <w:p w14:paraId="4A7218A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29.90 (1.48) </w:t>
            </w:r>
          </w:p>
        </w:tc>
        <w:tc>
          <w:tcPr>
            <w:tcW w:w="1335" w:type="dxa"/>
            <w:tcBorders>
              <w:top w:val="single" w:sz="6" w:space="0" w:color="auto"/>
              <w:left w:val="single" w:sz="6" w:space="0" w:color="auto"/>
              <w:bottom w:val="single" w:sz="6" w:space="0" w:color="auto"/>
              <w:right w:val="single" w:sz="6" w:space="0" w:color="auto"/>
            </w:tcBorders>
            <w:hideMark/>
          </w:tcPr>
          <w:p w14:paraId="16283B8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29.80 (1.48) </w:t>
            </w:r>
          </w:p>
        </w:tc>
        <w:tc>
          <w:tcPr>
            <w:tcW w:w="1335" w:type="dxa"/>
            <w:tcBorders>
              <w:top w:val="single" w:sz="6" w:space="0" w:color="auto"/>
              <w:left w:val="single" w:sz="6" w:space="0" w:color="auto"/>
              <w:bottom w:val="single" w:sz="6" w:space="0" w:color="auto"/>
              <w:right w:val="single" w:sz="6" w:space="0" w:color="auto"/>
            </w:tcBorders>
            <w:hideMark/>
          </w:tcPr>
          <w:p w14:paraId="2080456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30.05 (1.49) </w:t>
            </w:r>
          </w:p>
        </w:tc>
        <w:tc>
          <w:tcPr>
            <w:tcW w:w="1335" w:type="dxa"/>
            <w:tcBorders>
              <w:top w:val="single" w:sz="6" w:space="0" w:color="auto"/>
              <w:left w:val="single" w:sz="6" w:space="0" w:color="auto"/>
              <w:bottom w:val="single" w:sz="6" w:space="0" w:color="auto"/>
              <w:right w:val="single" w:sz="6" w:space="0" w:color="auto"/>
            </w:tcBorders>
            <w:hideMark/>
          </w:tcPr>
          <w:p w14:paraId="73F2F2A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29.69 (1.49) </w:t>
            </w:r>
          </w:p>
        </w:tc>
        <w:tc>
          <w:tcPr>
            <w:tcW w:w="1335" w:type="dxa"/>
            <w:tcBorders>
              <w:top w:val="single" w:sz="6" w:space="0" w:color="auto"/>
              <w:left w:val="single" w:sz="6" w:space="0" w:color="auto"/>
              <w:bottom w:val="single" w:sz="6" w:space="0" w:color="auto"/>
              <w:right w:val="single" w:sz="6" w:space="0" w:color="auto"/>
            </w:tcBorders>
            <w:hideMark/>
          </w:tcPr>
          <w:p w14:paraId="4A52FA8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30.52 (1.50) </w:t>
            </w:r>
          </w:p>
        </w:tc>
      </w:tr>
      <w:tr w:rsidR="00607453" w:rsidRPr="00607453" w14:paraId="4C518A55"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63952655"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(90% CI)  </w:t>
            </w:r>
          </w:p>
        </w:tc>
        <w:tc>
          <w:tcPr>
            <w:tcW w:w="1335" w:type="dxa"/>
            <w:tcBorders>
              <w:top w:val="single" w:sz="6" w:space="0" w:color="auto"/>
              <w:left w:val="single" w:sz="6" w:space="0" w:color="auto"/>
              <w:bottom w:val="single" w:sz="6" w:space="0" w:color="auto"/>
              <w:right w:val="single" w:sz="6" w:space="0" w:color="auto"/>
            </w:tcBorders>
            <w:hideMark/>
          </w:tcPr>
          <w:p w14:paraId="6BEC774C"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-0.90 </w:t>
            </w:r>
          </w:p>
          <w:p w14:paraId="69A9987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(-4.41, 2.61) </w:t>
            </w:r>
          </w:p>
        </w:tc>
        <w:tc>
          <w:tcPr>
            <w:tcW w:w="1335" w:type="dxa"/>
            <w:tcBorders>
              <w:top w:val="single" w:sz="6" w:space="0" w:color="auto"/>
              <w:left w:val="single" w:sz="6" w:space="0" w:color="auto"/>
              <w:bottom w:val="single" w:sz="6" w:space="0" w:color="auto"/>
              <w:right w:val="single" w:sz="6" w:space="0" w:color="auto"/>
            </w:tcBorders>
            <w:hideMark/>
          </w:tcPr>
          <w:p w14:paraId="2A4A0E6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-0.46  </w:t>
            </w:r>
          </w:p>
          <w:p w14:paraId="76166538"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(-3.99, 3.07) </w:t>
            </w:r>
          </w:p>
        </w:tc>
        <w:tc>
          <w:tcPr>
            <w:tcW w:w="1335" w:type="dxa"/>
            <w:tcBorders>
              <w:top w:val="single" w:sz="6" w:space="0" w:color="auto"/>
              <w:left w:val="single" w:sz="6" w:space="0" w:color="auto"/>
              <w:bottom w:val="single" w:sz="6" w:space="0" w:color="auto"/>
              <w:right w:val="single" w:sz="6" w:space="0" w:color="auto"/>
            </w:tcBorders>
            <w:hideMark/>
          </w:tcPr>
          <w:p w14:paraId="5436083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-0.29  </w:t>
            </w:r>
          </w:p>
          <w:p w14:paraId="37E5C4A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(-3.84, 3.25) </w:t>
            </w:r>
          </w:p>
        </w:tc>
        <w:tc>
          <w:tcPr>
            <w:tcW w:w="1335" w:type="dxa"/>
            <w:tcBorders>
              <w:top w:val="single" w:sz="6" w:space="0" w:color="auto"/>
              <w:left w:val="single" w:sz="6" w:space="0" w:color="auto"/>
              <w:bottom w:val="single" w:sz="6" w:space="0" w:color="auto"/>
              <w:right w:val="single" w:sz="6" w:space="0" w:color="auto"/>
            </w:tcBorders>
            <w:hideMark/>
          </w:tcPr>
          <w:p w14:paraId="04B5132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1.20 </w:t>
            </w:r>
          </w:p>
          <w:p w14:paraId="31ABAD2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(-2.36, 4.76) </w:t>
            </w:r>
          </w:p>
        </w:tc>
        <w:tc>
          <w:tcPr>
            <w:tcW w:w="1335" w:type="dxa"/>
            <w:tcBorders>
              <w:top w:val="single" w:sz="6" w:space="0" w:color="auto"/>
              <w:left w:val="single" w:sz="6" w:space="0" w:color="auto"/>
              <w:bottom w:val="single" w:sz="6" w:space="0" w:color="auto"/>
              <w:right w:val="single" w:sz="6" w:space="0" w:color="auto"/>
            </w:tcBorders>
            <w:hideMark/>
          </w:tcPr>
          <w:p w14:paraId="221DCA8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1.53  </w:t>
            </w:r>
          </w:p>
          <w:p w14:paraId="6BEF09A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(-2.03, 5.10) </w:t>
            </w:r>
          </w:p>
        </w:tc>
      </w:tr>
      <w:tr w:rsidR="00607453" w:rsidRPr="00607453" w14:paraId="52605661" w14:textId="77777777" w:rsidTr="008452F4">
        <w:trPr>
          <w:trHeight w:val="300"/>
        </w:trPr>
        <w:tc>
          <w:tcPr>
            <w:tcW w:w="864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6F34A9BB"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CGI-S Predicted Mean (SE)</w:t>
            </w:r>
            <w:r w:rsidRPr="00607453">
              <w:rPr>
                <w:rFonts w:ascii="Times New Roman" w:eastAsia="Times New Roman" w:hAnsi="Times New Roman" w:cs="Times New Roman"/>
                <w:sz w:val="22"/>
                <w:szCs w:val="22"/>
                <w:lang w:eastAsia="en-US"/>
              </w:rPr>
              <w:t>  </w:t>
            </w:r>
          </w:p>
        </w:tc>
      </w:tr>
      <w:tr w:rsidR="00607453" w:rsidRPr="00607453" w14:paraId="4E5AF163"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54DEB35C"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sz w:val="22"/>
                <w:szCs w:val="22"/>
                <w:lang w:eastAsia="en-US"/>
              </w:rPr>
              <w:t>Azetukalner</w:t>
            </w:r>
            <w:proofErr w:type="spellEnd"/>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7E93AE61"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4.41 (0.19) </w:t>
            </w:r>
          </w:p>
        </w:tc>
        <w:tc>
          <w:tcPr>
            <w:tcW w:w="1335" w:type="dxa"/>
            <w:tcBorders>
              <w:top w:val="single" w:sz="6" w:space="0" w:color="auto"/>
              <w:left w:val="single" w:sz="6" w:space="0" w:color="auto"/>
              <w:bottom w:val="single" w:sz="6" w:space="0" w:color="auto"/>
              <w:right w:val="single" w:sz="6" w:space="0" w:color="auto"/>
            </w:tcBorders>
            <w:hideMark/>
          </w:tcPr>
          <w:p w14:paraId="0295B6E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3.74 (0.19) </w:t>
            </w:r>
          </w:p>
        </w:tc>
        <w:tc>
          <w:tcPr>
            <w:tcW w:w="1335" w:type="dxa"/>
            <w:tcBorders>
              <w:top w:val="single" w:sz="6" w:space="0" w:color="auto"/>
              <w:left w:val="single" w:sz="6" w:space="0" w:color="auto"/>
              <w:bottom w:val="single" w:sz="6" w:space="0" w:color="auto"/>
              <w:right w:val="single" w:sz="6" w:space="0" w:color="auto"/>
            </w:tcBorders>
            <w:hideMark/>
          </w:tcPr>
          <w:p w14:paraId="4496728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3.39 (0.20) </w:t>
            </w:r>
          </w:p>
        </w:tc>
        <w:tc>
          <w:tcPr>
            <w:tcW w:w="1335" w:type="dxa"/>
            <w:tcBorders>
              <w:top w:val="single" w:sz="6" w:space="0" w:color="auto"/>
              <w:left w:val="single" w:sz="6" w:space="0" w:color="auto"/>
              <w:bottom w:val="single" w:sz="6" w:space="0" w:color="auto"/>
              <w:right w:val="single" w:sz="6" w:space="0" w:color="auto"/>
            </w:tcBorders>
            <w:hideMark/>
          </w:tcPr>
          <w:p w14:paraId="5AB501E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3.11 (0.20) </w:t>
            </w:r>
          </w:p>
        </w:tc>
        <w:tc>
          <w:tcPr>
            <w:tcW w:w="1335" w:type="dxa"/>
            <w:tcBorders>
              <w:top w:val="single" w:sz="6" w:space="0" w:color="auto"/>
              <w:left w:val="single" w:sz="6" w:space="0" w:color="auto"/>
              <w:bottom w:val="single" w:sz="6" w:space="0" w:color="auto"/>
              <w:right w:val="single" w:sz="6" w:space="0" w:color="auto"/>
            </w:tcBorders>
            <w:hideMark/>
          </w:tcPr>
          <w:p w14:paraId="6D180A9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3.11 (0.20) </w:t>
            </w:r>
          </w:p>
        </w:tc>
      </w:tr>
      <w:tr w:rsidR="00607453" w:rsidRPr="00607453" w14:paraId="41F7A87B"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11EB352A"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Placebo  </w:t>
            </w:r>
          </w:p>
        </w:tc>
        <w:tc>
          <w:tcPr>
            <w:tcW w:w="1335" w:type="dxa"/>
            <w:tcBorders>
              <w:top w:val="single" w:sz="6" w:space="0" w:color="auto"/>
              <w:left w:val="single" w:sz="6" w:space="0" w:color="auto"/>
              <w:bottom w:val="single" w:sz="6" w:space="0" w:color="auto"/>
              <w:right w:val="single" w:sz="6" w:space="0" w:color="auto"/>
            </w:tcBorders>
            <w:hideMark/>
          </w:tcPr>
          <w:p w14:paraId="076349B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4.65 (0.19) </w:t>
            </w:r>
          </w:p>
        </w:tc>
        <w:tc>
          <w:tcPr>
            <w:tcW w:w="1335" w:type="dxa"/>
            <w:tcBorders>
              <w:top w:val="single" w:sz="6" w:space="0" w:color="auto"/>
              <w:left w:val="single" w:sz="6" w:space="0" w:color="auto"/>
              <w:bottom w:val="single" w:sz="6" w:space="0" w:color="auto"/>
              <w:right w:val="single" w:sz="6" w:space="0" w:color="auto"/>
            </w:tcBorders>
            <w:hideMark/>
          </w:tcPr>
          <w:p w14:paraId="070F2FC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4.21 (0.19) </w:t>
            </w:r>
          </w:p>
        </w:tc>
        <w:tc>
          <w:tcPr>
            <w:tcW w:w="1335" w:type="dxa"/>
            <w:tcBorders>
              <w:top w:val="single" w:sz="6" w:space="0" w:color="auto"/>
              <w:left w:val="single" w:sz="6" w:space="0" w:color="auto"/>
              <w:bottom w:val="single" w:sz="6" w:space="0" w:color="auto"/>
              <w:right w:val="single" w:sz="6" w:space="0" w:color="auto"/>
            </w:tcBorders>
            <w:hideMark/>
          </w:tcPr>
          <w:p w14:paraId="6CA866F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3.80 (0.19) </w:t>
            </w:r>
          </w:p>
        </w:tc>
        <w:tc>
          <w:tcPr>
            <w:tcW w:w="1335" w:type="dxa"/>
            <w:tcBorders>
              <w:top w:val="single" w:sz="6" w:space="0" w:color="auto"/>
              <w:left w:val="single" w:sz="6" w:space="0" w:color="auto"/>
              <w:bottom w:val="single" w:sz="6" w:space="0" w:color="auto"/>
              <w:right w:val="single" w:sz="6" w:space="0" w:color="auto"/>
            </w:tcBorders>
            <w:hideMark/>
          </w:tcPr>
          <w:p w14:paraId="1382053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3.62 (0.19) </w:t>
            </w:r>
          </w:p>
        </w:tc>
        <w:tc>
          <w:tcPr>
            <w:tcW w:w="1335" w:type="dxa"/>
            <w:tcBorders>
              <w:top w:val="single" w:sz="6" w:space="0" w:color="auto"/>
              <w:left w:val="single" w:sz="6" w:space="0" w:color="auto"/>
              <w:bottom w:val="single" w:sz="6" w:space="0" w:color="auto"/>
              <w:right w:val="single" w:sz="6" w:space="0" w:color="auto"/>
            </w:tcBorders>
            <w:hideMark/>
          </w:tcPr>
          <w:p w14:paraId="7E0FDF5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3.33 (0.19) </w:t>
            </w:r>
          </w:p>
        </w:tc>
      </w:tr>
      <w:tr w:rsidR="00607453" w:rsidRPr="00607453" w14:paraId="78DEFE49"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5507400A"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(90% CI) </w:t>
            </w:r>
          </w:p>
        </w:tc>
        <w:tc>
          <w:tcPr>
            <w:tcW w:w="1335" w:type="dxa"/>
            <w:tcBorders>
              <w:top w:val="single" w:sz="6" w:space="0" w:color="auto"/>
              <w:left w:val="single" w:sz="6" w:space="0" w:color="auto"/>
              <w:bottom w:val="single" w:sz="6" w:space="0" w:color="auto"/>
              <w:right w:val="single" w:sz="6" w:space="0" w:color="auto"/>
            </w:tcBorders>
            <w:hideMark/>
          </w:tcPr>
          <w:p w14:paraId="123092C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-0.23 </w:t>
            </w:r>
          </w:p>
          <w:p w14:paraId="6C7CB423"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(-0.67, 0.21) </w:t>
            </w:r>
          </w:p>
        </w:tc>
        <w:tc>
          <w:tcPr>
            <w:tcW w:w="1335" w:type="dxa"/>
            <w:tcBorders>
              <w:top w:val="single" w:sz="6" w:space="0" w:color="auto"/>
              <w:left w:val="single" w:sz="6" w:space="0" w:color="auto"/>
              <w:bottom w:val="single" w:sz="6" w:space="0" w:color="auto"/>
              <w:right w:val="single" w:sz="6" w:space="0" w:color="auto"/>
            </w:tcBorders>
            <w:hideMark/>
          </w:tcPr>
          <w:p w14:paraId="0717919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-0.46  </w:t>
            </w:r>
          </w:p>
          <w:p w14:paraId="2E39E0E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(-0.91, -0.02) </w:t>
            </w:r>
          </w:p>
        </w:tc>
        <w:tc>
          <w:tcPr>
            <w:tcW w:w="1335" w:type="dxa"/>
            <w:tcBorders>
              <w:top w:val="single" w:sz="6" w:space="0" w:color="auto"/>
              <w:left w:val="single" w:sz="6" w:space="0" w:color="auto"/>
              <w:bottom w:val="single" w:sz="6" w:space="0" w:color="auto"/>
              <w:right w:val="single" w:sz="6" w:space="0" w:color="auto"/>
            </w:tcBorders>
            <w:hideMark/>
          </w:tcPr>
          <w:p w14:paraId="7D7669A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-0.41  </w:t>
            </w:r>
          </w:p>
          <w:p w14:paraId="42BFA35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(-0.87, 0.04) </w:t>
            </w:r>
          </w:p>
        </w:tc>
        <w:tc>
          <w:tcPr>
            <w:tcW w:w="1335" w:type="dxa"/>
            <w:tcBorders>
              <w:top w:val="single" w:sz="6" w:space="0" w:color="auto"/>
              <w:left w:val="single" w:sz="6" w:space="0" w:color="auto"/>
              <w:bottom w:val="single" w:sz="6" w:space="0" w:color="auto"/>
              <w:right w:val="single" w:sz="6" w:space="0" w:color="auto"/>
            </w:tcBorders>
            <w:hideMark/>
          </w:tcPr>
          <w:p w14:paraId="4CEA8764"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-0.51 </w:t>
            </w:r>
          </w:p>
          <w:p w14:paraId="5C58DD0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 (-0.97, -0.05) </w:t>
            </w:r>
          </w:p>
        </w:tc>
        <w:tc>
          <w:tcPr>
            <w:tcW w:w="1335" w:type="dxa"/>
            <w:tcBorders>
              <w:top w:val="single" w:sz="6" w:space="0" w:color="auto"/>
              <w:left w:val="single" w:sz="6" w:space="0" w:color="auto"/>
              <w:bottom w:val="single" w:sz="6" w:space="0" w:color="auto"/>
              <w:right w:val="single" w:sz="6" w:space="0" w:color="auto"/>
            </w:tcBorders>
            <w:hideMark/>
          </w:tcPr>
          <w:p w14:paraId="5824E768"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-0.23  </w:t>
            </w:r>
          </w:p>
          <w:p w14:paraId="1ACE56A7"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(-0.69, 0.23) </w:t>
            </w:r>
          </w:p>
        </w:tc>
      </w:tr>
      <w:tr w:rsidR="00607453" w:rsidRPr="00607453" w14:paraId="09419DF6" w14:textId="77777777" w:rsidTr="008452F4">
        <w:trPr>
          <w:trHeight w:val="300"/>
        </w:trPr>
        <w:tc>
          <w:tcPr>
            <w:tcW w:w="8640" w:type="dxa"/>
            <w:gridSpan w:val="6"/>
            <w:tcBorders>
              <w:top w:val="single" w:sz="6" w:space="0" w:color="auto"/>
              <w:left w:val="single" w:sz="6" w:space="0" w:color="auto"/>
              <w:bottom w:val="single" w:sz="6" w:space="0" w:color="auto"/>
              <w:right w:val="single" w:sz="6" w:space="0" w:color="auto"/>
            </w:tcBorders>
            <w:shd w:val="clear" w:color="auto" w:fill="BDD6EE"/>
            <w:hideMark/>
          </w:tcPr>
          <w:p w14:paraId="1DCE2A83"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b/>
                <w:bCs/>
                <w:sz w:val="22"/>
                <w:szCs w:val="22"/>
                <w:lang w:eastAsia="en-US"/>
              </w:rPr>
              <w:t>CGI-I Predicted Mean (SE)</w:t>
            </w:r>
            <w:r w:rsidRPr="00607453">
              <w:rPr>
                <w:rFonts w:ascii="Times New Roman" w:eastAsia="Times New Roman" w:hAnsi="Times New Roman" w:cs="Times New Roman"/>
                <w:sz w:val="22"/>
                <w:szCs w:val="22"/>
                <w:lang w:eastAsia="en-US"/>
              </w:rPr>
              <w:t>  </w:t>
            </w:r>
          </w:p>
        </w:tc>
      </w:tr>
      <w:tr w:rsidR="00607453" w:rsidRPr="00607453" w14:paraId="1517B578"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3555ACF3"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proofErr w:type="spellStart"/>
            <w:r w:rsidRPr="00607453">
              <w:rPr>
                <w:rFonts w:ascii="Times New Roman" w:eastAsia="Times New Roman" w:hAnsi="Times New Roman" w:cs="Times New Roman"/>
                <w:sz w:val="22"/>
                <w:szCs w:val="22"/>
                <w:lang w:eastAsia="en-US"/>
              </w:rPr>
              <w:t>Azetukalner</w:t>
            </w:r>
            <w:proofErr w:type="spellEnd"/>
            <w:r w:rsidRPr="00607453">
              <w:rPr>
                <w:rFonts w:ascii="Times New Roman" w:eastAsia="Times New Roman" w:hAnsi="Times New Roman" w:cs="Times New Roman"/>
                <w:sz w:val="22"/>
                <w:szCs w:val="22"/>
                <w:lang w:eastAsia="en-US"/>
              </w:rPr>
              <w:t>  </w:t>
            </w:r>
          </w:p>
        </w:tc>
        <w:tc>
          <w:tcPr>
            <w:tcW w:w="1335" w:type="dxa"/>
            <w:tcBorders>
              <w:top w:val="single" w:sz="6" w:space="0" w:color="auto"/>
              <w:left w:val="single" w:sz="6" w:space="0" w:color="auto"/>
              <w:bottom w:val="single" w:sz="6" w:space="0" w:color="auto"/>
              <w:right w:val="single" w:sz="6" w:space="0" w:color="auto"/>
            </w:tcBorders>
            <w:hideMark/>
          </w:tcPr>
          <w:p w14:paraId="32D8C42A"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4.14 (0.19) </w:t>
            </w:r>
          </w:p>
        </w:tc>
        <w:tc>
          <w:tcPr>
            <w:tcW w:w="1335" w:type="dxa"/>
            <w:tcBorders>
              <w:top w:val="single" w:sz="6" w:space="0" w:color="auto"/>
              <w:left w:val="single" w:sz="6" w:space="0" w:color="auto"/>
              <w:bottom w:val="single" w:sz="6" w:space="0" w:color="auto"/>
              <w:right w:val="single" w:sz="6" w:space="0" w:color="auto"/>
            </w:tcBorders>
            <w:hideMark/>
          </w:tcPr>
          <w:p w14:paraId="40EA4996"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3.14 (0.20) </w:t>
            </w:r>
          </w:p>
        </w:tc>
        <w:tc>
          <w:tcPr>
            <w:tcW w:w="1335" w:type="dxa"/>
            <w:tcBorders>
              <w:top w:val="single" w:sz="6" w:space="0" w:color="auto"/>
              <w:left w:val="single" w:sz="6" w:space="0" w:color="auto"/>
              <w:bottom w:val="single" w:sz="6" w:space="0" w:color="auto"/>
              <w:right w:val="single" w:sz="6" w:space="0" w:color="auto"/>
            </w:tcBorders>
            <w:hideMark/>
          </w:tcPr>
          <w:p w14:paraId="7715E08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2.69 (0.20) </w:t>
            </w:r>
          </w:p>
        </w:tc>
        <w:tc>
          <w:tcPr>
            <w:tcW w:w="1335" w:type="dxa"/>
            <w:tcBorders>
              <w:top w:val="single" w:sz="6" w:space="0" w:color="auto"/>
              <w:left w:val="single" w:sz="6" w:space="0" w:color="auto"/>
              <w:bottom w:val="single" w:sz="6" w:space="0" w:color="auto"/>
              <w:right w:val="single" w:sz="6" w:space="0" w:color="auto"/>
            </w:tcBorders>
            <w:hideMark/>
          </w:tcPr>
          <w:p w14:paraId="1D535723"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2.48 (0.20) </w:t>
            </w:r>
          </w:p>
        </w:tc>
        <w:tc>
          <w:tcPr>
            <w:tcW w:w="1335" w:type="dxa"/>
            <w:tcBorders>
              <w:top w:val="single" w:sz="6" w:space="0" w:color="auto"/>
              <w:left w:val="single" w:sz="6" w:space="0" w:color="auto"/>
              <w:bottom w:val="single" w:sz="6" w:space="0" w:color="auto"/>
              <w:right w:val="single" w:sz="6" w:space="0" w:color="auto"/>
            </w:tcBorders>
            <w:hideMark/>
          </w:tcPr>
          <w:p w14:paraId="2142A74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2.44 (0.20) </w:t>
            </w:r>
          </w:p>
        </w:tc>
      </w:tr>
      <w:tr w:rsidR="00607453" w:rsidRPr="00607453" w14:paraId="235849E3"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4999874C"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Placebo  </w:t>
            </w:r>
          </w:p>
        </w:tc>
        <w:tc>
          <w:tcPr>
            <w:tcW w:w="1335" w:type="dxa"/>
            <w:tcBorders>
              <w:top w:val="single" w:sz="6" w:space="0" w:color="auto"/>
              <w:left w:val="single" w:sz="6" w:space="0" w:color="auto"/>
              <w:bottom w:val="single" w:sz="6" w:space="0" w:color="auto"/>
              <w:right w:val="single" w:sz="6" w:space="0" w:color="auto"/>
            </w:tcBorders>
            <w:hideMark/>
          </w:tcPr>
          <w:p w14:paraId="21E84C1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4.10 (0.19) </w:t>
            </w:r>
          </w:p>
        </w:tc>
        <w:tc>
          <w:tcPr>
            <w:tcW w:w="1335" w:type="dxa"/>
            <w:tcBorders>
              <w:top w:val="single" w:sz="6" w:space="0" w:color="auto"/>
              <w:left w:val="single" w:sz="6" w:space="0" w:color="auto"/>
              <w:bottom w:val="single" w:sz="6" w:space="0" w:color="auto"/>
              <w:right w:val="single" w:sz="6" w:space="0" w:color="auto"/>
            </w:tcBorders>
            <w:hideMark/>
          </w:tcPr>
          <w:p w14:paraId="67BD0F1C"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3.40 (0.19) </w:t>
            </w:r>
          </w:p>
        </w:tc>
        <w:tc>
          <w:tcPr>
            <w:tcW w:w="1335" w:type="dxa"/>
            <w:tcBorders>
              <w:top w:val="single" w:sz="6" w:space="0" w:color="auto"/>
              <w:left w:val="single" w:sz="6" w:space="0" w:color="auto"/>
              <w:bottom w:val="single" w:sz="6" w:space="0" w:color="auto"/>
              <w:right w:val="single" w:sz="6" w:space="0" w:color="auto"/>
            </w:tcBorders>
            <w:hideMark/>
          </w:tcPr>
          <w:p w14:paraId="5AF99ACF"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3.25 (0.19) </w:t>
            </w:r>
          </w:p>
        </w:tc>
        <w:tc>
          <w:tcPr>
            <w:tcW w:w="1335" w:type="dxa"/>
            <w:tcBorders>
              <w:top w:val="single" w:sz="6" w:space="0" w:color="auto"/>
              <w:left w:val="single" w:sz="6" w:space="0" w:color="auto"/>
              <w:bottom w:val="single" w:sz="6" w:space="0" w:color="auto"/>
              <w:right w:val="single" w:sz="6" w:space="0" w:color="auto"/>
            </w:tcBorders>
            <w:hideMark/>
          </w:tcPr>
          <w:p w14:paraId="34B4D7C8"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2.96 (0.19) </w:t>
            </w:r>
          </w:p>
        </w:tc>
        <w:tc>
          <w:tcPr>
            <w:tcW w:w="1335" w:type="dxa"/>
            <w:tcBorders>
              <w:top w:val="single" w:sz="6" w:space="0" w:color="auto"/>
              <w:left w:val="single" w:sz="6" w:space="0" w:color="auto"/>
              <w:bottom w:val="single" w:sz="6" w:space="0" w:color="auto"/>
              <w:right w:val="single" w:sz="6" w:space="0" w:color="auto"/>
            </w:tcBorders>
            <w:hideMark/>
          </w:tcPr>
          <w:p w14:paraId="18C6F2A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2.75 (0.20) </w:t>
            </w:r>
          </w:p>
        </w:tc>
      </w:tr>
      <w:tr w:rsidR="00607453" w:rsidRPr="00607453" w14:paraId="5AD82CAF" w14:textId="77777777" w:rsidTr="008452F4">
        <w:trPr>
          <w:trHeight w:val="300"/>
        </w:trPr>
        <w:tc>
          <w:tcPr>
            <w:tcW w:w="1965" w:type="dxa"/>
            <w:tcBorders>
              <w:top w:val="single" w:sz="6" w:space="0" w:color="auto"/>
              <w:left w:val="single" w:sz="6" w:space="0" w:color="auto"/>
              <w:bottom w:val="single" w:sz="6" w:space="0" w:color="auto"/>
              <w:right w:val="single" w:sz="6" w:space="0" w:color="auto"/>
            </w:tcBorders>
            <w:hideMark/>
          </w:tcPr>
          <w:p w14:paraId="0D17530C"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Difference (90% CI)  </w:t>
            </w:r>
          </w:p>
        </w:tc>
        <w:tc>
          <w:tcPr>
            <w:tcW w:w="1335" w:type="dxa"/>
            <w:tcBorders>
              <w:top w:val="single" w:sz="6" w:space="0" w:color="auto"/>
              <w:left w:val="single" w:sz="6" w:space="0" w:color="auto"/>
              <w:bottom w:val="single" w:sz="6" w:space="0" w:color="auto"/>
              <w:right w:val="single" w:sz="6" w:space="0" w:color="auto"/>
            </w:tcBorders>
            <w:hideMark/>
          </w:tcPr>
          <w:p w14:paraId="52D9B512"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0.04 </w:t>
            </w:r>
          </w:p>
          <w:p w14:paraId="050458D9"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(-0.40, 0.48) </w:t>
            </w:r>
          </w:p>
        </w:tc>
        <w:tc>
          <w:tcPr>
            <w:tcW w:w="1335" w:type="dxa"/>
            <w:tcBorders>
              <w:top w:val="single" w:sz="6" w:space="0" w:color="auto"/>
              <w:left w:val="single" w:sz="6" w:space="0" w:color="auto"/>
              <w:bottom w:val="single" w:sz="6" w:space="0" w:color="auto"/>
              <w:right w:val="single" w:sz="6" w:space="0" w:color="auto"/>
            </w:tcBorders>
            <w:hideMark/>
          </w:tcPr>
          <w:p w14:paraId="12D12020"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-0.26  </w:t>
            </w:r>
          </w:p>
          <w:p w14:paraId="7BCA344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(-0.71, 0.19) </w:t>
            </w:r>
          </w:p>
        </w:tc>
        <w:tc>
          <w:tcPr>
            <w:tcW w:w="1335" w:type="dxa"/>
            <w:tcBorders>
              <w:top w:val="single" w:sz="6" w:space="0" w:color="auto"/>
              <w:left w:val="single" w:sz="6" w:space="0" w:color="auto"/>
              <w:bottom w:val="single" w:sz="6" w:space="0" w:color="auto"/>
              <w:right w:val="single" w:sz="6" w:space="0" w:color="auto"/>
            </w:tcBorders>
            <w:hideMark/>
          </w:tcPr>
          <w:p w14:paraId="17457585"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-0.56  </w:t>
            </w:r>
          </w:p>
          <w:p w14:paraId="5EBA396B"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(-1.02, -0.10) </w:t>
            </w:r>
          </w:p>
        </w:tc>
        <w:tc>
          <w:tcPr>
            <w:tcW w:w="1335" w:type="dxa"/>
            <w:tcBorders>
              <w:top w:val="single" w:sz="6" w:space="0" w:color="auto"/>
              <w:left w:val="single" w:sz="6" w:space="0" w:color="auto"/>
              <w:bottom w:val="single" w:sz="6" w:space="0" w:color="auto"/>
              <w:right w:val="single" w:sz="6" w:space="0" w:color="auto"/>
            </w:tcBorders>
            <w:hideMark/>
          </w:tcPr>
          <w:p w14:paraId="2939B05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-0.48  </w:t>
            </w:r>
          </w:p>
          <w:p w14:paraId="252FA83E"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(-0.95, -0.02) </w:t>
            </w:r>
          </w:p>
        </w:tc>
        <w:tc>
          <w:tcPr>
            <w:tcW w:w="1335" w:type="dxa"/>
            <w:tcBorders>
              <w:top w:val="single" w:sz="6" w:space="0" w:color="auto"/>
              <w:left w:val="single" w:sz="6" w:space="0" w:color="auto"/>
              <w:bottom w:val="single" w:sz="6" w:space="0" w:color="auto"/>
              <w:right w:val="single" w:sz="6" w:space="0" w:color="auto"/>
            </w:tcBorders>
            <w:hideMark/>
          </w:tcPr>
          <w:p w14:paraId="30561EC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-0.31  </w:t>
            </w:r>
          </w:p>
          <w:p w14:paraId="72E874DD" w14:textId="77777777" w:rsidR="00607453" w:rsidRPr="00607453" w:rsidRDefault="00607453" w:rsidP="00607453">
            <w:pPr>
              <w:spacing w:after="0" w:line="240" w:lineRule="auto"/>
              <w:jc w:val="center"/>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22"/>
                <w:szCs w:val="22"/>
                <w:lang w:eastAsia="en-US"/>
              </w:rPr>
              <w:t>(-0.78, 0.16) </w:t>
            </w:r>
          </w:p>
        </w:tc>
      </w:tr>
    </w:tbl>
    <w:p w14:paraId="32370CB8" w14:textId="77777777" w:rsidR="00607453" w:rsidRPr="00607453" w:rsidRDefault="00607453" w:rsidP="00607453">
      <w:pPr>
        <w:spacing w:line="259" w:lineRule="auto"/>
        <w:rPr>
          <w:rFonts w:ascii="Times New Roman" w:eastAsia="Times New Roman" w:hAnsi="Times New Roman" w:cs="Times New Roman"/>
          <w:b/>
          <w:bCs/>
          <w:sz w:val="22"/>
          <w:szCs w:val="22"/>
          <w:lang w:eastAsia="en-US"/>
        </w:rPr>
      </w:pPr>
    </w:p>
    <w:p w14:paraId="04EFABD7" w14:textId="77777777" w:rsidR="00607453" w:rsidRPr="00607453" w:rsidRDefault="00607453" w:rsidP="0060745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17"/>
          <w:szCs w:val="17"/>
          <w:vertAlign w:val="superscript"/>
          <w:lang w:eastAsia="en-US"/>
        </w:rPr>
        <w:t xml:space="preserve">a </w:t>
      </w:r>
      <w:r w:rsidRPr="00607453">
        <w:rPr>
          <w:rFonts w:ascii="Times New Roman" w:eastAsia="Times New Roman" w:hAnsi="Times New Roman" w:cs="Times New Roman"/>
          <w:sz w:val="22"/>
          <w:szCs w:val="22"/>
          <w:lang w:eastAsia="en-US"/>
        </w:rPr>
        <w:t>CI denotes confidence interval, CGI-I Clinical Global Impressions Improvement Scale, CGI-S Clinical Global Impressions Severity Scale, QIDS-SR, SE standard error, TEPS-AP Temporal Experience of Pleasure Scale Anticipatory Pleasure, TEPS-CP Temporal Experience of Pleasure Scale Consummatory Pleasure. </w:t>
      </w:r>
    </w:p>
    <w:p w14:paraId="60C7153C" w14:textId="5397EEDB" w:rsidR="00607453" w:rsidRPr="008507E3" w:rsidRDefault="00607453" w:rsidP="008507E3">
      <w:pPr>
        <w:spacing w:after="0" w:line="240" w:lineRule="auto"/>
        <w:textAlignment w:val="baseline"/>
        <w:rPr>
          <w:rFonts w:ascii="Times New Roman" w:eastAsia="Times New Roman" w:hAnsi="Times New Roman" w:cs="Times New Roman"/>
          <w:sz w:val="18"/>
          <w:szCs w:val="18"/>
          <w:lang w:eastAsia="en-US"/>
        </w:rPr>
      </w:pPr>
      <w:r w:rsidRPr="00607453">
        <w:rPr>
          <w:rFonts w:ascii="Times New Roman" w:eastAsia="Times New Roman" w:hAnsi="Times New Roman" w:cs="Times New Roman"/>
          <w:sz w:val="17"/>
          <w:szCs w:val="17"/>
          <w:vertAlign w:val="superscript"/>
          <w:lang w:eastAsia="en-US"/>
        </w:rPr>
        <w:t xml:space="preserve">b </w:t>
      </w:r>
      <w:r w:rsidRPr="00607453">
        <w:rPr>
          <w:rFonts w:ascii="Times New Roman" w:eastAsia="Times New Roman" w:hAnsi="Times New Roman" w:cs="Times New Roman"/>
          <w:color w:val="000000"/>
          <w:sz w:val="22"/>
          <w:szCs w:val="22"/>
          <w:shd w:val="clear" w:color="auto" w:fill="FFFFFF"/>
          <w:lang w:eastAsia="en-US"/>
        </w:rPr>
        <w:t>Scores on the QIDS-SR range from 0 to 27 with higher scores indicating greater severity of depression. Scores on the TEPS-AP range from 10 to 60 and scores on the TEPS-CP range from 8 to 48 with higher scores indicating greater level of anhedonia on both scales. Scores on the CGI-S range from 1 (Normal; not at all ill) to 7 (Among the most extremely ill patients). Scores on the CGI-I range from 1 (Very much improved) to 7 (Very much worse). </w:t>
      </w:r>
      <w:r w:rsidRPr="00607453">
        <w:rPr>
          <w:rFonts w:ascii="Times New Roman" w:eastAsia="Times New Roman" w:hAnsi="Times New Roman" w:cs="Times New Roman"/>
          <w:color w:val="000000"/>
          <w:sz w:val="22"/>
          <w:szCs w:val="22"/>
          <w:lang w:eastAsia="en-US"/>
        </w:rPr>
        <w:t> </w:t>
      </w:r>
    </w:p>
    <w:sectPr w:rsidR="00607453" w:rsidRPr="008507E3" w:rsidSect="007E6B3D">
      <w:footerReference w:type="default" r:id="rId8"/>
      <w:pgSz w:w="12240" w:h="15840"/>
      <w:pgMar w:top="806"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44B1" w14:textId="77777777" w:rsidR="00C77F59" w:rsidRDefault="00C77F59" w:rsidP="00DA7F0B">
      <w:pPr>
        <w:spacing w:after="0" w:line="240" w:lineRule="auto"/>
      </w:pPr>
      <w:r>
        <w:separator/>
      </w:r>
    </w:p>
  </w:endnote>
  <w:endnote w:type="continuationSeparator" w:id="0">
    <w:p w14:paraId="231482EA" w14:textId="77777777" w:rsidR="00C77F59" w:rsidRDefault="00C77F59" w:rsidP="00DA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501596"/>
      <w:docPartObj>
        <w:docPartGallery w:val="Page Numbers (Bottom of Page)"/>
        <w:docPartUnique/>
      </w:docPartObj>
    </w:sdtPr>
    <w:sdtEndPr>
      <w:rPr>
        <w:noProof/>
      </w:rPr>
    </w:sdtEndPr>
    <w:sdtContent>
      <w:p w14:paraId="16079293" w14:textId="50FB838C" w:rsidR="00DA7F0B" w:rsidRDefault="00DA7F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D00271" w14:textId="77777777" w:rsidR="00DA7F0B" w:rsidRDefault="00DA7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388F8" w14:textId="77777777" w:rsidR="00C77F59" w:rsidRDefault="00C77F59" w:rsidP="00DA7F0B">
      <w:pPr>
        <w:spacing w:after="0" w:line="240" w:lineRule="auto"/>
      </w:pPr>
      <w:r>
        <w:separator/>
      </w:r>
    </w:p>
  </w:footnote>
  <w:footnote w:type="continuationSeparator" w:id="0">
    <w:p w14:paraId="51BFDCA7" w14:textId="77777777" w:rsidR="00C77F59" w:rsidRDefault="00C77F59" w:rsidP="00DA7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50CC"/>
    <w:multiLevelType w:val="hybridMultilevel"/>
    <w:tmpl w:val="D246633E"/>
    <w:lvl w:ilvl="0" w:tplc="C772E9AE">
      <w:start w:val="1"/>
      <w:numFmt w:val="decimal"/>
      <w:lvlText w:val="%1."/>
      <w:lvlJc w:val="left"/>
      <w:pPr>
        <w:ind w:left="720" w:hanging="360"/>
      </w:pPr>
    </w:lvl>
    <w:lvl w:ilvl="1" w:tplc="7DFCA882">
      <w:start w:val="1"/>
      <w:numFmt w:val="lowerLetter"/>
      <w:lvlText w:val="%2."/>
      <w:lvlJc w:val="left"/>
      <w:pPr>
        <w:ind w:left="1440" w:hanging="360"/>
      </w:pPr>
    </w:lvl>
    <w:lvl w:ilvl="2" w:tplc="21D8D77E">
      <w:start w:val="1"/>
      <w:numFmt w:val="lowerRoman"/>
      <w:lvlText w:val="%3."/>
      <w:lvlJc w:val="right"/>
      <w:pPr>
        <w:ind w:left="2160" w:hanging="180"/>
      </w:pPr>
    </w:lvl>
    <w:lvl w:ilvl="3" w:tplc="BCEC342C">
      <w:start w:val="1"/>
      <w:numFmt w:val="decimal"/>
      <w:lvlText w:val="%4."/>
      <w:lvlJc w:val="left"/>
      <w:pPr>
        <w:ind w:left="2880" w:hanging="360"/>
      </w:pPr>
    </w:lvl>
    <w:lvl w:ilvl="4" w:tplc="C5862CCC">
      <w:start w:val="1"/>
      <w:numFmt w:val="lowerLetter"/>
      <w:lvlText w:val="%5."/>
      <w:lvlJc w:val="left"/>
      <w:pPr>
        <w:ind w:left="3600" w:hanging="360"/>
      </w:pPr>
    </w:lvl>
    <w:lvl w:ilvl="5" w:tplc="1B96BEF2">
      <w:start w:val="1"/>
      <w:numFmt w:val="lowerRoman"/>
      <w:lvlText w:val="%6."/>
      <w:lvlJc w:val="right"/>
      <w:pPr>
        <w:ind w:left="4320" w:hanging="180"/>
      </w:pPr>
    </w:lvl>
    <w:lvl w:ilvl="6" w:tplc="CF1CFA34">
      <w:start w:val="1"/>
      <w:numFmt w:val="decimal"/>
      <w:lvlText w:val="%7."/>
      <w:lvlJc w:val="left"/>
      <w:pPr>
        <w:ind w:left="5040" w:hanging="360"/>
      </w:pPr>
    </w:lvl>
    <w:lvl w:ilvl="7" w:tplc="4FB654AA">
      <w:start w:val="1"/>
      <w:numFmt w:val="lowerLetter"/>
      <w:lvlText w:val="%8."/>
      <w:lvlJc w:val="left"/>
      <w:pPr>
        <w:ind w:left="5760" w:hanging="360"/>
      </w:pPr>
    </w:lvl>
    <w:lvl w:ilvl="8" w:tplc="758AD3AE">
      <w:start w:val="1"/>
      <w:numFmt w:val="lowerRoman"/>
      <w:lvlText w:val="%9."/>
      <w:lvlJc w:val="right"/>
      <w:pPr>
        <w:ind w:left="6480" w:hanging="180"/>
      </w:pPr>
    </w:lvl>
  </w:abstractNum>
  <w:abstractNum w:abstractNumId="1" w15:restartNumberingAfterBreak="0">
    <w:nsid w:val="7A3FE88B"/>
    <w:multiLevelType w:val="hybridMultilevel"/>
    <w:tmpl w:val="F10CD9EE"/>
    <w:lvl w:ilvl="0" w:tplc="343E8734">
      <w:start w:val="1"/>
      <w:numFmt w:val="decimal"/>
      <w:lvlText w:val="%1."/>
      <w:lvlJc w:val="left"/>
      <w:pPr>
        <w:ind w:left="720" w:hanging="360"/>
      </w:pPr>
    </w:lvl>
    <w:lvl w:ilvl="1" w:tplc="4AFE4A28">
      <w:start w:val="1"/>
      <w:numFmt w:val="lowerLetter"/>
      <w:lvlText w:val="%2."/>
      <w:lvlJc w:val="left"/>
      <w:pPr>
        <w:ind w:left="1440" w:hanging="360"/>
      </w:pPr>
    </w:lvl>
    <w:lvl w:ilvl="2" w:tplc="40F43CFC">
      <w:start w:val="1"/>
      <w:numFmt w:val="lowerRoman"/>
      <w:lvlText w:val="%3."/>
      <w:lvlJc w:val="right"/>
      <w:pPr>
        <w:ind w:left="2160" w:hanging="180"/>
      </w:pPr>
    </w:lvl>
    <w:lvl w:ilvl="3" w:tplc="EFEA6CB2">
      <w:start w:val="1"/>
      <w:numFmt w:val="decimal"/>
      <w:lvlText w:val="%4."/>
      <w:lvlJc w:val="left"/>
      <w:pPr>
        <w:ind w:left="2880" w:hanging="360"/>
      </w:pPr>
    </w:lvl>
    <w:lvl w:ilvl="4" w:tplc="57F2418A">
      <w:start w:val="1"/>
      <w:numFmt w:val="lowerLetter"/>
      <w:lvlText w:val="%5."/>
      <w:lvlJc w:val="left"/>
      <w:pPr>
        <w:ind w:left="3600" w:hanging="360"/>
      </w:pPr>
    </w:lvl>
    <w:lvl w:ilvl="5" w:tplc="985CAC26">
      <w:start w:val="1"/>
      <w:numFmt w:val="lowerRoman"/>
      <w:lvlText w:val="%6."/>
      <w:lvlJc w:val="right"/>
      <w:pPr>
        <w:ind w:left="4320" w:hanging="180"/>
      </w:pPr>
    </w:lvl>
    <w:lvl w:ilvl="6" w:tplc="B3EE235E">
      <w:start w:val="1"/>
      <w:numFmt w:val="decimal"/>
      <w:lvlText w:val="%7."/>
      <w:lvlJc w:val="left"/>
      <w:pPr>
        <w:ind w:left="5040" w:hanging="360"/>
      </w:pPr>
    </w:lvl>
    <w:lvl w:ilvl="7" w:tplc="34EC94B4">
      <w:start w:val="1"/>
      <w:numFmt w:val="lowerLetter"/>
      <w:lvlText w:val="%8."/>
      <w:lvlJc w:val="left"/>
      <w:pPr>
        <w:ind w:left="5760" w:hanging="360"/>
      </w:pPr>
    </w:lvl>
    <w:lvl w:ilvl="8" w:tplc="2064DFDC">
      <w:start w:val="1"/>
      <w:numFmt w:val="lowerRoman"/>
      <w:lvlText w:val="%9."/>
      <w:lvlJc w:val="right"/>
      <w:pPr>
        <w:ind w:left="6480" w:hanging="180"/>
      </w:pPr>
    </w:lvl>
  </w:abstractNum>
  <w:num w:numId="1" w16cid:durableId="116029191">
    <w:abstractNumId w:val="1"/>
  </w:num>
  <w:num w:numId="2" w16cid:durableId="53484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26E400"/>
    <w:rsid w:val="000353A0"/>
    <w:rsid w:val="00066EAF"/>
    <w:rsid w:val="000A2CCA"/>
    <w:rsid w:val="001A36BC"/>
    <w:rsid w:val="001F4853"/>
    <w:rsid w:val="00225DC3"/>
    <w:rsid w:val="00241FE0"/>
    <w:rsid w:val="0024249A"/>
    <w:rsid w:val="002F5565"/>
    <w:rsid w:val="00342FFE"/>
    <w:rsid w:val="00445EEE"/>
    <w:rsid w:val="0045494A"/>
    <w:rsid w:val="004670EE"/>
    <w:rsid w:val="004C0746"/>
    <w:rsid w:val="00557E52"/>
    <w:rsid w:val="00560ACD"/>
    <w:rsid w:val="00597940"/>
    <w:rsid w:val="00607453"/>
    <w:rsid w:val="00791437"/>
    <w:rsid w:val="007C3802"/>
    <w:rsid w:val="007E6B3D"/>
    <w:rsid w:val="008507E3"/>
    <w:rsid w:val="00954EB8"/>
    <w:rsid w:val="009C6CB8"/>
    <w:rsid w:val="00A23271"/>
    <w:rsid w:val="00A4738E"/>
    <w:rsid w:val="00A8CA29"/>
    <w:rsid w:val="00B60C93"/>
    <w:rsid w:val="00B662A1"/>
    <w:rsid w:val="00B67A7F"/>
    <w:rsid w:val="00BF270C"/>
    <w:rsid w:val="00BF2CFF"/>
    <w:rsid w:val="00C50E44"/>
    <w:rsid w:val="00C75F12"/>
    <w:rsid w:val="00C77F59"/>
    <w:rsid w:val="00D31D48"/>
    <w:rsid w:val="00DA7F0B"/>
    <w:rsid w:val="00E375A7"/>
    <w:rsid w:val="00F85D10"/>
    <w:rsid w:val="00FE34B9"/>
    <w:rsid w:val="02074171"/>
    <w:rsid w:val="02B108A4"/>
    <w:rsid w:val="054F77E6"/>
    <w:rsid w:val="06ACE2CD"/>
    <w:rsid w:val="07B83B8C"/>
    <w:rsid w:val="094BB8CA"/>
    <w:rsid w:val="0A19B52D"/>
    <w:rsid w:val="0A2534C5"/>
    <w:rsid w:val="0AB0A234"/>
    <w:rsid w:val="0D203BC0"/>
    <w:rsid w:val="0F176030"/>
    <w:rsid w:val="0FB82910"/>
    <w:rsid w:val="120C6588"/>
    <w:rsid w:val="135CDEA9"/>
    <w:rsid w:val="13DF2F95"/>
    <w:rsid w:val="146F3329"/>
    <w:rsid w:val="1491197F"/>
    <w:rsid w:val="14ABF321"/>
    <w:rsid w:val="18A83BB8"/>
    <w:rsid w:val="18C772E1"/>
    <w:rsid w:val="196AA24C"/>
    <w:rsid w:val="1B26F167"/>
    <w:rsid w:val="1BF737DA"/>
    <w:rsid w:val="1C03A230"/>
    <w:rsid w:val="1DF7595C"/>
    <w:rsid w:val="1FB05355"/>
    <w:rsid w:val="21281574"/>
    <w:rsid w:val="23769605"/>
    <w:rsid w:val="23AFAEB0"/>
    <w:rsid w:val="2492AF02"/>
    <w:rsid w:val="26B15E95"/>
    <w:rsid w:val="2771A126"/>
    <w:rsid w:val="288FC6F7"/>
    <w:rsid w:val="293C49A7"/>
    <w:rsid w:val="2B08C9B5"/>
    <w:rsid w:val="2D35600D"/>
    <w:rsid w:val="2EBF3942"/>
    <w:rsid w:val="2EFF8CD5"/>
    <w:rsid w:val="2F89FD5B"/>
    <w:rsid w:val="2FAA4E2D"/>
    <w:rsid w:val="2FCD0154"/>
    <w:rsid w:val="30E0A0E7"/>
    <w:rsid w:val="322D4BA6"/>
    <w:rsid w:val="32616B95"/>
    <w:rsid w:val="32E12FF5"/>
    <w:rsid w:val="3328B79A"/>
    <w:rsid w:val="33AFBDBA"/>
    <w:rsid w:val="3488FD58"/>
    <w:rsid w:val="35D0A324"/>
    <w:rsid w:val="366D18A9"/>
    <w:rsid w:val="387FB5B3"/>
    <w:rsid w:val="3904B48B"/>
    <w:rsid w:val="396B95BA"/>
    <w:rsid w:val="3B68E588"/>
    <w:rsid w:val="3D0A417D"/>
    <w:rsid w:val="4045A717"/>
    <w:rsid w:val="40EC7845"/>
    <w:rsid w:val="41818130"/>
    <w:rsid w:val="41BBA9C3"/>
    <w:rsid w:val="41D80AD6"/>
    <w:rsid w:val="4642AF76"/>
    <w:rsid w:val="46E33A89"/>
    <w:rsid w:val="46F5E353"/>
    <w:rsid w:val="4826E400"/>
    <w:rsid w:val="48900CCB"/>
    <w:rsid w:val="499FEBFC"/>
    <w:rsid w:val="4AF08B54"/>
    <w:rsid w:val="4BB8DB57"/>
    <w:rsid w:val="4C7F95AD"/>
    <w:rsid w:val="4CA663E8"/>
    <w:rsid w:val="4DF56660"/>
    <w:rsid w:val="4F003DD0"/>
    <w:rsid w:val="509F5F43"/>
    <w:rsid w:val="51746049"/>
    <w:rsid w:val="53010070"/>
    <w:rsid w:val="53588B58"/>
    <w:rsid w:val="55460579"/>
    <w:rsid w:val="5575D6AC"/>
    <w:rsid w:val="57FDEC86"/>
    <w:rsid w:val="597C2630"/>
    <w:rsid w:val="59DE369C"/>
    <w:rsid w:val="5C20E4F4"/>
    <w:rsid w:val="5C644570"/>
    <w:rsid w:val="5CF15716"/>
    <w:rsid w:val="5E5F2217"/>
    <w:rsid w:val="5FC48E17"/>
    <w:rsid w:val="6267C174"/>
    <w:rsid w:val="62DE7B01"/>
    <w:rsid w:val="62E4EA8F"/>
    <w:rsid w:val="64BE9904"/>
    <w:rsid w:val="66512268"/>
    <w:rsid w:val="6697697B"/>
    <w:rsid w:val="66DD1E2C"/>
    <w:rsid w:val="678E4A51"/>
    <w:rsid w:val="67B76DF0"/>
    <w:rsid w:val="6885B19D"/>
    <w:rsid w:val="68CAAE90"/>
    <w:rsid w:val="6A194277"/>
    <w:rsid w:val="6A8464CE"/>
    <w:rsid w:val="6B27522C"/>
    <w:rsid w:val="6BF1F9BB"/>
    <w:rsid w:val="6CD617B7"/>
    <w:rsid w:val="6DCBD2F3"/>
    <w:rsid w:val="6F2ACCB4"/>
    <w:rsid w:val="6FB6E771"/>
    <w:rsid w:val="712BDD68"/>
    <w:rsid w:val="714C896B"/>
    <w:rsid w:val="73080D0E"/>
    <w:rsid w:val="7330124B"/>
    <w:rsid w:val="736BD67C"/>
    <w:rsid w:val="73A2934E"/>
    <w:rsid w:val="741104DA"/>
    <w:rsid w:val="741663E1"/>
    <w:rsid w:val="76100739"/>
    <w:rsid w:val="76D73B48"/>
    <w:rsid w:val="77851465"/>
    <w:rsid w:val="77912509"/>
    <w:rsid w:val="77A57746"/>
    <w:rsid w:val="7A08E1C1"/>
    <w:rsid w:val="7BD6C457"/>
    <w:rsid w:val="7DF66548"/>
    <w:rsid w:val="7F471383"/>
    <w:rsid w:val="7F567B6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E400"/>
  <w15:chartTrackingRefBased/>
  <w15:docId w15:val="{BB2EFB35-0A4B-47FF-A59A-68EAD628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3A2934E"/>
    <w:pPr>
      <w:ind w:left="720"/>
      <w:contextualSpacing/>
    </w:pPr>
  </w:style>
  <w:style w:type="paragraph" w:styleId="Revision">
    <w:name w:val="Revision"/>
    <w:hidden/>
    <w:uiPriority w:val="99"/>
    <w:semiHidden/>
    <w:rsid w:val="00791437"/>
    <w:pPr>
      <w:spacing w:after="0" w:line="240" w:lineRule="auto"/>
    </w:pPr>
  </w:style>
  <w:style w:type="paragraph" w:styleId="Header">
    <w:name w:val="header"/>
    <w:basedOn w:val="Normal"/>
    <w:link w:val="HeaderChar"/>
    <w:uiPriority w:val="99"/>
    <w:unhideWhenUsed/>
    <w:rsid w:val="00DA7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0B"/>
  </w:style>
  <w:style w:type="paragraph" w:styleId="Footer">
    <w:name w:val="footer"/>
    <w:basedOn w:val="Normal"/>
    <w:link w:val="FooterChar"/>
    <w:uiPriority w:val="99"/>
    <w:unhideWhenUsed/>
    <w:rsid w:val="00DA7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F0B"/>
  </w:style>
  <w:style w:type="character" w:styleId="LineNumber">
    <w:name w:val="line number"/>
    <w:basedOn w:val="DefaultParagraphFont"/>
    <w:uiPriority w:val="99"/>
    <w:semiHidden/>
    <w:unhideWhenUsed/>
    <w:rsid w:val="007E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Neukam, Philipp</dc:creator>
  <cp:keywords/>
  <dc:description/>
  <cp:lastModifiedBy>Murrough, James</cp:lastModifiedBy>
  <cp:revision>2</cp:revision>
  <dcterms:created xsi:type="dcterms:W3CDTF">2025-08-26T15:13:00Z</dcterms:created>
  <dcterms:modified xsi:type="dcterms:W3CDTF">2025-08-26T15:13:00Z</dcterms:modified>
</cp:coreProperties>
</file>