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EQUATER</w:t>
      </w:r>
      <w:r>
        <w:rPr>
          <w:b/>
          <w:bCs/>
          <w:sz w:val="32"/>
          <w:szCs w:val="32"/>
        </w:rPr>
        <w:t xml:space="preserve"> checklist for </w:t>
      </w:r>
      <w:r>
        <w:rPr>
          <w:rFonts w:hint="eastAsia"/>
          <w:b/>
          <w:bCs/>
          <w:sz w:val="32"/>
          <w:szCs w:val="32"/>
          <w:lang w:val="en-US" w:eastAsia="zh-CN"/>
        </w:rPr>
        <w:t>the</w:t>
      </w:r>
      <w:r>
        <w:rPr>
          <w:b/>
          <w:bCs/>
          <w:sz w:val="32"/>
          <w:szCs w:val="32"/>
        </w:rPr>
        <w:t xml:space="preserve"> study.</w:t>
      </w:r>
    </w:p>
    <w:tbl>
      <w:tblPr>
        <w:tblStyle w:val="14"/>
        <w:tblW w:w="1002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884"/>
        <w:gridCol w:w="3500"/>
        <w:gridCol w:w="1683"/>
        <w:gridCol w:w="1183"/>
        <w:gridCol w:w="11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666" w:type="dxa"/>
            <w:tcBorders>
              <w:bottom w:val="single" w:color="auto" w:sz="0" w:space="0"/>
            </w:tcBorders>
            <w:vAlign w:val="bottom"/>
          </w:tcPr>
          <w:p/>
        </w:tc>
        <w:tc>
          <w:tcPr>
            <w:tcW w:w="884" w:type="dxa"/>
            <w:tcBorders>
              <w:bottom w:val="single" w:color="auto" w:sz="0" w:space="0"/>
            </w:tcBorders>
            <w:vAlign w:val="bottom"/>
          </w:tcPr>
          <w:p/>
        </w:tc>
        <w:tc>
          <w:tcPr>
            <w:tcW w:w="3500" w:type="dxa"/>
            <w:tcBorders>
              <w:bottom w:val="single" w:color="auto" w:sz="0" w:space="0"/>
            </w:tcBorders>
            <w:vAlign w:val="bottom"/>
          </w:tcPr>
          <w:p>
            <w:pPr>
              <w:jc w:val="left"/>
            </w:pPr>
            <w:r>
              <w:t>Reporting Item</w:t>
            </w:r>
          </w:p>
        </w:tc>
        <w:tc>
          <w:tcPr>
            <w:tcW w:w="1683" w:type="dxa"/>
            <w:tcBorders>
              <w:bottom w:val="single" w:color="auto" w:sz="0" w:space="0"/>
            </w:tcBorders>
            <w:vAlign w:val="bottom"/>
          </w:tcPr>
          <w:p>
            <w:pPr>
              <w:jc w:val="center"/>
            </w:pPr>
            <w:r>
              <w:t>Page Number</w:t>
            </w:r>
          </w:p>
        </w:tc>
        <w:tc>
          <w:tcPr>
            <w:tcW w:w="1183" w:type="dxa"/>
            <w:tcBorders>
              <w:bottom w:val="single" w:color="auto" w:sz="0" w:space="0"/>
            </w:tcBorders>
            <w:vAlign w:val="bottom"/>
          </w:tcPr>
          <w:p>
            <w:pPr>
              <w:jc w:val="right"/>
            </w:pPr>
          </w:p>
        </w:tc>
        <w:tc>
          <w:tcPr>
            <w:tcW w:w="1110" w:type="dxa"/>
            <w:tcBorders>
              <w:bottom w:val="single" w:color="auto" w:sz="0" w:space="0"/>
            </w:tcBorders>
            <w:vAlign w:val="bottom"/>
          </w:tcPr>
          <w:p>
            <w:pPr>
              <w:jc w:val="righ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rPr>
                <w:b/>
              </w:rPr>
              <w:t xml:space="preserve">Title or abstract </w:t>
            </w:r>
          </w:p>
        </w:tc>
        <w:tc>
          <w:tcPr>
            <w:tcW w:w="884" w:type="dxa"/>
          </w:tcPr>
          <w:p/>
        </w:tc>
        <w:tc>
          <w:tcPr>
            <w:tcW w:w="3500" w:type="dxa"/>
          </w:tcPr>
          <w:p/>
        </w:tc>
        <w:tc>
          <w:tcPr>
            <w:tcW w:w="1683" w:type="dxa"/>
          </w:tcPr>
          <w:p/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"https://www.goodreports.org/reporting-checklists/stard/info/#1" \h </w:instrText>
            </w:r>
            <w:r>
              <w:fldChar w:fldCharType="separate"/>
            </w:r>
            <w:r>
              <w:rPr>
                <w:rStyle w:val="16"/>
              </w:rPr>
              <w:t>#1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Identification as a study of diagnostic accuracy using at least one measure of accuracy (such as sensitivity, specificity, predictive values, or AUC)</w:t>
            </w:r>
          </w:p>
        </w:tc>
        <w:tc>
          <w:tcPr>
            <w:tcW w:w="1683" w:type="dxa"/>
            <w:vAlign w:val="top"/>
          </w:tcPr>
          <w:p>
            <w:pPr>
              <w:jc w:val="both"/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93" w:type="dxa"/>
            <w:gridSpan w:val="2"/>
          </w:tcPr>
          <w:p>
            <w:pPr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7476" w:type="dxa"/>
        </w:trPr>
        <w:tc>
          <w:tcPr>
            <w:tcW w:w="1666" w:type="dxa"/>
          </w:tcPr>
          <w:p/>
        </w:tc>
        <w:tc>
          <w:tcPr>
            <w:tcW w:w="884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rPr>
                <w:b/>
              </w:rPr>
              <w:t>Abstract</w:t>
            </w:r>
          </w:p>
        </w:tc>
        <w:tc>
          <w:tcPr>
            <w:tcW w:w="884" w:type="dxa"/>
          </w:tcPr>
          <w:p/>
        </w:tc>
        <w:tc>
          <w:tcPr>
            <w:tcW w:w="3500" w:type="dxa"/>
          </w:tcPr>
          <w:p/>
        </w:tc>
        <w:tc>
          <w:tcPr>
            <w:tcW w:w="1683" w:type="dxa"/>
          </w:tcPr>
          <w:p/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bookmarkStart w:id="0" w:name="OLE_LINK1" w:colFirst="2" w:colLast="2"/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"https://www.goodreports.org/reporting-checklists/stard/info/#2" \h </w:instrText>
            </w:r>
            <w:r>
              <w:fldChar w:fldCharType="separate"/>
            </w:r>
            <w:r>
              <w:rPr>
                <w:rStyle w:val="16"/>
              </w:rPr>
              <w:t>#2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Structured summary of study design, methods, results, and conclusions (for specific guidance, see STARD for Abstracts https://www.equator-network.org/reporting-guidelines/stard-abstracts/)</w:t>
            </w:r>
          </w:p>
        </w:tc>
        <w:tc>
          <w:tcPr>
            <w:tcW w:w="1683" w:type="dxa"/>
          </w:tcPr>
          <w:p>
            <w:pPr>
              <w:jc w:val="left"/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93" w:type="dxa"/>
            <w:gridSpan w:val="2"/>
          </w:tcPr>
          <w:p>
            <w:pPr>
              <w:jc w:val="left"/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7476" w:type="dxa"/>
        </w:trPr>
        <w:tc>
          <w:tcPr>
            <w:tcW w:w="1666" w:type="dxa"/>
          </w:tcPr>
          <w:p/>
        </w:tc>
        <w:tc>
          <w:tcPr>
            <w:tcW w:w="884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rPr>
                <w:b/>
              </w:rPr>
              <w:t>Introduction</w:t>
            </w:r>
          </w:p>
        </w:tc>
        <w:tc>
          <w:tcPr>
            <w:tcW w:w="884" w:type="dxa"/>
          </w:tcPr>
          <w:p/>
        </w:tc>
        <w:tc>
          <w:tcPr>
            <w:tcW w:w="3500" w:type="dxa"/>
          </w:tcPr>
          <w:p/>
        </w:tc>
        <w:tc>
          <w:tcPr>
            <w:tcW w:w="1683" w:type="dxa"/>
          </w:tcPr>
          <w:p/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"https://www.goodreports.org/reporting-checklists/stard/info/#3" \h </w:instrText>
            </w:r>
            <w:r>
              <w:fldChar w:fldCharType="separate"/>
            </w:r>
            <w:r>
              <w:rPr>
                <w:rStyle w:val="16"/>
              </w:rPr>
              <w:t>#3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Scientific and clinical background, including the intended use and clinical role of the index test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"https://www.goodreports.org/reporting-checklists/stard/info/#4" \h </w:instrText>
            </w:r>
            <w:r>
              <w:fldChar w:fldCharType="separate"/>
            </w:r>
            <w:r>
              <w:rPr>
                <w:rStyle w:val="16"/>
              </w:rPr>
              <w:t>#4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Study objectives and hypotheses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rPr>
                <w:b/>
              </w:rPr>
              <w:t>Methods</w:t>
            </w:r>
          </w:p>
        </w:tc>
        <w:tc>
          <w:tcPr>
            <w:tcW w:w="884" w:type="dxa"/>
          </w:tcPr>
          <w:p/>
        </w:tc>
        <w:tc>
          <w:tcPr>
            <w:tcW w:w="3500" w:type="dxa"/>
          </w:tcPr>
          <w:p/>
        </w:tc>
        <w:tc>
          <w:tcPr>
            <w:tcW w:w="1683" w:type="dxa"/>
          </w:tcPr>
          <w:p/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Study design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"https://www.goodreports.org/reporting-checklists/stard/info/#5" \h </w:instrText>
            </w:r>
            <w:r>
              <w:fldChar w:fldCharType="separate"/>
            </w:r>
            <w:r>
              <w:rPr>
                <w:rStyle w:val="16"/>
              </w:rPr>
              <w:t>#5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Whether data collection was planned before the index test and reference standard were performed (prospective study) or after (retrospective study)</w:t>
            </w:r>
          </w:p>
        </w:tc>
        <w:tc>
          <w:tcPr>
            <w:tcW w:w="1683" w:type="dxa"/>
          </w:tcPr>
          <w:p>
            <w:pPr>
              <w:jc w:val="left"/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93" w:type="dxa"/>
            <w:gridSpan w:val="2"/>
          </w:tcPr>
          <w:p>
            <w:pPr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7476" w:type="dxa"/>
        </w:trPr>
        <w:tc>
          <w:tcPr>
            <w:tcW w:w="1666" w:type="dxa"/>
          </w:tcPr>
          <w:p/>
        </w:tc>
        <w:tc>
          <w:tcPr>
            <w:tcW w:w="884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Participants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"https://www.goodreports.org/reporting-checklists/stard/info/#6" \h </w:instrText>
            </w:r>
            <w:r>
              <w:fldChar w:fldCharType="separate"/>
            </w:r>
            <w:r>
              <w:rPr>
                <w:rStyle w:val="16"/>
              </w:rPr>
              <w:t>#6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Eligibility criteria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Participants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"https://www.goodreports.org/reporting-checklists/stard/info/#7" \h </w:instrText>
            </w:r>
            <w:r>
              <w:fldChar w:fldCharType="separate"/>
            </w:r>
            <w:r>
              <w:rPr>
                <w:rStyle w:val="16"/>
              </w:rPr>
              <w:t>#7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On what basis potentially eligible participants were identified (such as symptoms, results from previous tests, inclusion in registry)</w:t>
            </w:r>
          </w:p>
        </w:tc>
        <w:tc>
          <w:tcPr>
            <w:tcW w:w="1683" w:type="dxa"/>
          </w:tcPr>
          <w:p>
            <w:pPr>
              <w:jc w:val="left"/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93" w:type="dxa"/>
            <w:gridSpan w:val="2"/>
          </w:tcPr>
          <w:p>
            <w:pPr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7476" w:type="dxa"/>
        </w:trPr>
        <w:tc>
          <w:tcPr>
            <w:tcW w:w="1666" w:type="dxa"/>
          </w:tcPr>
          <w:p/>
        </w:tc>
        <w:tc>
          <w:tcPr>
            <w:tcW w:w="884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Participants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"https://www.goodreports.org/reporting-checklists/stard/info/#8" \h </w:instrText>
            </w:r>
            <w:r>
              <w:fldChar w:fldCharType="separate"/>
            </w:r>
            <w:r>
              <w:rPr>
                <w:rStyle w:val="16"/>
              </w:rPr>
              <w:t>#8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Where and when potentially eligible participants were identified (setting, location and dates)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Participants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"https://www.goodreports.org/reporting-checklists/stard/info/#9" \h </w:instrText>
            </w:r>
            <w:r>
              <w:fldChar w:fldCharType="separate"/>
            </w:r>
            <w:r>
              <w:rPr>
                <w:rStyle w:val="16"/>
              </w:rPr>
              <w:t>#9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Whether participants formed a consecutive, random or convenience series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Test methods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"https://www.goodreports.org/reporting-checklists/stard/info/#10" \h </w:instrText>
            </w:r>
            <w:r>
              <w:fldChar w:fldCharType="separate"/>
            </w:r>
            <w:r>
              <w:rPr>
                <w:rStyle w:val="16"/>
              </w:rPr>
              <w:t>#10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Index and reference tests in sufficient detail to allow replication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Test methods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"https://www.goodreports.org/reporting-checklists/stard/info/#11" \h </w:instrText>
            </w:r>
            <w:r>
              <w:fldChar w:fldCharType="separate"/>
            </w:r>
            <w:r>
              <w:rPr>
                <w:rStyle w:val="16"/>
              </w:rPr>
              <w:t>#11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Rationale for choosing the reference standard (if alternatives exist)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Test methods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"https://www.goodreports.org/reporting-checklists/stard/info/#12" \h </w:instrText>
            </w:r>
            <w:r>
              <w:fldChar w:fldCharType="separate"/>
            </w:r>
            <w:r>
              <w:rPr>
                <w:rStyle w:val="16"/>
              </w:rPr>
              <w:t>#12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bookmarkStart w:id="1" w:name="_GoBack"/>
            <w:r>
              <w:t>Definition of and rationale for test positivity cut-offs or result categories of the index and reference tests, distinguishing pre-specified from exploratory</w:t>
            </w:r>
            <w:bookmarkEnd w:id="1"/>
          </w:p>
        </w:tc>
        <w:tc>
          <w:tcPr>
            <w:tcW w:w="1683" w:type="dxa"/>
          </w:tcPr>
          <w:p>
            <w:pPr>
              <w:jc w:val="left"/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93" w:type="dxa"/>
            <w:gridSpan w:val="2"/>
          </w:tcPr>
          <w:p>
            <w:pPr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7476" w:type="dxa"/>
        </w:trPr>
        <w:tc>
          <w:tcPr>
            <w:tcW w:w="1666" w:type="dxa"/>
          </w:tcPr>
          <w:p/>
        </w:tc>
        <w:tc>
          <w:tcPr>
            <w:tcW w:w="884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Test methods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"https://www.goodreports.org/reporting-checklists/stard/info/#13" \h </w:instrText>
            </w:r>
            <w:r>
              <w:fldChar w:fldCharType="separate"/>
            </w:r>
            <w:r>
              <w:rPr>
                <w:rStyle w:val="16"/>
              </w:rPr>
              <w:t>#13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Whether clinical information and reference standard results were available to the performers / readers of the index test; Whether clinical information and index test results were available to the assessors of the reference standard</w:t>
            </w:r>
          </w:p>
        </w:tc>
        <w:tc>
          <w:tcPr>
            <w:tcW w:w="1683" w:type="dxa"/>
          </w:tcPr>
          <w:p>
            <w:pPr>
              <w:jc w:val="left"/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93" w:type="dxa"/>
            <w:gridSpan w:val="2"/>
          </w:tcPr>
          <w:p>
            <w:pPr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7476" w:type="dxa"/>
        </w:trPr>
        <w:tc>
          <w:tcPr>
            <w:tcW w:w="1666" w:type="dxa"/>
          </w:tcPr>
          <w:p/>
        </w:tc>
        <w:tc>
          <w:tcPr>
            <w:tcW w:w="884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Analysis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"https://www.goodreports.org/reporting-checklists/stard/info/#14" \h </w:instrText>
            </w:r>
            <w:r>
              <w:fldChar w:fldCharType="separate"/>
            </w:r>
            <w:r>
              <w:rPr>
                <w:rStyle w:val="16"/>
              </w:rPr>
              <w:t>#14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Methods for estimating or comparing measures of diagnostic accuracy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4-5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Analysis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"https://www.goodreports.org/reporting-checklists/stard/info/#15" \h </w:instrText>
            </w:r>
            <w:r>
              <w:fldChar w:fldCharType="separate"/>
            </w:r>
            <w:r>
              <w:rPr>
                <w:rStyle w:val="16"/>
              </w:rPr>
              <w:t>#15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How indeterminate index test or reference standard results were handled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Analysis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"https://www.goodreports.org/reporting-checklists/stard/info/#16" \h </w:instrText>
            </w:r>
            <w:r>
              <w:fldChar w:fldCharType="separate"/>
            </w:r>
            <w:r>
              <w:rPr>
                <w:rStyle w:val="16"/>
              </w:rPr>
              <w:t>#16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How missing data on the index test and reference standard were handled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Analysis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"https://www.goodreports.org/reporting-checklists/stard/info/#17" \h </w:instrText>
            </w:r>
            <w:r>
              <w:fldChar w:fldCharType="separate"/>
            </w:r>
            <w:r>
              <w:rPr>
                <w:rStyle w:val="16"/>
              </w:rPr>
              <w:t>#17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Any analyses of variability in diagnostic accuracy, distinguishing pre-specified from exploratory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Analysis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"https://www.goodreports.org/reporting-checklists/stard/info/#18" \h </w:instrText>
            </w:r>
            <w:r>
              <w:fldChar w:fldCharType="separate"/>
            </w:r>
            <w:r>
              <w:rPr>
                <w:rStyle w:val="16"/>
              </w:rPr>
              <w:t>#18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Intended sample size and how it was determined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rPr>
                <w:b/>
              </w:rPr>
              <w:t>Results</w:t>
            </w:r>
          </w:p>
        </w:tc>
        <w:tc>
          <w:tcPr>
            <w:tcW w:w="884" w:type="dxa"/>
          </w:tcPr>
          <w:p/>
        </w:tc>
        <w:tc>
          <w:tcPr>
            <w:tcW w:w="3500" w:type="dxa"/>
          </w:tcPr>
          <w:p/>
        </w:tc>
        <w:tc>
          <w:tcPr>
            <w:tcW w:w="1683" w:type="dxa"/>
          </w:tcPr>
          <w:p/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Participants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"https://www.goodreports.org/reporting-checklists/stard/info/#19" \h </w:instrText>
            </w:r>
            <w:r>
              <w:fldChar w:fldCharType="separate"/>
            </w:r>
            <w:r>
              <w:rPr>
                <w:rStyle w:val="16"/>
              </w:rPr>
              <w:t>#19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Flow of participants, using a diagram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Participants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"https://www.goodreports.org/reporting-checklists/stard/info/#20" \h </w:instrText>
            </w:r>
            <w:r>
              <w:fldChar w:fldCharType="separate"/>
            </w:r>
            <w:r>
              <w:rPr>
                <w:rStyle w:val="16"/>
              </w:rPr>
              <w:t>#20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Baseline demographic and clinical characteristics of participants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Participants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"https://www.goodreports.org/reporting-checklists/stard/info/#21" \h </w:instrText>
            </w:r>
            <w:r>
              <w:fldChar w:fldCharType="separate"/>
            </w:r>
            <w:r>
              <w:rPr>
                <w:rStyle w:val="16"/>
              </w:rPr>
              <w:t>#21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Distribution of severity of disease in those with the target condition, and distribution of alternative diagnoses in those without the target condition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Participants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"https://www.goodreports.org/reporting-checklists/stard/info/#22" \h </w:instrText>
            </w:r>
            <w:r>
              <w:fldChar w:fldCharType="separate"/>
            </w:r>
            <w:r>
              <w:rPr>
                <w:rStyle w:val="16"/>
              </w:rPr>
              <w:t>#22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Time interval and any clinical interventions between index test and reference standard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Test results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"https://www.goodreports.org/reporting-checklists/stard/info/#23" \h </w:instrText>
            </w:r>
            <w:r>
              <w:fldChar w:fldCharType="separate"/>
            </w:r>
            <w:r>
              <w:rPr>
                <w:rStyle w:val="16"/>
              </w:rPr>
              <w:t>#23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Cross tabulation of the index test results (or their distribution) by the results of the reference standard</w:t>
            </w:r>
          </w:p>
        </w:tc>
        <w:tc>
          <w:tcPr>
            <w:tcW w:w="1683" w:type="dxa"/>
          </w:tcPr>
          <w:p>
            <w:pPr>
              <w:jc w:val="left"/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93" w:type="dxa"/>
            <w:gridSpan w:val="2"/>
          </w:tcPr>
          <w:p>
            <w:pPr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7476" w:type="dxa"/>
        </w:trPr>
        <w:tc>
          <w:tcPr>
            <w:tcW w:w="1666" w:type="dxa"/>
          </w:tcPr>
          <w:p/>
        </w:tc>
        <w:tc>
          <w:tcPr>
            <w:tcW w:w="884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Test results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"https://www.goodreports.org/reporting-checklists/stard/info/#24" \h </w:instrText>
            </w:r>
            <w:r>
              <w:fldChar w:fldCharType="separate"/>
            </w:r>
            <w:r>
              <w:rPr>
                <w:rStyle w:val="16"/>
              </w:rPr>
              <w:t>#24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Estimates of diagnostic accuracy and their precision (such as 95% confidence intervals)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Test results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"https://www.goodreports.org/reporting-checklists/stard/info/#25" \h </w:instrText>
            </w:r>
            <w:r>
              <w:fldChar w:fldCharType="separate"/>
            </w:r>
            <w:r>
              <w:rPr>
                <w:rStyle w:val="16"/>
              </w:rPr>
              <w:t>#25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Any adverse events from performing the index test or the reference standard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rPr>
                <w:b/>
              </w:rPr>
              <w:t>Discussion</w:t>
            </w:r>
          </w:p>
        </w:tc>
        <w:tc>
          <w:tcPr>
            <w:tcW w:w="884" w:type="dxa"/>
          </w:tcPr>
          <w:p/>
        </w:tc>
        <w:tc>
          <w:tcPr>
            <w:tcW w:w="3500" w:type="dxa"/>
          </w:tcPr>
          <w:p/>
        </w:tc>
        <w:tc>
          <w:tcPr>
            <w:tcW w:w="1683" w:type="dxa"/>
          </w:tcPr>
          <w:p/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"https://www.goodreports.org/reporting-checklists/stard/info/#26" \h </w:instrText>
            </w:r>
            <w:r>
              <w:fldChar w:fldCharType="separate"/>
            </w:r>
            <w:r>
              <w:rPr>
                <w:rStyle w:val="16"/>
              </w:rPr>
              <w:t>#26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Study limitations, including sources of potential bias, statistical uncertainty, and generalisability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"https://www.goodreports.org/reporting-checklists/stard/info/#27" \h </w:instrText>
            </w:r>
            <w:r>
              <w:fldChar w:fldCharType="separate"/>
            </w:r>
            <w:r>
              <w:rPr>
                <w:rStyle w:val="16"/>
              </w:rPr>
              <w:t>#27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Implications for practice, including the intended use and clinical role of the index test</w:t>
            </w:r>
          </w:p>
        </w:tc>
        <w:tc>
          <w:tcPr>
            <w:tcW w:w="1683" w:type="dxa"/>
          </w:tcPr>
          <w:p>
            <w:pPr>
              <w:rPr>
                <w:rFonts w:hint="eastAsia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rPr>
                <w:b/>
              </w:rPr>
              <w:t>Other information</w:t>
            </w:r>
          </w:p>
        </w:tc>
        <w:tc>
          <w:tcPr>
            <w:tcW w:w="884" w:type="dxa"/>
          </w:tcPr>
          <w:p/>
        </w:tc>
        <w:tc>
          <w:tcPr>
            <w:tcW w:w="3500" w:type="dxa"/>
          </w:tcPr>
          <w:p/>
        </w:tc>
        <w:tc>
          <w:tcPr>
            <w:tcW w:w="1683" w:type="dxa"/>
          </w:tcPr>
          <w:p/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"https://www.goodreports.org/reporting-checklists/stard/info/#28" \h </w:instrText>
            </w:r>
            <w:r>
              <w:fldChar w:fldCharType="separate"/>
            </w:r>
            <w:r>
              <w:rPr>
                <w:rStyle w:val="16"/>
              </w:rPr>
              <w:t>#28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Registration number and name of registry</w:t>
            </w:r>
          </w:p>
        </w:tc>
        <w:tc>
          <w:tcPr>
            <w:tcW w:w="1683" w:type="dxa"/>
          </w:tcPr>
          <w:p>
            <w:pPr>
              <w:rPr>
                <w:rFonts w:hint="default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"https://www.goodreports.org/reporting-checklists/stard/info/#29" \h </w:instrText>
            </w:r>
            <w:r>
              <w:fldChar w:fldCharType="separate"/>
            </w:r>
            <w:r>
              <w:rPr>
                <w:rStyle w:val="16"/>
              </w:rPr>
              <w:t>#29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Where the full study protocol can be accessed</w:t>
            </w:r>
          </w:p>
        </w:tc>
        <w:tc>
          <w:tcPr>
            <w:tcW w:w="1683" w:type="dxa"/>
          </w:tcPr>
          <w:p>
            <w:pPr>
              <w:rPr>
                <w:rFonts w:hint="default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jc w:val="left"/>
            </w:pPr>
            <w:r>
              <w:t>None</w:t>
            </w:r>
          </w:p>
        </w:tc>
        <w:tc>
          <w:tcPr>
            <w:tcW w:w="884" w:type="dxa"/>
          </w:tcPr>
          <w:p>
            <w:pPr>
              <w:jc w:val="left"/>
            </w:pPr>
            <w:r>
              <w:fldChar w:fldCharType="begin"/>
            </w:r>
            <w:r>
              <w:instrText xml:space="preserve"> HYPERLINK "https://www.goodreports.org/reporting-checklists/stard/info/#30" \h </w:instrText>
            </w:r>
            <w:r>
              <w:fldChar w:fldCharType="separate"/>
            </w:r>
            <w:r>
              <w:rPr>
                <w:rStyle w:val="16"/>
              </w:rPr>
              <w:t>#30</w:t>
            </w:r>
            <w:r>
              <w:rPr>
                <w:rStyle w:val="16"/>
              </w:rPr>
              <w:fldChar w:fldCharType="end"/>
            </w:r>
          </w:p>
        </w:tc>
        <w:tc>
          <w:tcPr>
            <w:tcW w:w="3500" w:type="dxa"/>
          </w:tcPr>
          <w:p>
            <w:pPr>
              <w:jc w:val="left"/>
            </w:pPr>
            <w:r>
              <w:t>Sources of funding and other support; role of funders</w:t>
            </w:r>
          </w:p>
        </w:tc>
        <w:tc>
          <w:tcPr>
            <w:tcW w:w="1683" w:type="dxa"/>
          </w:tcPr>
          <w:p>
            <w:pPr>
              <w:rPr>
                <w:rFonts w:hint="default" w:eastAsia="Proxima Nov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183" w:type="dxa"/>
          </w:tcPr>
          <w:p/>
        </w:tc>
        <w:tc>
          <w:tcPr>
            <w:tcW w:w="1110" w:type="dxa"/>
          </w:tcPr>
          <w:p/>
        </w:tc>
      </w:tr>
    </w:tbl>
    <w:p/>
    <w:sectPr>
      <w:headerReference r:id="rId5" w:type="first"/>
      <w:pgSz w:w="12240" w:h="15840"/>
      <w:pgMar w:top="720" w:right="720" w:bottom="720" w:left="720" w:header="0" w:footer="720" w:gutter="0"/>
      <w:pgNumType w:start="1"/>
      <w:cols w:space="720" w:num="1"/>
      <w:docGrid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roxima Nova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-54610</wp:posOffset>
              </wp:positionH>
              <wp:positionV relativeFrom="paragraph">
                <wp:posOffset>685165</wp:posOffset>
              </wp:positionV>
              <wp:extent cx="6172200" cy="45720"/>
              <wp:effectExtent l="0" t="0" r="0" b="571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72200" cy="45719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-4.3pt;margin-top:53.95pt;height:3.6pt;width:486pt;z-index:251659264;v-text-anchor:middle;mso-width-relative:page;mso-height-relative:page;" fillcolor="#2BB298" filled="t" stroked="f" coordsize="21600,21600" o:gfxdata="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DSGQR32AAAAAoBAAAPAAAAAAAAAAEAIAAAACIAAABkcnMvZG93bnJldi54bWxQSwECFAAUAAAA&#10;CACHTuJACP8iI2ACAADNBAAADgAAAAAAAAABACAAAAAnAQAAZHJzL2Uyb0RvYy54bWxQSwUGAAAA&#10;AAYABgBZAQAA+QUAAAAA&#10;">
              <v:fill on="t" focussize="0,0"/>
              <v:stroke on="f" weight="1pt" miterlimit="8" joinstyle="miter"/>
              <v:imagedata o:title=""/>
              <o:lock v:ext="edit" aspectratio="f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NotTrackMoves/>
  <w:documentProtection w:enforcement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0"/>
    <w:footnote w:id="1"/>
  </w:footnotePr>
  <w:endnotePr>
    <w:endnote w:id="0"/>
    <w:endnote w:id="1"/>
  </w:endnotePr>
  <w:compat>
    <w:useFELayout/>
    <w:splitPgBreakAndParaMark/>
    <w:compatSetting w:name="compatibilityMode" w:uri="http://schemas.microsoft.com/office/word" w:val="12"/>
  </w:compat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  <w:rsid w:val="3B6A2576"/>
    <w:rsid w:val="3C954F6D"/>
    <w:rsid w:val="4B1D5201"/>
    <w:rsid w:val="4D460598"/>
  </w:rsids>
  <m:mathPr>
    <m:mathFont m:val="Lucida Grande"/>
    <m:brkBin m:val="before"/>
    <m:brkBinSub m:val="--"/>
    <m:smallFrac m:val="0"/>
    <m:dispDef m:val="0"/>
    <m:lMargin m:val="0"/>
    <m:rMargin m:val="0"/>
    <m:defJc m:val="centerGroup"/>
    <m:wrapRight m:val="1"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Proxima Nova" w:hAnsi="Proxima Nova" w:eastAsia="Proxima Nova" w:cs="Proxima Nova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before="200" w:line="312" w:lineRule="auto"/>
    </w:pPr>
    <w:rPr>
      <w:rFonts w:ascii="Helvetica" w:hAnsi="Helvetica" w:eastAsia="Proxima Nova" w:cs="Proxima Nova"/>
      <w:color w:val="353744"/>
      <w:sz w:val="24"/>
      <w:szCs w:val="24"/>
      <w:lang w:val="en-US" w:eastAsia="en-US" w:bidi="ar-SA"/>
    </w:rPr>
  </w:style>
  <w:style w:type="paragraph" w:styleId="2">
    <w:name w:val="heading 1"/>
    <w:basedOn w:val="3"/>
    <w:next w:val="1"/>
    <w:qFormat/>
    <w:uiPriority w:val="0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4">
    <w:name w:val="heading 2"/>
    <w:basedOn w:val="1"/>
    <w:next w:val="1"/>
    <w:uiPriority w:val="0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5">
    <w:name w:val="heading 3"/>
    <w:basedOn w:val="1"/>
    <w:next w:val="1"/>
    <w:qFormat/>
    <w:uiPriority w:val="0"/>
    <w:pPr>
      <w:outlineLvl w:val="2"/>
    </w:pPr>
    <w:rPr>
      <w:b/>
      <w:color w:val="auto"/>
    </w:rPr>
  </w:style>
  <w:style w:type="paragraph" w:styleId="6">
    <w:name w:val="heading 4"/>
    <w:basedOn w:val="1"/>
    <w:next w:val="1"/>
    <w:uiPriority w:val="0"/>
    <w:pPr>
      <w:spacing w:before="100"/>
      <w:outlineLvl w:val="3"/>
    </w:pPr>
    <w:rPr>
      <w:sz w:val="32"/>
      <w:szCs w:val="32"/>
    </w:rPr>
  </w:style>
  <w:style w:type="paragraph" w:styleId="7">
    <w:name w:val="heading 5"/>
    <w:basedOn w:val="1"/>
    <w:next w:val="1"/>
    <w:qFormat/>
    <w:uiPriority w:val="0"/>
    <w:pPr>
      <w:keepNext/>
      <w:keepLines/>
      <w:spacing w:before="160"/>
      <w:contextualSpacing/>
      <w:outlineLvl w:val="4"/>
    </w:pPr>
    <w:rPr>
      <w:rFonts w:ascii="Trebuchet MS" w:hAnsi="Trebuchet MS" w:eastAsia="Trebuchet MS" w:cs="Trebuchet MS"/>
      <w:color w:val="666666"/>
    </w:rPr>
  </w:style>
  <w:style w:type="paragraph" w:styleId="8">
    <w:name w:val="heading 6"/>
    <w:basedOn w:val="1"/>
    <w:next w:val="1"/>
    <w:qFormat/>
    <w:uiPriority w:val="0"/>
    <w:pPr>
      <w:keepNext/>
      <w:keepLines/>
      <w:spacing w:before="160"/>
      <w:contextualSpacing/>
      <w:outlineLvl w:val="5"/>
    </w:pPr>
    <w:rPr>
      <w:rFonts w:ascii="Trebuchet MS" w:hAnsi="Trebuchet MS" w:eastAsia="Trebuchet MS" w:cs="Trebuchet MS"/>
      <w:i/>
      <w:color w:val="666666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qFormat/>
    <w:uiPriority w:val="0"/>
    <w:pPr>
      <w:spacing w:before="320" w:line="240" w:lineRule="auto"/>
      <w:contextualSpacing/>
    </w:pPr>
    <w:rPr>
      <w:sz w:val="72"/>
      <w:szCs w:val="72"/>
    </w:rPr>
  </w:style>
  <w:style w:type="paragraph" w:styleId="9">
    <w:name w:val="annotation text"/>
    <w:basedOn w:val="1"/>
    <w:link w:val="19"/>
    <w:semiHidden/>
    <w:unhideWhenUsed/>
    <w:qFormat/>
    <w:uiPriority w:val="99"/>
    <w:pPr>
      <w:spacing w:line="240" w:lineRule="auto"/>
    </w:pPr>
  </w:style>
  <w:style w:type="paragraph" w:styleId="10">
    <w:name w:val="Balloon Text"/>
    <w:basedOn w:val="1"/>
    <w:link w:val="20"/>
    <w:semiHidden/>
    <w:unhideWhenUsed/>
    <w:uiPriority w:val="99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paragraph" w:styleId="11">
    <w:name w:val="footer"/>
    <w:basedOn w:val="1"/>
    <w:link w:val="22"/>
    <w:unhideWhenUsed/>
    <w:uiPriority w:val="99"/>
    <w:pPr>
      <w:tabs>
        <w:tab w:val="center" w:pos="4513"/>
        <w:tab w:val="right" w:pos="9026"/>
      </w:tabs>
      <w:spacing w:before="0" w:line="240" w:lineRule="auto"/>
    </w:pPr>
  </w:style>
  <w:style w:type="paragraph" w:styleId="12">
    <w:name w:val="header"/>
    <w:basedOn w:val="1"/>
    <w:link w:val="21"/>
    <w:unhideWhenUsed/>
    <w:qFormat/>
    <w:uiPriority w:val="99"/>
    <w:pPr>
      <w:tabs>
        <w:tab w:val="center" w:pos="4513"/>
        <w:tab w:val="right" w:pos="9026"/>
      </w:tabs>
      <w:spacing w:before="0" w:line="240" w:lineRule="auto"/>
    </w:pPr>
  </w:style>
  <w:style w:type="paragraph" w:styleId="13">
    <w:name w:val="Subtitle"/>
    <w:basedOn w:val="1"/>
    <w:next w:val="1"/>
    <w:qFormat/>
    <w:uiPriority w:val="0"/>
    <w:pPr>
      <w:spacing w:before="0" w:line="240" w:lineRule="auto"/>
      <w:contextualSpacing/>
    </w:pPr>
    <w:rPr>
      <w:color w:val="666666"/>
      <w:sz w:val="26"/>
      <w:szCs w:val="26"/>
    </w:rPr>
  </w:style>
  <w:style w:type="character" w:styleId="16">
    <w:name w:val="Hyperlink"/>
    <w:basedOn w:val="15"/>
    <w:unhideWhenUsed/>
    <w:qFormat/>
    <w:uiPriority w:val="99"/>
    <w:rPr>
      <w:color w:val="0563C1" w:themeColor="hyperlink"/>
      <w:u w:val="single"/>
    </w:rPr>
  </w:style>
  <w:style w:type="character" w:styleId="17">
    <w:name w:val="annotation reference"/>
    <w:basedOn w:val="15"/>
    <w:semiHidden/>
    <w:unhideWhenUsed/>
    <w:qFormat/>
    <w:uiPriority w:val="99"/>
    <w:rPr>
      <w:sz w:val="18"/>
      <w:szCs w:val="18"/>
    </w:rPr>
  </w:style>
  <w:style w:type="table" w:customStyle="1" w:styleId="18">
    <w:name w:val="1"/>
    <w:basedOn w:val="14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9">
    <w:name w:val="Comment Text Char"/>
    <w:basedOn w:val="15"/>
    <w:link w:val="9"/>
    <w:semiHidden/>
    <w:uiPriority w:val="99"/>
    <w:rPr>
      <w:sz w:val="24"/>
      <w:szCs w:val="24"/>
    </w:rPr>
  </w:style>
  <w:style w:type="character" w:customStyle="1" w:styleId="20">
    <w:name w:val="Balloon Text Char"/>
    <w:basedOn w:val="15"/>
    <w:link w:val="10"/>
    <w:semiHidden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21">
    <w:name w:val="Header Char"/>
    <w:basedOn w:val="15"/>
    <w:link w:val="12"/>
    <w:qFormat/>
    <w:uiPriority w:val="99"/>
  </w:style>
  <w:style w:type="character" w:customStyle="1" w:styleId="22">
    <w:name w:val="Footer Char"/>
    <w:basedOn w:val="15"/>
    <w:link w:val="11"/>
    <w:qFormat/>
    <w:uiPriority w:val="99"/>
  </w:style>
  <w:style w:type="paragraph" w:customStyle="1" w:styleId="23">
    <w:name w:val="Source Code"/>
    <w:basedOn w:val="1"/>
    <w:qFormat/>
    <w:uiPriority w:val="0"/>
    <w:pPr>
      <w:wordWrap w:val="0"/>
    </w:pPr>
  </w:style>
  <w:style w:type="character" w:customStyle="1" w:styleId="24">
    <w:name w:val="KeywordTok"/>
    <w:qFormat/>
    <w:uiPriority w:val="0"/>
    <w:rPr>
      <w:b/>
      <w:color w:val="007020"/>
    </w:rPr>
  </w:style>
  <w:style w:type="character" w:customStyle="1" w:styleId="25">
    <w:name w:val="DataTypeTok"/>
    <w:qFormat/>
    <w:uiPriority w:val="0"/>
    <w:rPr>
      <w:color w:val="902000"/>
    </w:rPr>
  </w:style>
  <w:style w:type="character" w:customStyle="1" w:styleId="26">
    <w:name w:val="DecValTok"/>
    <w:qFormat/>
    <w:uiPriority w:val="0"/>
    <w:rPr>
      <w:color w:val="40A070"/>
    </w:rPr>
  </w:style>
  <w:style w:type="character" w:customStyle="1" w:styleId="27">
    <w:name w:val="BaseNTok"/>
    <w:qFormat/>
    <w:uiPriority w:val="0"/>
    <w:rPr>
      <w:color w:val="40A070"/>
    </w:rPr>
  </w:style>
  <w:style w:type="character" w:customStyle="1" w:styleId="28">
    <w:name w:val="FloatTok"/>
    <w:qFormat/>
    <w:uiPriority w:val="0"/>
    <w:rPr>
      <w:color w:val="40A070"/>
    </w:rPr>
  </w:style>
  <w:style w:type="character" w:customStyle="1" w:styleId="29">
    <w:name w:val="ConstantTok"/>
    <w:qFormat/>
    <w:uiPriority w:val="0"/>
    <w:rPr>
      <w:color w:val="880000"/>
    </w:rPr>
  </w:style>
  <w:style w:type="character" w:customStyle="1" w:styleId="30">
    <w:name w:val="CharTok"/>
    <w:qFormat/>
    <w:uiPriority w:val="0"/>
    <w:rPr>
      <w:color w:val="4070A0"/>
    </w:rPr>
  </w:style>
  <w:style w:type="character" w:customStyle="1" w:styleId="31">
    <w:name w:val="SpecialCharTok"/>
    <w:qFormat/>
    <w:uiPriority w:val="0"/>
    <w:rPr>
      <w:color w:val="4070A0"/>
    </w:rPr>
  </w:style>
  <w:style w:type="character" w:customStyle="1" w:styleId="32">
    <w:name w:val="StringTok"/>
    <w:qFormat/>
    <w:uiPriority w:val="0"/>
    <w:rPr>
      <w:color w:val="4070A0"/>
    </w:rPr>
  </w:style>
  <w:style w:type="character" w:customStyle="1" w:styleId="33">
    <w:name w:val="VerbatimStringTok"/>
    <w:qFormat/>
    <w:uiPriority w:val="0"/>
    <w:rPr>
      <w:color w:val="4070A0"/>
    </w:rPr>
  </w:style>
  <w:style w:type="character" w:customStyle="1" w:styleId="34">
    <w:name w:val="SpecialStringTok"/>
    <w:qFormat/>
    <w:uiPriority w:val="0"/>
    <w:rPr>
      <w:color w:val="BB6688"/>
    </w:rPr>
  </w:style>
  <w:style w:type="character" w:customStyle="1" w:styleId="35">
    <w:name w:val="ImportTok"/>
    <w:qFormat/>
    <w:uiPriority w:val="0"/>
  </w:style>
  <w:style w:type="character" w:customStyle="1" w:styleId="36">
    <w:name w:val="CommentTok"/>
    <w:qFormat/>
    <w:uiPriority w:val="0"/>
    <w:rPr>
      <w:i/>
      <w:color w:val="60A0B0"/>
    </w:rPr>
  </w:style>
  <w:style w:type="character" w:customStyle="1" w:styleId="37">
    <w:name w:val="DocumentationTok"/>
    <w:qFormat/>
    <w:uiPriority w:val="0"/>
    <w:rPr>
      <w:i/>
      <w:color w:val="BA2121"/>
    </w:rPr>
  </w:style>
  <w:style w:type="character" w:customStyle="1" w:styleId="38">
    <w:name w:val="AnnotationTok"/>
    <w:qFormat/>
    <w:uiPriority w:val="0"/>
    <w:rPr>
      <w:b/>
      <w:i/>
      <w:color w:val="60A0B0"/>
    </w:rPr>
  </w:style>
  <w:style w:type="character" w:customStyle="1" w:styleId="39">
    <w:name w:val="CommentVarTok"/>
    <w:qFormat/>
    <w:uiPriority w:val="0"/>
    <w:rPr>
      <w:b/>
      <w:i/>
      <w:color w:val="60A0B0"/>
    </w:rPr>
  </w:style>
  <w:style w:type="character" w:customStyle="1" w:styleId="40">
    <w:name w:val="OtherTok"/>
    <w:qFormat/>
    <w:uiPriority w:val="0"/>
    <w:rPr>
      <w:color w:val="007020"/>
    </w:rPr>
  </w:style>
  <w:style w:type="character" w:customStyle="1" w:styleId="41">
    <w:name w:val="FunctionTok"/>
    <w:qFormat/>
    <w:uiPriority w:val="0"/>
    <w:rPr>
      <w:color w:val="06287E"/>
    </w:rPr>
  </w:style>
  <w:style w:type="character" w:customStyle="1" w:styleId="42">
    <w:name w:val="VariableTok"/>
    <w:qFormat/>
    <w:uiPriority w:val="0"/>
    <w:rPr>
      <w:color w:val="19177C"/>
    </w:rPr>
  </w:style>
  <w:style w:type="character" w:customStyle="1" w:styleId="43">
    <w:name w:val="ControlFlowTok"/>
    <w:qFormat/>
    <w:uiPriority w:val="0"/>
    <w:rPr>
      <w:b/>
      <w:color w:val="007020"/>
    </w:rPr>
  </w:style>
  <w:style w:type="character" w:customStyle="1" w:styleId="44">
    <w:name w:val="OperatorTok"/>
    <w:qFormat/>
    <w:uiPriority w:val="0"/>
    <w:rPr>
      <w:color w:val="666666"/>
    </w:rPr>
  </w:style>
  <w:style w:type="character" w:customStyle="1" w:styleId="45">
    <w:name w:val="BuiltInTok"/>
    <w:qFormat/>
    <w:uiPriority w:val="0"/>
  </w:style>
  <w:style w:type="character" w:customStyle="1" w:styleId="46">
    <w:name w:val="ExtensionTok"/>
    <w:qFormat/>
    <w:uiPriority w:val="0"/>
  </w:style>
  <w:style w:type="character" w:customStyle="1" w:styleId="47">
    <w:name w:val="PreprocessorTok"/>
    <w:qFormat/>
    <w:uiPriority w:val="0"/>
    <w:rPr>
      <w:color w:val="BC7A00"/>
    </w:rPr>
  </w:style>
  <w:style w:type="character" w:customStyle="1" w:styleId="48">
    <w:name w:val="AttributeTok"/>
    <w:qFormat/>
    <w:uiPriority w:val="0"/>
    <w:rPr>
      <w:color w:val="7D9029"/>
    </w:rPr>
  </w:style>
  <w:style w:type="character" w:customStyle="1" w:styleId="49">
    <w:name w:val="RegionMarkerTok"/>
    <w:qFormat/>
    <w:uiPriority w:val="0"/>
  </w:style>
  <w:style w:type="character" w:customStyle="1" w:styleId="50">
    <w:name w:val="InformationTok"/>
    <w:qFormat/>
    <w:uiPriority w:val="0"/>
    <w:rPr>
      <w:b/>
      <w:i/>
      <w:color w:val="60A0B0"/>
    </w:rPr>
  </w:style>
  <w:style w:type="character" w:customStyle="1" w:styleId="51">
    <w:name w:val="WarningTok"/>
    <w:qFormat/>
    <w:uiPriority w:val="0"/>
    <w:rPr>
      <w:b/>
      <w:i/>
      <w:color w:val="60A0B0"/>
    </w:rPr>
  </w:style>
  <w:style w:type="character" w:customStyle="1" w:styleId="52">
    <w:name w:val="AlertTok"/>
    <w:qFormat/>
    <w:uiPriority w:val="0"/>
    <w:rPr>
      <w:b/>
      <w:color w:val="FF0000"/>
    </w:rPr>
  </w:style>
  <w:style w:type="character" w:customStyle="1" w:styleId="53">
    <w:name w:val="ErrorTok"/>
    <w:qFormat/>
    <w:uiPriority w:val="0"/>
    <w:rPr>
      <w:b/>
      <w:color w:val="FF0000"/>
    </w:rPr>
  </w:style>
  <w:style w:type="character" w:customStyle="1" w:styleId="54">
    <w:name w:val="NormalTok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354</Characters>
  <Lines>2</Lines>
  <Paragraphs>1</Paragraphs>
  <TotalTime>44</TotalTime>
  <ScaleCrop>false</ScaleCrop>
  <LinksUpToDate>false</LinksUpToDate>
  <CharactersWithSpaces>415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2021-03-17T11:22:00Z</dcterms:created>
  <dc:creator>user</dc:creator>
  <cp:lastModifiedBy>夏炎</cp:lastModifiedBy>
  <dcterms:modified xsi:type="dcterms:W3CDTF">2021-04-18T13:33:01Z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6F36E033C56C44A2A03537261E9DFB1B</vt:lpwstr>
  </property>
</Properties>
</file>