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3C3A" w14:textId="77777777" w:rsidR="00C45884" w:rsidRDefault="00C45884" w:rsidP="00C45884">
      <w:pPr>
        <w:pStyle w:val="Heading4"/>
        <w:keepNext w:val="0"/>
        <w:keepLines w:val="0"/>
        <w:rPr>
          <w:sz w:val="28"/>
          <w:szCs w:val="28"/>
          <w:lang w:eastAsia="zh-CN"/>
        </w:rPr>
      </w:pPr>
      <w:bookmarkStart w:id="0" w:name="_Ref30514"/>
      <w:r>
        <w:rPr>
          <w:rFonts w:ascii="Times New Roman" w:hAnsi="Times New Roman" w:hint="eastAsia"/>
          <w:sz w:val="28"/>
          <w:szCs w:val="28"/>
          <w:lang w:val="en-US" w:eastAsia="zh-CN"/>
        </w:rPr>
        <w:t>Appendix</w:t>
      </w:r>
      <w:bookmarkEnd w:id="0"/>
      <w:r>
        <w:rPr>
          <w:rFonts w:hint="eastAsia"/>
          <w:sz w:val="28"/>
          <w:szCs w:val="28"/>
          <w:vertAlign w:val="superscript"/>
          <w:lang w:val="en-US" w:eastAsia="zh-CN"/>
        </w:rPr>
        <w:t>*</w:t>
      </w:r>
    </w:p>
    <w:p w14:paraId="4C95757B" w14:textId="77777777" w:rsidR="00C45884" w:rsidRDefault="00C45884" w:rsidP="00C45884">
      <w:pPr>
        <w:rPr>
          <w:rFonts w:ascii="Times New Roman" w:eastAsiaTheme="majorEastAsia" w:hAnsi="Times New Roman" w:cstheme="majorBidi"/>
          <w:b/>
          <w:iCs/>
          <w:kern w:val="0"/>
          <w:sz w:val="24"/>
          <w:szCs w:val="24"/>
        </w:rPr>
      </w:pPr>
      <w:r>
        <w:rPr>
          <w:rFonts w:ascii="Times New Roman" w:eastAsiaTheme="majorEastAsia" w:hAnsi="Times New Roman" w:cstheme="majorBidi" w:hint="eastAsia"/>
          <w:b/>
          <w:iCs/>
          <w:kern w:val="0"/>
          <w:sz w:val="24"/>
          <w:szCs w:val="24"/>
        </w:rPr>
        <w:t>Details of data collection and the complete process</w:t>
      </w:r>
    </w:p>
    <w:p w14:paraId="1CC8C5A1" w14:textId="77777777" w:rsidR="00C45884" w:rsidRDefault="00C45884" w:rsidP="00C45884">
      <w:pPr>
        <w:spacing w:after="0" w:line="240" w:lineRule="auto"/>
        <w:ind w:firstLineChars="200" w:firstLine="480"/>
        <w:rPr>
          <w:rFonts w:ascii="Times New Roman" w:hAnsi="Times New Roman" w:cs="Times New Roman"/>
          <w:sz w:val="24"/>
          <w:szCs w:val="24"/>
          <w:lang w:eastAsia="en-US"/>
        </w:rPr>
      </w:pPr>
      <w:r>
        <w:rPr>
          <w:rFonts w:ascii="Times New Roman" w:hAnsi="Times New Roman" w:cs="Times New Roman"/>
          <w:sz w:val="24"/>
          <w:szCs w:val="24"/>
          <w:lang w:eastAsia="en-US"/>
        </w:rPr>
        <w:t>Prior to each competition, participant data were collected using the online application “Questionnaire Star.” The data collected included: age, height, weight, athletic level, years of participation in rugby, history of sports-related injuries, training load, temperature, sleep quality, and fatigue levels. All 40 participants were explained individually by the research team prior to completing the questionnaire to confirm that they appreciated the meaning of questions and mode of completion. For the junior players aged 18 - 20 (15 participants, representing 37.5% of the total), a 10 - minute, face - to - face clarification was given. The technique of providing examples (e.g., "Did you feel too tired as a result of training over the previous week? Tick 'Yes' or 'No'") was used to ease difficulty of understanding.</w:t>
      </w:r>
      <w:r>
        <w:rPr>
          <w:rFonts w:ascii="Times New Roman" w:hAnsi="Times New Roman" w:cs="Times New Roman" w:hint="eastAsia"/>
          <w:sz w:val="24"/>
          <w:szCs w:val="24"/>
        </w:rPr>
        <w:t xml:space="preserve"> </w:t>
      </w:r>
      <w:r>
        <w:rPr>
          <w:rFonts w:ascii="Times New Roman" w:hAnsi="Times New Roman" w:cs="Times New Roman"/>
          <w:sz w:val="24"/>
          <w:szCs w:val="24"/>
          <w:lang w:eastAsia="en-US"/>
        </w:rPr>
        <w:t>Self - reported duration and rating of training load: Participants completed a training record every week, including: Duration: precise to the hour (e.g., "Trained 12 hours over the week"). Intensity rating: subjective 1 - 10 rating (1 point = easy, 10 points = extreme). The research team verified the training schedules with the coaches every month to ensure that self - reported duration aligned with actual schedule.</w:t>
      </w:r>
    </w:p>
    <w:p w14:paraId="5D527213" w14:textId="77777777" w:rsidR="00C45884" w:rsidRDefault="00C45884" w:rsidP="00C45884">
      <w:pPr>
        <w:spacing w:after="0" w:line="240" w:lineRule="auto"/>
        <w:ind w:firstLineChars="200" w:firstLine="480"/>
        <w:rPr>
          <w:rFonts w:ascii="Times New Roman" w:hAnsi="Times New Roman" w:cs="Times New Roman"/>
          <w:sz w:val="24"/>
          <w:szCs w:val="24"/>
        </w:rPr>
      </w:pPr>
      <w:r>
        <w:rPr>
          <w:rFonts w:ascii="Times New Roman" w:hAnsi="Times New Roman" w:cs="Times New Roman"/>
          <w:sz w:val="24"/>
          <w:szCs w:val="24"/>
          <w:lang w:eastAsia="en-US"/>
        </w:rPr>
        <w:t>Injury data were recorded by the medical staff responsible for diagnosing and treating injuries within each team. For Return-to-Play (RTS) data, the decision regarding when athletes could return to competition was made by the medical staff, including the treating physicians and physiotherapists, who evaluated the athlete’s recovery. These RTS data were confirmed based on the approval of the medical staff and the athlete's inclusion in the official match roster. Notably, these data were not self-reported by athletes but were obtained directly from the medical professionals involved in the rehabilitation process and were verified by the research team.</w:t>
      </w:r>
    </w:p>
    <w:p w14:paraId="3EEF32C5" w14:textId="77777777" w:rsidR="00C45884" w:rsidRDefault="00C45884" w:rsidP="00C45884">
      <w:pPr>
        <w:spacing w:after="0" w:line="240" w:lineRule="auto"/>
        <w:ind w:firstLineChars="200" w:firstLine="480"/>
        <w:rPr>
          <w:rFonts w:ascii="Times New Roman" w:hAnsi="Times New Roman" w:cs="Times New Roman"/>
          <w:sz w:val="24"/>
          <w:szCs w:val="24"/>
          <w:lang w:eastAsia="en-US"/>
        </w:rPr>
      </w:pPr>
      <w:r>
        <w:rPr>
          <w:rFonts w:ascii="Times New Roman" w:hAnsi="Times New Roman" w:cs="Times New Roman"/>
          <w:sz w:val="24"/>
          <w:szCs w:val="24"/>
          <w:lang w:eastAsia="en-US"/>
        </w:rPr>
        <w:t>Injury data were recorded by medical staff responsible for diagnosing and treating injuries within each team. These data encompassed injury characteristics (type, location, site of occurrence, and severity) and the phase of the game during which the injury occurred. All injuries were classified according to the definitions established by the Rugby Injury Consensus Group (RICG)</w:t>
      </w:r>
      <w:r>
        <w:rPr>
          <w:rFonts w:ascii="Times New Roman" w:hAnsi="Times New Roman" w:cs="Times New Roman" w:hint="eastAsia"/>
          <w:sz w:val="24"/>
          <w:szCs w:val="24"/>
          <w:vertAlign w:val="superscript"/>
        </w:rPr>
        <w:fldChar w:fldCharType="begin"/>
      </w:r>
      <w:r>
        <w:rPr>
          <w:rFonts w:ascii="Times New Roman" w:hAnsi="Times New Roman" w:cs="Times New Roman" w:hint="eastAsia"/>
          <w:sz w:val="24"/>
          <w:szCs w:val="24"/>
          <w:vertAlign w:val="superscript"/>
        </w:rPr>
        <w:instrText xml:space="preserve"> REF _Ref25458 \w \h </w:instrText>
      </w:r>
      <w:r>
        <w:rPr>
          <w:rFonts w:ascii="Times New Roman" w:hAnsi="Times New Roman" w:cs="Times New Roman" w:hint="eastAsia"/>
          <w:sz w:val="24"/>
          <w:szCs w:val="24"/>
          <w:vertAlign w:val="superscript"/>
        </w:rPr>
      </w:r>
      <w:r>
        <w:rPr>
          <w:rFonts w:ascii="Times New Roman" w:hAnsi="Times New Roman" w:cs="Times New Roman" w:hint="eastAsia"/>
          <w:sz w:val="24"/>
          <w:szCs w:val="24"/>
          <w:vertAlign w:val="superscript"/>
        </w:rPr>
        <w:fldChar w:fldCharType="separate"/>
      </w:r>
      <w:r>
        <w:rPr>
          <w:rFonts w:ascii="Times New Roman" w:hAnsi="Times New Roman" w:cs="Times New Roman" w:hint="eastAsia"/>
          <w:sz w:val="24"/>
          <w:szCs w:val="24"/>
          <w:vertAlign w:val="superscript"/>
        </w:rPr>
        <w:t>[9]</w:t>
      </w:r>
      <w:r>
        <w:rPr>
          <w:rFonts w:ascii="Times New Roman" w:hAnsi="Times New Roman" w:cs="Times New Roman" w:hint="eastAsia"/>
          <w:sz w:val="24"/>
          <w:szCs w:val="24"/>
          <w:vertAlign w:val="superscript"/>
        </w:rPr>
        <w:fldChar w:fldCharType="end"/>
      </w:r>
      <w:r>
        <w:rPr>
          <w:rFonts w:ascii="Times New Roman" w:hAnsi="Times New Roman" w:cs="Times New Roman"/>
          <w:sz w:val="24"/>
          <w:szCs w:val="24"/>
          <w:lang w:eastAsia="en-US"/>
        </w:rPr>
        <w:t>and the 2020 statement of the International Olympic Committee</w:t>
      </w:r>
      <w:r>
        <w:rPr>
          <w:rFonts w:ascii="Times New Roman" w:hAnsi="Times New Roman" w:cs="Times New Roman" w:hint="eastAsia"/>
          <w:sz w:val="24"/>
          <w:szCs w:val="24"/>
          <w:vertAlign w:val="superscript"/>
        </w:rPr>
        <w:fldChar w:fldCharType="begin"/>
      </w:r>
      <w:r>
        <w:rPr>
          <w:rFonts w:ascii="Times New Roman" w:hAnsi="Times New Roman" w:cs="Times New Roman" w:hint="eastAsia"/>
          <w:sz w:val="24"/>
          <w:szCs w:val="24"/>
          <w:vertAlign w:val="superscript"/>
        </w:rPr>
        <w:instrText xml:space="preserve"> REF _Ref25478 \w \h </w:instrText>
      </w:r>
      <w:r>
        <w:rPr>
          <w:rFonts w:ascii="Times New Roman" w:hAnsi="Times New Roman" w:cs="Times New Roman" w:hint="eastAsia"/>
          <w:sz w:val="24"/>
          <w:szCs w:val="24"/>
          <w:vertAlign w:val="superscript"/>
        </w:rPr>
      </w:r>
      <w:r>
        <w:rPr>
          <w:rFonts w:ascii="Times New Roman" w:hAnsi="Times New Roman" w:cs="Times New Roman" w:hint="eastAsia"/>
          <w:sz w:val="24"/>
          <w:szCs w:val="24"/>
          <w:vertAlign w:val="superscript"/>
        </w:rPr>
        <w:fldChar w:fldCharType="separate"/>
      </w:r>
      <w:r>
        <w:rPr>
          <w:rFonts w:ascii="Times New Roman" w:hAnsi="Times New Roman" w:cs="Times New Roman" w:hint="eastAsia"/>
          <w:sz w:val="24"/>
          <w:szCs w:val="24"/>
          <w:vertAlign w:val="superscript"/>
        </w:rPr>
        <w:t>[10]</w:t>
      </w:r>
      <w:r>
        <w:rPr>
          <w:rFonts w:ascii="Times New Roman" w:hAnsi="Times New Roman" w:cs="Times New Roman" w:hint="eastAsia"/>
          <w:sz w:val="24"/>
          <w:szCs w:val="24"/>
          <w:vertAlign w:val="superscript"/>
        </w:rPr>
        <w:fldChar w:fldCharType="end"/>
      </w:r>
      <w:r>
        <w:rPr>
          <w:rFonts w:ascii="Times New Roman" w:hAnsi="Times New Roman" w:cs="Times New Roman" w:hint="eastAsia"/>
          <w:sz w:val="24"/>
          <w:szCs w:val="24"/>
        </w:rPr>
        <w:t xml:space="preserve">. </w:t>
      </w:r>
      <w:r>
        <w:rPr>
          <w:rFonts w:ascii="Times New Roman" w:hAnsi="Times New Roman" w:cs="Times New Roman"/>
          <w:sz w:val="24"/>
          <w:szCs w:val="24"/>
          <w:lang w:eastAsia="en-US"/>
        </w:rPr>
        <w:t>The severity of each injury was categorized based on the number of days required for recovery: trivial injuries (0–1 day), minor injuries (2–3 days), mild injuries (4–7 days), moderate injuries (8–28 days), severe injuries (exceeding 28 days), and career-ending/non-fatal catastrophic injuries</w:t>
      </w:r>
      <w:r>
        <w:rPr>
          <w:rFonts w:ascii="Times New Roman" w:hAnsi="Times New Roman" w:cs="Times New Roman" w:hint="eastAsia"/>
          <w:sz w:val="24"/>
          <w:szCs w:val="24"/>
          <w:vertAlign w:val="superscript"/>
        </w:rPr>
        <w:fldChar w:fldCharType="begin"/>
      </w:r>
      <w:r>
        <w:rPr>
          <w:rFonts w:ascii="Times New Roman" w:hAnsi="Times New Roman" w:cs="Times New Roman" w:hint="eastAsia"/>
          <w:sz w:val="24"/>
          <w:szCs w:val="24"/>
          <w:vertAlign w:val="superscript"/>
        </w:rPr>
        <w:instrText xml:space="preserve"> REF _Ref25458 \w \h </w:instrText>
      </w:r>
      <w:r>
        <w:rPr>
          <w:rFonts w:ascii="Times New Roman" w:hAnsi="Times New Roman" w:cs="Times New Roman" w:hint="eastAsia"/>
          <w:sz w:val="24"/>
          <w:szCs w:val="24"/>
          <w:vertAlign w:val="superscript"/>
        </w:rPr>
      </w:r>
      <w:r>
        <w:rPr>
          <w:rFonts w:ascii="Times New Roman" w:hAnsi="Times New Roman" w:cs="Times New Roman" w:hint="eastAsia"/>
          <w:sz w:val="24"/>
          <w:szCs w:val="24"/>
          <w:vertAlign w:val="superscript"/>
        </w:rPr>
        <w:fldChar w:fldCharType="separate"/>
      </w:r>
      <w:r>
        <w:rPr>
          <w:rFonts w:ascii="Times New Roman" w:hAnsi="Times New Roman" w:cs="Times New Roman" w:hint="eastAsia"/>
          <w:sz w:val="24"/>
          <w:szCs w:val="24"/>
          <w:vertAlign w:val="superscript"/>
        </w:rPr>
        <w:t>[9]</w:t>
      </w:r>
      <w:r>
        <w:rPr>
          <w:rFonts w:ascii="Times New Roman" w:hAnsi="Times New Roman" w:cs="Times New Roman" w:hint="eastAsia"/>
          <w:sz w:val="24"/>
          <w:szCs w:val="24"/>
          <w:vertAlign w:val="superscript"/>
        </w:rPr>
        <w:fldChar w:fldCharType="end"/>
      </w:r>
      <w:r>
        <w:rPr>
          <w:rFonts w:ascii="Times New Roman" w:hAnsi="Times New Roman" w:cs="Times New Roman"/>
          <w:sz w:val="24"/>
          <w:szCs w:val="24"/>
          <w:lang w:eastAsia="en-US"/>
        </w:rPr>
        <w:t>.</w:t>
      </w:r>
    </w:p>
    <w:p w14:paraId="797B90AC" w14:textId="77777777" w:rsidR="00C45884" w:rsidRDefault="00C45884" w:rsidP="00C45884">
      <w:pPr>
        <w:spacing w:after="0" w:line="240" w:lineRule="auto"/>
        <w:ind w:firstLineChars="200" w:firstLine="480"/>
        <w:rPr>
          <w:rFonts w:ascii="Times New Roman" w:hAnsi="Times New Roman" w:cs="Times New Roman"/>
          <w:sz w:val="24"/>
          <w:szCs w:val="24"/>
          <w:lang w:eastAsia="en-US"/>
        </w:rPr>
      </w:pPr>
      <w:r>
        <w:rPr>
          <w:rFonts w:ascii="Times New Roman" w:hAnsi="Times New Roman" w:cs="Times New Roman"/>
          <w:sz w:val="24"/>
          <w:szCs w:val="24"/>
          <w:lang w:eastAsia="en-US"/>
        </w:rPr>
        <w:t>To ensure the accuracy of the injury data, the diagnosis and classification were double-checked by at least two medical staff members, and the recorded data were cross-verified by the research team. Additionally, researchers consistently tracked athletes who sustained acute injuries to determine the date of their return to competition and to confirm the accuracy of recovery assessments.</w:t>
      </w:r>
    </w:p>
    <w:p w14:paraId="1469FFE9" w14:textId="77777777" w:rsidR="00C45884" w:rsidRDefault="00C45884" w:rsidP="00C45884">
      <w:pPr>
        <w:spacing w:after="0" w:line="240" w:lineRule="auto"/>
        <w:ind w:firstLineChars="200" w:firstLine="480"/>
        <w:rPr>
          <w:rFonts w:ascii="Times New Roman" w:hAnsi="Times New Roman" w:cs="Times New Roman"/>
          <w:sz w:val="24"/>
          <w:szCs w:val="24"/>
        </w:rPr>
      </w:pPr>
      <w:r>
        <w:rPr>
          <w:rFonts w:ascii="Times New Roman" w:hAnsi="Times New Roman" w:cs="Times New Roman"/>
          <w:sz w:val="24"/>
          <w:szCs w:val="24"/>
          <w:lang w:eastAsia="en-US"/>
        </w:rPr>
        <w:t>Furthermore, all injury data were assessed for consistency with the athletes’ prior injury history, training loads, and physical condition at the time of injury. This validation process was crucial for maintaining the integrity and accuracy of the data throughout the study.</w:t>
      </w:r>
    </w:p>
    <w:p w14:paraId="418B5700" w14:textId="77777777" w:rsidR="00C45884" w:rsidRDefault="00C45884" w:rsidP="00C45884">
      <w:pPr>
        <w:spacing w:after="0" w:line="240" w:lineRule="auto"/>
        <w:ind w:firstLineChars="200" w:firstLine="480"/>
        <w:rPr>
          <w:rFonts w:ascii="Times New Roman" w:hAnsi="Times New Roman" w:cs="Times New Roman"/>
          <w:sz w:val="24"/>
          <w:szCs w:val="24"/>
          <w:vertAlign w:val="superscript"/>
        </w:rPr>
      </w:pPr>
      <w:r>
        <w:rPr>
          <w:rFonts w:ascii="Times New Roman" w:hAnsi="Times New Roman" w:cs="Times New Roman"/>
          <w:sz w:val="24"/>
          <w:szCs w:val="24"/>
          <w:lang w:eastAsia="en-US"/>
        </w:rPr>
        <w:t>Currently, the incidence rate of injuries across all sports is commonly expressed per 1,000 hours of exposure. Exposure time was calculated by coaching and technical staff based on match records and was subsequently verified by the research team. The exposure hours of each game correspond one-to-one with the injury events that occur in that game to ensure the accuracy of the incidence rate calculation.</w:t>
      </w:r>
      <w:r>
        <w:rPr>
          <w:rFonts w:ascii="Times New Roman" w:hAnsi="Times New Roman" w:cs="Times New Roman" w:hint="eastAsia"/>
          <w:sz w:val="24"/>
          <w:szCs w:val="24"/>
        </w:rPr>
        <w:t xml:space="preserve"> </w:t>
      </w:r>
      <w:r>
        <w:rPr>
          <w:rFonts w:ascii="Times New Roman" w:hAnsi="Times New Roman" w:cs="Times New Roman"/>
          <w:sz w:val="24"/>
          <w:szCs w:val="24"/>
          <w:lang w:eastAsia="en-US"/>
        </w:rPr>
        <w:t xml:space="preserve">To more accurately measure the actual time exposed to risk, the formula for calculating the incidence rate of acute injuries during exposure time is as </w:t>
      </w:r>
      <w:r>
        <w:rPr>
          <w:rFonts w:ascii="Times New Roman" w:hAnsi="Times New Roman" w:cs="Times New Roman" w:hint="eastAsia"/>
          <w:sz w:val="24"/>
          <w:szCs w:val="24"/>
        </w:rPr>
        <w:t>shown in context formula.</w:t>
      </w:r>
      <w:r>
        <w:rPr>
          <w:rFonts w:ascii="Times New Roman" w:hAnsi="Times New Roman" w:cs="Times New Roman" w:hint="eastAsia"/>
          <w:sz w:val="24"/>
          <w:szCs w:val="24"/>
          <w:vertAlign w:val="superscript"/>
        </w:rPr>
        <w:fldChar w:fldCharType="begin"/>
      </w:r>
      <w:r>
        <w:rPr>
          <w:rFonts w:ascii="Times New Roman" w:hAnsi="Times New Roman" w:cs="Times New Roman" w:hint="eastAsia"/>
          <w:sz w:val="24"/>
          <w:szCs w:val="24"/>
          <w:vertAlign w:val="superscript"/>
        </w:rPr>
        <w:instrText xml:space="preserve"> REF _Ref25596 \w \h </w:instrText>
      </w:r>
      <w:r>
        <w:rPr>
          <w:rFonts w:ascii="Times New Roman" w:hAnsi="Times New Roman" w:cs="Times New Roman" w:hint="eastAsia"/>
          <w:sz w:val="24"/>
          <w:szCs w:val="24"/>
          <w:vertAlign w:val="superscript"/>
        </w:rPr>
      </w:r>
      <w:r>
        <w:rPr>
          <w:rFonts w:ascii="Times New Roman" w:hAnsi="Times New Roman" w:cs="Times New Roman" w:hint="eastAsia"/>
          <w:sz w:val="24"/>
          <w:szCs w:val="24"/>
          <w:vertAlign w:val="superscript"/>
        </w:rPr>
        <w:fldChar w:fldCharType="separate"/>
      </w:r>
      <w:r>
        <w:rPr>
          <w:rFonts w:ascii="Times New Roman" w:hAnsi="Times New Roman" w:cs="Times New Roman" w:hint="eastAsia"/>
          <w:sz w:val="24"/>
          <w:szCs w:val="24"/>
          <w:vertAlign w:val="superscript"/>
        </w:rPr>
        <w:t>[11]</w:t>
      </w:r>
      <w:r>
        <w:rPr>
          <w:rFonts w:ascii="Times New Roman" w:hAnsi="Times New Roman" w:cs="Times New Roman" w:hint="eastAsia"/>
          <w:sz w:val="24"/>
          <w:szCs w:val="24"/>
          <w:vertAlign w:val="superscript"/>
        </w:rPr>
        <w:fldChar w:fldCharType="end"/>
      </w:r>
      <w:r>
        <w:rPr>
          <w:rFonts w:ascii="Times New Roman" w:hAnsi="Times New Roman" w:cs="Times New Roman" w:hint="eastAsia"/>
          <w:sz w:val="24"/>
          <w:szCs w:val="24"/>
          <w:vertAlign w:val="superscript"/>
        </w:rPr>
        <w:t xml:space="preserve"> </w:t>
      </w:r>
    </w:p>
    <w:p w14:paraId="19956E2C" w14:textId="77777777" w:rsidR="00C45884" w:rsidRDefault="00C45884" w:rsidP="00C45884">
      <w:pPr>
        <w:spacing w:after="0" w:line="240" w:lineRule="auto"/>
        <w:ind w:firstLineChars="200" w:firstLine="480"/>
        <w:rPr>
          <w:rFonts w:ascii="Times New Roman" w:hAnsi="Times New Roman" w:cs="Times New Roman"/>
          <w:sz w:val="24"/>
          <w:szCs w:val="24"/>
          <w:vertAlign w:val="superscript"/>
        </w:rPr>
      </w:pPr>
    </w:p>
    <w:p w14:paraId="0103E755"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884"/>
    <w:rsid w:val="00563DB2"/>
    <w:rsid w:val="005C0D39"/>
    <w:rsid w:val="0070406C"/>
    <w:rsid w:val="00724754"/>
    <w:rsid w:val="00C321FA"/>
    <w:rsid w:val="00C45884"/>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730CD"/>
  <w15:chartTrackingRefBased/>
  <w15:docId w15:val="{AD382D8F-BDF7-40CF-8654-697A1BFF3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2"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884"/>
    <w:pPr>
      <w:widowControl w:val="0"/>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C45884"/>
    <w:pPr>
      <w:keepNext/>
      <w:keepLines/>
      <w:widowControl/>
      <w:spacing w:before="360" w:after="80"/>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45884"/>
    <w:pPr>
      <w:keepNext/>
      <w:keepLines/>
      <w:widowControl/>
      <w:spacing w:before="160" w:after="80"/>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45884"/>
    <w:pPr>
      <w:keepNext/>
      <w:keepLines/>
      <w:widowControl/>
      <w:spacing w:before="160" w:after="80"/>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2"/>
    <w:unhideWhenUsed/>
    <w:qFormat/>
    <w:rsid w:val="00C45884"/>
    <w:pPr>
      <w:keepNext/>
      <w:keepLines/>
      <w:widowControl/>
      <w:spacing w:before="80" w:after="40"/>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C45884"/>
    <w:pPr>
      <w:keepNext/>
      <w:keepLines/>
      <w:widowControl/>
      <w:spacing w:before="80" w:after="40"/>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C45884"/>
    <w:pPr>
      <w:keepNext/>
      <w:keepLines/>
      <w:widowControl/>
      <w:spacing w:before="40" w:after="0"/>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C45884"/>
    <w:pPr>
      <w:keepNext/>
      <w:keepLines/>
      <w:widowControl/>
      <w:spacing w:before="40" w:after="0"/>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C45884"/>
    <w:pPr>
      <w:keepNext/>
      <w:keepLines/>
      <w:widowControl/>
      <w:spacing w:after="0"/>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C45884"/>
    <w:pPr>
      <w:keepNext/>
      <w:keepLines/>
      <w:widowControl/>
      <w:spacing w:after="0"/>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8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8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8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2"/>
    <w:qFormat/>
    <w:rsid w:val="00C458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8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8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8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8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884"/>
    <w:rPr>
      <w:rFonts w:eastAsiaTheme="majorEastAsia" w:cstheme="majorBidi"/>
      <w:color w:val="272727" w:themeColor="text1" w:themeTint="D8"/>
    </w:rPr>
  </w:style>
  <w:style w:type="paragraph" w:styleId="Title">
    <w:name w:val="Title"/>
    <w:basedOn w:val="Normal"/>
    <w:next w:val="Normal"/>
    <w:link w:val="TitleChar"/>
    <w:uiPriority w:val="10"/>
    <w:qFormat/>
    <w:rsid w:val="00C45884"/>
    <w:pPr>
      <w:widowControl/>
      <w:spacing w:after="80" w:line="240" w:lineRule="auto"/>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458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884"/>
    <w:pPr>
      <w:widowControl/>
      <w:numPr>
        <w:ilvl w:val="1"/>
      </w:numPr>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458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884"/>
    <w:pPr>
      <w:widowControl/>
      <w:spacing w:before="160"/>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C45884"/>
    <w:rPr>
      <w:i/>
      <w:iCs/>
      <w:color w:val="404040" w:themeColor="text1" w:themeTint="BF"/>
    </w:rPr>
  </w:style>
  <w:style w:type="paragraph" w:styleId="ListParagraph">
    <w:name w:val="List Paragraph"/>
    <w:basedOn w:val="Normal"/>
    <w:uiPriority w:val="34"/>
    <w:qFormat/>
    <w:rsid w:val="00C45884"/>
    <w:pPr>
      <w:widowControl/>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C45884"/>
    <w:rPr>
      <w:i/>
      <w:iCs/>
      <w:color w:val="0F4761" w:themeColor="accent1" w:themeShade="BF"/>
    </w:rPr>
  </w:style>
  <w:style w:type="paragraph" w:styleId="IntenseQuote">
    <w:name w:val="Intense Quote"/>
    <w:basedOn w:val="Normal"/>
    <w:next w:val="Normal"/>
    <w:link w:val="IntenseQuoteChar"/>
    <w:uiPriority w:val="30"/>
    <w:qFormat/>
    <w:rsid w:val="00C45884"/>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C45884"/>
    <w:rPr>
      <w:i/>
      <w:iCs/>
      <w:color w:val="0F4761" w:themeColor="accent1" w:themeShade="BF"/>
    </w:rPr>
  </w:style>
  <w:style w:type="character" w:styleId="IntenseReference">
    <w:name w:val="Intense Reference"/>
    <w:basedOn w:val="DefaultParagraphFont"/>
    <w:uiPriority w:val="32"/>
    <w:qFormat/>
    <w:rsid w:val="00C458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607</Words>
  <Characters>3461</Characters>
  <Application>Microsoft Office Word</Application>
  <DocSecurity>0</DocSecurity>
  <Lines>28</Lines>
  <Paragraphs>8</Paragraphs>
  <ScaleCrop>false</ScaleCrop>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2025-09-16T10:01:00Z</dcterms:created>
  <dcterms:modified xsi:type="dcterms:W3CDTF">2025-09-16T10:01:00Z</dcterms:modified>
</cp:coreProperties>
</file>