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5"/>
        <w:tblW w:w="9270" w:type="dxa"/>
        <w:tblInd w:w="-702" w:type="dxa"/>
        <w:tblBorders>
          <w:top w:val="none" w:color="auto" w:sz="0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3"/>
        <w:gridCol w:w="3437"/>
        <w:gridCol w:w="2390"/>
      </w:tblGrid>
      <w:tr w14:paraId="5B7CE8B4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270" w:type="dxa"/>
            <w:gridSpan w:val="3"/>
            <w:tcBorders>
              <w:bottom w:val="nil"/>
            </w:tcBorders>
          </w:tcPr>
          <w:p w14:paraId="6AC9D1A7">
            <w:pPr>
              <w:widowControl/>
              <w:autoSpaceDE w:val="0"/>
              <w:autoSpaceDN w:val="0"/>
              <w:jc w:val="center"/>
              <w:rPr>
                <w:rFonts w:eastAsia="楷体"/>
                <w:szCs w:val="21"/>
              </w:rPr>
            </w:pPr>
          </w:p>
        </w:tc>
      </w:tr>
      <w:tr w14:paraId="24135C87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270" w:type="dxa"/>
            <w:gridSpan w:val="3"/>
            <w:tcBorders>
              <w:bottom w:val="single" w:color="000000" w:sz="12" w:space="0"/>
            </w:tcBorders>
          </w:tcPr>
          <w:p w14:paraId="61F8371A">
            <w:pPr>
              <w:jc w:val="center"/>
              <w:rPr>
                <w:rFonts w:eastAsia="楷体"/>
                <w:szCs w:val="21"/>
              </w:rPr>
            </w:pPr>
            <w:r>
              <w:rPr>
                <w:rFonts w:eastAsia="楷体"/>
                <w:szCs w:val="21"/>
              </w:rPr>
              <w:t>Table 2. Univariable Analyses for Oncologic Outcomes in the Propensity Score-matched Cohort</w:t>
            </w:r>
          </w:p>
          <w:p w14:paraId="0A66C800">
            <w:pPr>
              <w:widowControl/>
              <w:autoSpaceDE w:val="0"/>
              <w:autoSpaceDN w:val="0"/>
              <w:jc w:val="center"/>
              <w:rPr>
                <w:rFonts w:eastAsia="楷体"/>
                <w:szCs w:val="21"/>
              </w:rPr>
            </w:pPr>
          </w:p>
        </w:tc>
      </w:tr>
      <w:tr w14:paraId="56FBDA77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443" w:type="dxa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 w14:paraId="15D1672F">
            <w:pPr>
              <w:widowControl/>
              <w:jc w:val="center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Variable</w:t>
            </w:r>
          </w:p>
        </w:tc>
        <w:tc>
          <w:tcPr>
            <w:tcW w:w="3437" w:type="dxa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 w14:paraId="1D703C22">
            <w:pPr>
              <w:widowControl/>
              <w:jc w:val="center"/>
              <w:rPr>
                <w:szCs w:val="21"/>
              </w:rPr>
            </w:pPr>
            <w:r>
              <w:rPr>
                <w:b/>
                <w:bCs/>
                <w:szCs w:val="21"/>
              </w:rPr>
              <w:t>HR (95% CI）</w:t>
            </w:r>
          </w:p>
        </w:tc>
        <w:tc>
          <w:tcPr>
            <w:tcW w:w="2390" w:type="dxa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 w14:paraId="75BFB7D2"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P</w:t>
            </w:r>
            <w:r>
              <w:rPr>
                <w:b/>
                <w:bCs/>
                <w:szCs w:val="21"/>
              </w:rPr>
              <w:t xml:space="preserve"> value</w:t>
            </w:r>
          </w:p>
        </w:tc>
      </w:tr>
      <w:tr w14:paraId="5F311D86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tcBorders>
              <w:top w:val="single" w:color="000000" w:sz="6" w:space="0"/>
            </w:tcBorders>
            <w:vAlign w:val="center"/>
          </w:tcPr>
          <w:p w14:paraId="16F8E5B8">
            <w:pPr>
              <w:widowControl/>
              <w:jc w:val="left"/>
              <w:rPr>
                <w:szCs w:val="21"/>
              </w:rPr>
            </w:pPr>
            <w:r>
              <w:rPr>
                <w:b/>
                <w:bCs/>
                <w:szCs w:val="21"/>
              </w:rPr>
              <w:t>Overall survival</w:t>
            </w:r>
          </w:p>
        </w:tc>
        <w:tc>
          <w:tcPr>
            <w:tcW w:w="3437" w:type="dxa"/>
            <w:tcBorders>
              <w:top w:val="single" w:color="000000" w:sz="6" w:space="0"/>
            </w:tcBorders>
            <w:vAlign w:val="center"/>
          </w:tcPr>
          <w:p w14:paraId="65917931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2390" w:type="dxa"/>
            <w:tcBorders>
              <w:top w:val="single" w:color="000000" w:sz="6" w:space="0"/>
            </w:tcBorders>
            <w:vAlign w:val="center"/>
          </w:tcPr>
          <w:p w14:paraId="18E3333B">
            <w:pPr>
              <w:widowControl/>
              <w:jc w:val="left"/>
              <w:rPr>
                <w:szCs w:val="21"/>
              </w:rPr>
            </w:pPr>
          </w:p>
        </w:tc>
      </w:tr>
      <w:tr w14:paraId="229B1331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7A467545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Sex (male vs. female)</w:t>
            </w:r>
          </w:p>
        </w:tc>
        <w:tc>
          <w:tcPr>
            <w:tcW w:w="3437" w:type="dxa"/>
            <w:vAlign w:val="center"/>
          </w:tcPr>
          <w:p w14:paraId="7C0DBEDD">
            <w:pPr>
              <w:widowControl/>
              <w:ind w:firstLine="420"/>
              <w:jc w:val="center"/>
              <w:rPr>
                <w:szCs w:val="21"/>
              </w:rPr>
            </w:pPr>
            <w:r>
              <w:t>1.53 (0.499-4.66)</w:t>
            </w:r>
          </w:p>
        </w:tc>
        <w:tc>
          <w:tcPr>
            <w:tcW w:w="2390" w:type="dxa"/>
            <w:vAlign w:val="center"/>
          </w:tcPr>
          <w:p w14:paraId="36602C95">
            <w:pPr>
              <w:widowControl/>
              <w:ind w:firstLine="420"/>
              <w:jc w:val="center"/>
              <w:rPr>
                <w:szCs w:val="21"/>
              </w:rPr>
            </w:pPr>
            <w:r>
              <w:t>0.459</w:t>
            </w:r>
          </w:p>
        </w:tc>
      </w:tr>
      <w:tr w14:paraId="6AE499FD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323C0815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Age at diagnosis (&lt;50 vs. ≥50)</w:t>
            </w:r>
          </w:p>
        </w:tc>
        <w:tc>
          <w:tcPr>
            <w:tcW w:w="3437" w:type="dxa"/>
            <w:vAlign w:val="center"/>
          </w:tcPr>
          <w:p w14:paraId="440ED9D5">
            <w:pPr>
              <w:widowControl/>
              <w:ind w:firstLine="422"/>
              <w:jc w:val="center"/>
              <w:rPr>
                <w:szCs w:val="21"/>
              </w:rPr>
            </w:pPr>
            <w:r>
              <w:t>0.708 (0.195-2.57)</w:t>
            </w:r>
          </w:p>
        </w:tc>
        <w:tc>
          <w:tcPr>
            <w:tcW w:w="2390" w:type="dxa"/>
            <w:vAlign w:val="center"/>
          </w:tcPr>
          <w:p w14:paraId="08C78FCE">
            <w:pPr>
              <w:widowControl/>
              <w:ind w:firstLine="422"/>
              <w:jc w:val="center"/>
              <w:rPr>
                <w:b/>
                <w:bCs/>
                <w:szCs w:val="21"/>
              </w:rPr>
            </w:pPr>
            <w:r>
              <w:t>0.6</w:t>
            </w:r>
          </w:p>
        </w:tc>
      </w:tr>
      <w:tr w14:paraId="2A7D5AA3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5EF47C0A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Comorbidities (yes vs. no)</w:t>
            </w:r>
          </w:p>
        </w:tc>
        <w:tc>
          <w:tcPr>
            <w:tcW w:w="3437" w:type="dxa"/>
            <w:vAlign w:val="center"/>
          </w:tcPr>
          <w:p w14:paraId="644772A8">
            <w:pPr>
              <w:widowControl/>
              <w:ind w:firstLine="422"/>
              <w:jc w:val="center"/>
              <w:rPr>
                <w:b/>
                <w:bCs/>
                <w:szCs w:val="21"/>
              </w:rPr>
            </w:pPr>
            <w:r>
              <w:t>1.69 (0.519-5.48)</w:t>
            </w:r>
          </w:p>
        </w:tc>
        <w:tc>
          <w:tcPr>
            <w:tcW w:w="2390" w:type="dxa"/>
            <w:vAlign w:val="center"/>
          </w:tcPr>
          <w:p w14:paraId="24068DDF">
            <w:pPr>
              <w:widowControl/>
              <w:ind w:firstLine="422"/>
              <w:jc w:val="center"/>
              <w:rPr>
                <w:b/>
                <w:bCs/>
                <w:szCs w:val="21"/>
              </w:rPr>
            </w:pPr>
            <w:r>
              <w:t>0.384</w:t>
            </w:r>
          </w:p>
        </w:tc>
      </w:tr>
      <w:tr w14:paraId="3B5F5C3F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260AE2A7">
            <w:pPr>
              <w:widowControl/>
              <w:ind w:firstLine="380" w:firstLineChars="200"/>
              <w:jc w:val="left"/>
              <w:rPr>
                <w:rFonts w:eastAsia="Segoe UI"/>
                <w:sz w:val="19"/>
                <w:szCs w:val="19"/>
                <w:shd w:val="clear" w:color="auto" w:fill="FFFFFF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T stage (T1-2 vs. T3-4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shd w:val="clear" w:color="auto" w:fill="FFFFFF"/>
              </w:rPr>
              <w:t>）</w:t>
            </w:r>
          </w:p>
        </w:tc>
        <w:tc>
          <w:tcPr>
            <w:tcW w:w="3437" w:type="dxa"/>
            <w:vAlign w:val="center"/>
          </w:tcPr>
          <w:p w14:paraId="0AA5E66E">
            <w:pPr>
              <w:widowControl/>
              <w:ind w:firstLine="420"/>
              <w:jc w:val="center"/>
              <w:rPr>
                <w:b/>
                <w:bCs/>
                <w:szCs w:val="21"/>
              </w:rPr>
            </w:pPr>
            <w:r>
              <w:rPr>
                <w:b w:val="0"/>
                <w:bCs w:val="0"/>
              </w:rPr>
              <w:t>3.01 (1.26,8.78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)</w:t>
            </w:r>
            <w:r>
              <w:rPr>
                <w:rFonts w:hint="eastAsia"/>
                <w:b w:val="0"/>
                <w:bCs w:val="0"/>
                <w:vertAlign w:val="superscript"/>
              </w:rPr>
              <w:t>*</w:t>
            </w:r>
          </w:p>
        </w:tc>
        <w:tc>
          <w:tcPr>
            <w:tcW w:w="2390" w:type="dxa"/>
            <w:vAlign w:val="center"/>
          </w:tcPr>
          <w:p w14:paraId="1985C18F">
            <w:pPr>
              <w:widowControl/>
              <w:ind w:firstLine="420"/>
              <w:jc w:val="center"/>
              <w:rPr>
                <w:b/>
                <w:bCs/>
                <w:szCs w:val="21"/>
              </w:rPr>
            </w:pPr>
            <w:r>
              <w:rPr>
                <w:b w:val="0"/>
                <w:bCs w:val="0"/>
              </w:rPr>
              <w:t>0.044</w:t>
            </w:r>
            <w:r>
              <w:rPr>
                <w:rFonts w:hint="eastAsia"/>
                <w:b w:val="0"/>
                <w:bCs w:val="0"/>
                <w:vertAlign w:val="superscript"/>
              </w:rPr>
              <w:t>*</w:t>
            </w:r>
          </w:p>
        </w:tc>
      </w:tr>
      <w:tr w14:paraId="7562F58B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5462B9CC">
            <w:pPr>
              <w:widowControl/>
              <w:ind w:firstLine="380" w:firstLineChars="200"/>
              <w:jc w:val="left"/>
              <w:rPr>
                <w:rFonts w:eastAsia="Segoe UI"/>
                <w:sz w:val="19"/>
                <w:szCs w:val="19"/>
                <w:shd w:val="clear" w:color="auto" w:fill="FFFFFF"/>
                <w:lang w:val="pt-BR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  <w:lang w:val="pt-BR"/>
              </w:rPr>
              <w:t>N stage (N0-1 vs. N2-3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shd w:val="clear" w:color="auto" w:fill="FFFFFF"/>
                <w:lang w:val="pt-BR"/>
              </w:rPr>
              <w:t>）</w:t>
            </w:r>
          </w:p>
        </w:tc>
        <w:tc>
          <w:tcPr>
            <w:tcW w:w="3437" w:type="dxa"/>
            <w:vAlign w:val="center"/>
          </w:tcPr>
          <w:p w14:paraId="6A7EA9F0">
            <w:pPr>
              <w:widowControl/>
              <w:ind w:firstLine="420"/>
              <w:jc w:val="center"/>
              <w:rPr>
                <w:szCs w:val="21"/>
              </w:rPr>
            </w:pPr>
            <w:r>
              <w:t>0.418 (0.129-1.36)</w:t>
            </w:r>
          </w:p>
        </w:tc>
        <w:tc>
          <w:tcPr>
            <w:tcW w:w="2390" w:type="dxa"/>
            <w:vAlign w:val="center"/>
          </w:tcPr>
          <w:p w14:paraId="184A4C6F">
            <w:pPr>
              <w:widowControl/>
              <w:ind w:firstLine="420"/>
              <w:jc w:val="center"/>
              <w:rPr>
                <w:szCs w:val="21"/>
              </w:rPr>
            </w:pPr>
            <w:r>
              <w:t>0.146</w:t>
            </w:r>
          </w:p>
        </w:tc>
      </w:tr>
      <w:tr w14:paraId="68F22274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7072D0AD">
            <w:pPr>
              <w:widowControl/>
              <w:ind w:firstLine="380" w:firstLineChars="200"/>
              <w:jc w:val="left"/>
              <w:rPr>
                <w:rFonts w:eastAsia="Segoe UI"/>
                <w:sz w:val="19"/>
                <w:szCs w:val="19"/>
                <w:shd w:val="clear" w:color="auto" w:fill="FFFFFF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TNM stage (Ⅱ-Ⅲ vs. Ⅳa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shd w:val="clear" w:color="auto" w:fill="FFFFFF"/>
              </w:rPr>
              <w:t>）</w:t>
            </w:r>
          </w:p>
        </w:tc>
        <w:tc>
          <w:tcPr>
            <w:tcW w:w="3437" w:type="dxa"/>
            <w:vAlign w:val="center"/>
          </w:tcPr>
          <w:p w14:paraId="7FBC6E5C">
            <w:pPr>
              <w:widowControl/>
              <w:ind w:firstLine="420"/>
              <w:jc w:val="center"/>
              <w:rPr>
                <w:szCs w:val="21"/>
              </w:rPr>
            </w:pPr>
            <w:r>
              <w:t>1.87 (0.612-5.72)</w:t>
            </w:r>
          </w:p>
        </w:tc>
        <w:tc>
          <w:tcPr>
            <w:tcW w:w="2390" w:type="dxa"/>
            <w:vAlign w:val="center"/>
          </w:tcPr>
          <w:p w14:paraId="7AE2C6D0">
            <w:pPr>
              <w:widowControl/>
              <w:ind w:firstLine="420"/>
              <w:jc w:val="center"/>
              <w:rPr>
                <w:szCs w:val="21"/>
              </w:rPr>
            </w:pPr>
            <w:r>
              <w:t>0.272</w:t>
            </w:r>
          </w:p>
        </w:tc>
      </w:tr>
      <w:tr w14:paraId="35071ACC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2C20B6F3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Virus infection (yes vs. no)</w:t>
            </w:r>
          </w:p>
        </w:tc>
        <w:tc>
          <w:tcPr>
            <w:tcW w:w="3437" w:type="dxa"/>
            <w:vAlign w:val="center"/>
          </w:tcPr>
          <w:p w14:paraId="7E1756F3">
            <w:pPr>
              <w:widowControl/>
              <w:ind w:firstLine="420"/>
              <w:jc w:val="center"/>
              <w:rPr>
                <w:szCs w:val="21"/>
              </w:rPr>
            </w:pPr>
            <w:r>
              <w:t>1.6 (0.525-4.9)</w:t>
            </w:r>
          </w:p>
        </w:tc>
        <w:tc>
          <w:tcPr>
            <w:tcW w:w="2390" w:type="dxa"/>
            <w:vAlign w:val="center"/>
          </w:tcPr>
          <w:p w14:paraId="606F9DD7">
            <w:pPr>
              <w:widowControl/>
              <w:ind w:firstLine="420"/>
              <w:jc w:val="center"/>
              <w:rPr>
                <w:szCs w:val="21"/>
              </w:rPr>
            </w:pPr>
            <w:r>
              <w:t>0.407</w:t>
            </w:r>
          </w:p>
        </w:tc>
      </w:tr>
      <w:tr w14:paraId="40F9DD67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6C9BC7D8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Induction chemotherapy (yes vs. no)</w:t>
            </w:r>
          </w:p>
        </w:tc>
        <w:tc>
          <w:tcPr>
            <w:tcW w:w="3437" w:type="dxa"/>
            <w:vAlign w:val="center"/>
          </w:tcPr>
          <w:p w14:paraId="2F4E8B1A">
            <w:pPr>
              <w:widowControl/>
              <w:ind w:firstLine="422"/>
              <w:jc w:val="center"/>
              <w:rPr>
                <w:szCs w:val="21"/>
              </w:rPr>
            </w:pPr>
            <w:r>
              <w:t>0.427 (0.0947-1.93)</w:t>
            </w:r>
          </w:p>
        </w:tc>
        <w:tc>
          <w:tcPr>
            <w:tcW w:w="2390" w:type="dxa"/>
            <w:vAlign w:val="center"/>
          </w:tcPr>
          <w:p w14:paraId="733B31FE">
            <w:pPr>
              <w:widowControl/>
              <w:ind w:firstLine="422"/>
              <w:jc w:val="center"/>
              <w:rPr>
                <w:b/>
                <w:bCs/>
                <w:szCs w:val="21"/>
              </w:rPr>
            </w:pPr>
            <w:r>
              <w:t>0.269</w:t>
            </w:r>
          </w:p>
        </w:tc>
      </w:tr>
      <w:tr w14:paraId="5D8D64AD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4CAF8345">
            <w:pPr>
              <w:widowControl/>
              <w:ind w:firstLine="360" w:firstLineChars="200"/>
              <w:jc w:val="left"/>
              <w:rPr>
                <w:rFonts w:eastAsia="Segoe UI"/>
                <w:sz w:val="18"/>
                <w:szCs w:val="18"/>
                <w:shd w:val="clear" w:color="auto" w:fill="FFFFFF"/>
              </w:rPr>
            </w:pPr>
            <w:r>
              <w:rPr>
                <w:rFonts w:eastAsia="Segoe UI"/>
                <w:sz w:val="18"/>
                <w:szCs w:val="18"/>
                <w:shd w:val="clear" w:color="auto" w:fill="FFFFFF"/>
              </w:rPr>
              <w:t>Concurrent chemotherapy (yes vs. no)</w:t>
            </w:r>
          </w:p>
          <w:p w14:paraId="044BD984">
            <w:pPr>
              <w:widowControl/>
              <w:shd w:val="clear" w:color="auto" w:fill="FFFFFF"/>
              <w:spacing w:before="144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编辑</w:t>
            </w:r>
          </w:p>
          <w:p w14:paraId="6CE4628F">
            <w:pPr>
              <w:widowControl/>
              <w:shd w:val="clear" w:color="auto" w:fill="FFFFFF"/>
              <w:spacing w:before="144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分享</w:t>
            </w:r>
          </w:p>
          <w:p w14:paraId="10A5FE57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诱导化疗和同期化疗有什么区别？</w:t>
            </w:r>
          </w:p>
          <w:p w14:paraId="4B1B02C8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放疗联合同期化疗的英文是什么？</w:t>
            </w:r>
          </w:p>
          <w:p w14:paraId="66468ED1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根治性化疗</w:t>
            </w:r>
            <w:r>
              <w:rPr>
                <w:rFonts w:eastAsia="var(--s-font-base)"/>
                <w:color w:val="1C1F23"/>
                <w:kern w:val="0"/>
                <w:sz w:val="16"/>
                <w:szCs w:val="16"/>
                <w:shd w:val="clear" w:color="auto" w:fill="FFFFFF"/>
              </w:rPr>
              <w:t xml:space="preserve"> (</w:t>
            </w: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是</w:t>
            </w:r>
            <w:r>
              <w:rPr>
                <w:rFonts w:eastAsia="var(--s-font-base)"/>
                <w:color w:val="1C1F23"/>
                <w:kern w:val="0"/>
                <w:sz w:val="16"/>
                <w:szCs w:val="16"/>
                <w:shd w:val="clear" w:color="auto" w:fill="FFFFFF"/>
              </w:rPr>
              <w:t xml:space="preserve"> vs. </w:t>
            </w: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否）的英文翻译是什么？</w:t>
            </w:r>
          </w:p>
          <w:p w14:paraId="3BE1D1CD">
            <w:pPr>
              <w:widowControl/>
              <w:shd w:val="clear" w:color="auto" w:fill="FFFFFF"/>
              <w:jc w:val="left"/>
              <w:rPr>
                <w:rFonts w:eastAsia="Segoe UI"/>
                <w:color w:val="1C1F23"/>
                <w:sz w:val="27"/>
                <w:szCs w:val="27"/>
              </w:rPr>
            </w:pPr>
          </w:p>
          <w:p w14:paraId="613A7233">
            <w:pPr>
              <w:widowControl/>
              <w:ind w:firstLine="420" w:firstLineChars="200"/>
              <w:jc w:val="left"/>
              <w:rPr>
                <w:szCs w:val="21"/>
              </w:rPr>
            </w:pPr>
          </w:p>
        </w:tc>
        <w:tc>
          <w:tcPr>
            <w:tcW w:w="3437" w:type="dxa"/>
            <w:vAlign w:val="center"/>
          </w:tcPr>
          <w:p w14:paraId="1A3BE85E">
            <w:pPr>
              <w:widowControl/>
              <w:ind w:firstLine="420"/>
              <w:jc w:val="center"/>
              <w:rPr>
                <w:b/>
                <w:bCs/>
                <w:szCs w:val="21"/>
              </w:rPr>
            </w:pPr>
            <w:r>
              <w:t>0.343 (0.112-1.05)</w:t>
            </w:r>
          </w:p>
        </w:tc>
        <w:tc>
          <w:tcPr>
            <w:tcW w:w="2390" w:type="dxa"/>
            <w:vAlign w:val="center"/>
          </w:tcPr>
          <w:p w14:paraId="074E2FD3">
            <w:pPr>
              <w:widowControl/>
              <w:ind w:firstLine="420"/>
              <w:jc w:val="center"/>
              <w:rPr>
                <w:szCs w:val="21"/>
              </w:rPr>
            </w:pPr>
            <w:r>
              <w:t>0.0609</w:t>
            </w:r>
          </w:p>
        </w:tc>
      </w:tr>
      <w:tr w14:paraId="094F196E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145C3570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Nimotuzumab (yes vs. no)</w:t>
            </w:r>
          </w:p>
        </w:tc>
        <w:tc>
          <w:tcPr>
            <w:tcW w:w="3437" w:type="dxa"/>
            <w:vAlign w:val="center"/>
          </w:tcPr>
          <w:p w14:paraId="307AD571">
            <w:pPr>
              <w:widowControl/>
              <w:ind w:firstLine="420"/>
              <w:jc w:val="center"/>
              <w:rPr>
                <w:szCs w:val="21"/>
              </w:rPr>
            </w:pPr>
            <w:r>
              <w:t>1.53 (0.42-5.55)</w:t>
            </w:r>
          </w:p>
        </w:tc>
        <w:tc>
          <w:tcPr>
            <w:tcW w:w="2390" w:type="dxa"/>
            <w:vAlign w:val="center"/>
          </w:tcPr>
          <w:p w14:paraId="735B1C06">
            <w:pPr>
              <w:widowControl/>
              <w:ind w:firstLine="420"/>
              <w:jc w:val="center"/>
              <w:rPr>
                <w:szCs w:val="21"/>
              </w:rPr>
            </w:pPr>
            <w:r>
              <w:t>0.52</w:t>
            </w:r>
          </w:p>
        </w:tc>
      </w:tr>
      <w:tr w14:paraId="29E32398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3A8F3F31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Adjuvant chemotherapy (yes vs. no)</w:t>
            </w:r>
          </w:p>
        </w:tc>
        <w:tc>
          <w:tcPr>
            <w:tcW w:w="3437" w:type="dxa"/>
            <w:vAlign w:val="center"/>
          </w:tcPr>
          <w:p w14:paraId="2478176A">
            <w:pPr>
              <w:widowControl/>
              <w:ind w:firstLine="420"/>
              <w:jc w:val="center"/>
              <w:rPr>
                <w:szCs w:val="21"/>
              </w:rPr>
            </w:pPr>
            <w:r>
              <w:t>0.476 (0.062-3.66)</w:t>
            </w:r>
          </w:p>
        </w:tc>
        <w:tc>
          <w:tcPr>
            <w:tcW w:w="2390" w:type="dxa"/>
            <w:vAlign w:val="center"/>
          </w:tcPr>
          <w:p w14:paraId="2E270477">
            <w:pPr>
              <w:widowControl/>
              <w:ind w:firstLine="420"/>
              <w:jc w:val="center"/>
              <w:rPr>
                <w:szCs w:val="21"/>
              </w:rPr>
            </w:pPr>
            <w:r>
              <w:t>0.476</w:t>
            </w:r>
          </w:p>
        </w:tc>
      </w:tr>
      <w:tr w14:paraId="7F86120C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09D95A4F">
            <w:pPr>
              <w:widowControl/>
              <w:jc w:val="left"/>
              <w:rPr>
                <w:szCs w:val="21"/>
              </w:rPr>
            </w:pPr>
            <w:r>
              <w:rPr>
                <w:b/>
                <w:bCs/>
                <w:szCs w:val="21"/>
              </w:rPr>
              <w:t>Progression-free surviva</w:t>
            </w:r>
            <w:r>
              <w:rPr>
                <w:szCs w:val="21"/>
              </w:rPr>
              <w:t>l</w:t>
            </w:r>
          </w:p>
        </w:tc>
        <w:tc>
          <w:tcPr>
            <w:tcW w:w="3437" w:type="dxa"/>
            <w:vAlign w:val="center"/>
          </w:tcPr>
          <w:p w14:paraId="726A453D">
            <w:pPr>
              <w:widowControl/>
              <w:ind w:firstLine="420"/>
              <w:jc w:val="center"/>
              <w:rPr>
                <w:szCs w:val="21"/>
              </w:rPr>
            </w:pPr>
          </w:p>
        </w:tc>
        <w:tc>
          <w:tcPr>
            <w:tcW w:w="2390" w:type="dxa"/>
            <w:vAlign w:val="center"/>
          </w:tcPr>
          <w:p w14:paraId="71EF2C5E">
            <w:pPr>
              <w:widowControl/>
              <w:ind w:firstLine="420"/>
              <w:jc w:val="center"/>
              <w:rPr>
                <w:szCs w:val="21"/>
              </w:rPr>
            </w:pPr>
          </w:p>
        </w:tc>
      </w:tr>
      <w:tr w14:paraId="6D7ADCCA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556F58F5">
            <w:pPr>
              <w:widowControl/>
              <w:ind w:firstLine="380" w:firstLineChars="200"/>
              <w:jc w:val="left"/>
              <w:rPr>
                <w:b/>
                <w:bCs/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Sex (male vs. female)</w:t>
            </w:r>
          </w:p>
        </w:tc>
        <w:tc>
          <w:tcPr>
            <w:tcW w:w="3437" w:type="dxa"/>
            <w:vAlign w:val="center"/>
          </w:tcPr>
          <w:p w14:paraId="2BB49FEC">
            <w:pPr>
              <w:widowControl/>
              <w:ind w:firstLine="420"/>
              <w:jc w:val="center"/>
              <w:rPr>
                <w:szCs w:val="21"/>
              </w:rPr>
            </w:pPr>
            <w:r>
              <w:t>0.906 (0.467-1.76)</w:t>
            </w:r>
          </w:p>
        </w:tc>
        <w:tc>
          <w:tcPr>
            <w:tcW w:w="2390" w:type="dxa"/>
            <w:vAlign w:val="center"/>
          </w:tcPr>
          <w:p w14:paraId="4B67F04F">
            <w:pPr>
              <w:widowControl/>
              <w:ind w:firstLine="420"/>
              <w:jc w:val="center"/>
              <w:rPr>
                <w:szCs w:val="21"/>
              </w:rPr>
            </w:pPr>
            <w:r>
              <w:t>0.77</w:t>
            </w:r>
          </w:p>
        </w:tc>
      </w:tr>
      <w:tr w14:paraId="6CD314E9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1D752646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Age at diagnosis (&lt;50 vs. ≥50)</w:t>
            </w:r>
          </w:p>
        </w:tc>
        <w:tc>
          <w:tcPr>
            <w:tcW w:w="3437" w:type="dxa"/>
            <w:vAlign w:val="center"/>
          </w:tcPr>
          <w:p w14:paraId="324A0CB2">
            <w:pPr>
              <w:widowControl/>
              <w:ind w:firstLine="420"/>
              <w:jc w:val="center"/>
              <w:rPr>
                <w:szCs w:val="21"/>
              </w:rPr>
            </w:pPr>
            <w:r>
              <w:t>0.887 (0.457-1.72)</w:t>
            </w:r>
          </w:p>
        </w:tc>
        <w:tc>
          <w:tcPr>
            <w:tcW w:w="2390" w:type="dxa"/>
            <w:vAlign w:val="center"/>
          </w:tcPr>
          <w:p w14:paraId="5DD5C428">
            <w:pPr>
              <w:widowControl/>
              <w:ind w:firstLine="420"/>
              <w:jc w:val="center"/>
              <w:rPr>
                <w:szCs w:val="21"/>
              </w:rPr>
            </w:pPr>
            <w:r>
              <w:t>0.723</w:t>
            </w:r>
          </w:p>
        </w:tc>
      </w:tr>
      <w:tr w14:paraId="799E6930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78D61B70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Comorbidities (yes vs. no)</w:t>
            </w:r>
          </w:p>
        </w:tc>
        <w:tc>
          <w:tcPr>
            <w:tcW w:w="3437" w:type="dxa"/>
            <w:vAlign w:val="center"/>
          </w:tcPr>
          <w:p w14:paraId="48E78E00">
            <w:pPr>
              <w:widowControl/>
              <w:ind w:firstLine="420"/>
              <w:jc w:val="center"/>
              <w:rPr>
                <w:szCs w:val="21"/>
              </w:rPr>
            </w:pPr>
            <w:r>
              <w:t>0.987 (0.474-2.05)</w:t>
            </w:r>
          </w:p>
        </w:tc>
        <w:tc>
          <w:tcPr>
            <w:tcW w:w="2390" w:type="dxa"/>
            <w:vAlign w:val="center"/>
          </w:tcPr>
          <w:p w14:paraId="763F68A5">
            <w:pPr>
              <w:widowControl/>
              <w:ind w:firstLine="420"/>
              <w:jc w:val="center"/>
              <w:rPr>
                <w:szCs w:val="21"/>
              </w:rPr>
            </w:pPr>
            <w:r>
              <w:t>0.971</w:t>
            </w:r>
          </w:p>
        </w:tc>
      </w:tr>
      <w:tr w14:paraId="55E05653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4D366254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T stage (T1-2 vs. T3-4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shd w:val="clear" w:color="auto" w:fill="FFFFFF"/>
              </w:rPr>
              <w:t>）</w:t>
            </w:r>
          </w:p>
        </w:tc>
        <w:tc>
          <w:tcPr>
            <w:tcW w:w="3437" w:type="dxa"/>
            <w:vAlign w:val="center"/>
          </w:tcPr>
          <w:p w14:paraId="3A670F27">
            <w:pPr>
              <w:widowControl/>
              <w:ind w:firstLine="420"/>
              <w:jc w:val="center"/>
              <w:rPr>
                <w:szCs w:val="21"/>
              </w:rPr>
            </w:pPr>
            <w:r>
              <w:t>1.07 (0.586-1.97)</w:t>
            </w:r>
          </w:p>
        </w:tc>
        <w:tc>
          <w:tcPr>
            <w:tcW w:w="2390" w:type="dxa"/>
            <w:vAlign w:val="center"/>
          </w:tcPr>
          <w:p w14:paraId="1EBD0E75">
            <w:pPr>
              <w:widowControl/>
              <w:ind w:firstLine="420"/>
              <w:jc w:val="center"/>
              <w:rPr>
                <w:szCs w:val="21"/>
              </w:rPr>
            </w:pPr>
            <w:r>
              <w:t>0.816</w:t>
            </w:r>
          </w:p>
        </w:tc>
      </w:tr>
      <w:tr w14:paraId="42C4052B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1A5C945B">
            <w:pPr>
              <w:widowControl/>
              <w:ind w:firstLine="380" w:firstLineChars="200"/>
              <w:jc w:val="left"/>
              <w:rPr>
                <w:szCs w:val="21"/>
                <w:lang w:val="pt-BR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  <w:lang w:val="pt-BR"/>
              </w:rPr>
              <w:t>N stage (N0-1 vs. N2-3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shd w:val="clear" w:color="auto" w:fill="FFFFFF"/>
                <w:lang w:val="pt-BR"/>
              </w:rPr>
              <w:t>）</w:t>
            </w:r>
          </w:p>
        </w:tc>
        <w:tc>
          <w:tcPr>
            <w:tcW w:w="3437" w:type="dxa"/>
            <w:vAlign w:val="center"/>
          </w:tcPr>
          <w:p w14:paraId="6CB4379B">
            <w:pPr>
              <w:widowControl/>
              <w:ind w:firstLine="422"/>
              <w:jc w:val="center"/>
              <w:rPr>
                <w:szCs w:val="21"/>
              </w:rPr>
            </w:pPr>
            <w:r>
              <w:t>0.832 (0.387-1.79)</w:t>
            </w:r>
          </w:p>
        </w:tc>
        <w:tc>
          <w:tcPr>
            <w:tcW w:w="2390" w:type="dxa"/>
            <w:vAlign w:val="center"/>
          </w:tcPr>
          <w:p w14:paraId="58C61943">
            <w:pPr>
              <w:widowControl/>
              <w:ind w:firstLine="422"/>
              <w:jc w:val="center"/>
              <w:rPr>
                <w:b/>
                <w:bCs/>
                <w:szCs w:val="21"/>
              </w:rPr>
            </w:pPr>
            <w:r>
              <w:t>0.639</w:t>
            </w:r>
          </w:p>
        </w:tc>
      </w:tr>
      <w:tr w14:paraId="2CDDBA2A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750716B0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TNM stage (Ⅱ-Ⅲ vs. Ⅳa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shd w:val="clear" w:color="auto" w:fill="FFFFFF"/>
              </w:rPr>
              <w:t>）</w:t>
            </w:r>
          </w:p>
        </w:tc>
        <w:tc>
          <w:tcPr>
            <w:tcW w:w="3437" w:type="dxa"/>
            <w:vAlign w:val="center"/>
          </w:tcPr>
          <w:p w14:paraId="2BFE5680">
            <w:pPr>
              <w:widowControl/>
              <w:ind w:firstLine="420"/>
              <w:jc w:val="center"/>
              <w:rPr>
                <w:b/>
                <w:bCs/>
                <w:szCs w:val="21"/>
              </w:rPr>
            </w:pPr>
            <w:r>
              <w:t>1.56 (0.86-2.84)</w:t>
            </w:r>
          </w:p>
        </w:tc>
        <w:tc>
          <w:tcPr>
            <w:tcW w:w="2390" w:type="dxa"/>
            <w:vAlign w:val="center"/>
          </w:tcPr>
          <w:p w14:paraId="57492A04">
            <w:pPr>
              <w:widowControl/>
              <w:ind w:firstLine="420"/>
              <w:jc w:val="center"/>
              <w:rPr>
                <w:szCs w:val="21"/>
              </w:rPr>
            </w:pPr>
            <w:r>
              <w:t>0.143</w:t>
            </w:r>
          </w:p>
        </w:tc>
      </w:tr>
      <w:tr w14:paraId="7AFD2CFC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513BA783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Virus infection (yes vs. no)</w:t>
            </w:r>
          </w:p>
        </w:tc>
        <w:tc>
          <w:tcPr>
            <w:tcW w:w="3437" w:type="dxa"/>
            <w:vAlign w:val="center"/>
          </w:tcPr>
          <w:p w14:paraId="789626A7">
            <w:pPr>
              <w:widowControl/>
              <w:ind w:firstLine="420"/>
              <w:jc w:val="center"/>
              <w:rPr>
                <w:szCs w:val="21"/>
              </w:rPr>
            </w:pPr>
            <w:r>
              <w:t>1.19 (0.659-2.16)</w:t>
            </w:r>
          </w:p>
        </w:tc>
        <w:tc>
          <w:tcPr>
            <w:tcW w:w="2390" w:type="dxa"/>
            <w:vAlign w:val="center"/>
          </w:tcPr>
          <w:p w14:paraId="3355BB3F">
            <w:pPr>
              <w:widowControl/>
              <w:ind w:firstLine="420"/>
              <w:jc w:val="center"/>
              <w:rPr>
                <w:szCs w:val="21"/>
              </w:rPr>
            </w:pPr>
            <w:r>
              <w:t>0.559</w:t>
            </w:r>
          </w:p>
        </w:tc>
      </w:tr>
      <w:tr w14:paraId="08BB40D3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5DB3BC3A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Induction chemotherapy (yes vs. no)</w:t>
            </w:r>
          </w:p>
        </w:tc>
        <w:tc>
          <w:tcPr>
            <w:tcW w:w="3437" w:type="dxa"/>
            <w:vAlign w:val="center"/>
          </w:tcPr>
          <w:p w14:paraId="5348E080">
            <w:pPr>
              <w:widowControl/>
              <w:ind w:firstLine="420"/>
              <w:jc w:val="center"/>
              <w:rPr>
                <w:szCs w:val="21"/>
              </w:rPr>
            </w:pPr>
            <w:r>
              <w:t>0.574 (0.226-1.46)</w:t>
            </w:r>
          </w:p>
        </w:tc>
        <w:tc>
          <w:tcPr>
            <w:tcW w:w="2390" w:type="dxa"/>
            <w:vAlign w:val="center"/>
          </w:tcPr>
          <w:p w14:paraId="2DD969C4">
            <w:pPr>
              <w:widowControl/>
              <w:ind w:firstLine="420"/>
              <w:jc w:val="center"/>
              <w:rPr>
                <w:szCs w:val="21"/>
              </w:rPr>
            </w:pPr>
            <w:r>
              <w:t>0.242</w:t>
            </w:r>
          </w:p>
        </w:tc>
      </w:tr>
      <w:tr w14:paraId="4767E172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12B2901C">
            <w:pPr>
              <w:widowControl/>
              <w:ind w:firstLine="360" w:firstLineChars="200"/>
              <w:jc w:val="left"/>
              <w:rPr>
                <w:rFonts w:eastAsia="Segoe UI"/>
                <w:sz w:val="18"/>
                <w:szCs w:val="18"/>
                <w:shd w:val="clear" w:color="auto" w:fill="FFFFFF"/>
              </w:rPr>
            </w:pPr>
            <w:r>
              <w:rPr>
                <w:rFonts w:eastAsia="Segoe UI"/>
                <w:sz w:val="18"/>
                <w:szCs w:val="18"/>
                <w:shd w:val="clear" w:color="auto" w:fill="FFFFFF"/>
              </w:rPr>
              <w:t>Concurrent chemotherapy (yes vs. no)</w:t>
            </w:r>
          </w:p>
          <w:p w14:paraId="674F3126">
            <w:pPr>
              <w:widowControl/>
              <w:shd w:val="clear" w:color="auto" w:fill="FFFFFF"/>
              <w:spacing w:before="144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编辑</w:t>
            </w:r>
          </w:p>
          <w:p w14:paraId="641D7ABC">
            <w:pPr>
              <w:widowControl/>
              <w:shd w:val="clear" w:color="auto" w:fill="FFFFFF"/>
              <w:spacing w:before="144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分享</w:t>
            </w:r>
          </w:p>
          <w:p w14:paraId="59FA68C5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诱导化疗和同期化疗有什么区别？</w:t>
            </w:r>
          </w:p>
          <w:p w14:paraId="76922BAC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放疗联合同期化疗的英文是什么？</w:t>
            </w:r>
          </w:p>
          <w:p w14:paraId="60A26B14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根治性化疗</w:t>
            </w:r>
            <w:r>
              <w:rPr>
                <w:rFonts w:eastAsia="var(--s-font-base)"/>
                <w:color w:val="1C1F23"/>
                <w:kern w:val="0"/>
                <w:sz w:val="16"/>
                <w:szCs w:val="16"/>
                <w:shd w:val="clear" w:color="auto" w:fill="FFFFFF"/>
              </w:rPr>
              <w:t xml:space="preserve"> (</w:t>
            </w: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是</w:t>
            </w:r>
            <w:r>
              <w:rPr>
                <w:rFonts w:eastAsia="var(--s-font-base)"/>
                <w:color w:val="1C1F23"/>
                <w:kern w:val="0"/>
                <w:sz w:val="16"/>
                <w:szCs w:val="16"/>
                <w:shd w:val="clear" w:color="auto" w:fill="FFFFFF"/>
              </w:rPr>
              <w:t xml:space="preserve"> vs. </w:t>
            </w: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否）的英文翻译是什么？</w:t>
            </w:r>
          </w:p>
          <w:p w14:paraId="51F2D95F">
            <w:pPr>
              <w:widowControl/>
              <w:shd w:val="clear" w:color="auto" w:fill="FFFFFF"/>
              <w:jc w:val="left"/>
              <w:rPr>
                <w:rFonts w:eastAsia="Segoe UI"/>
                <w:color w:val="1C1F23"/>
                <w:sz w:val="27"/>
                <w:szCs w:val="27"/>
              </w:rPr>
            </w:pPr>
          </w:p>
          <w:p w14:paraId="6C89FC0F">
            <w:pPr>
              <w:widowControl/>
              <w:ind w:firstLine="420" w:firstLineChars="200"/>
              <w:jc w:val="left"/>
              <w:rPr>
                <w:szCs w:val="21"/>
              </w:rPr>
            </w:pPr>
          </w:p>
        </w:tc>
        <w:tc>
          <w:tcPr>
            <w:tcW w:w="3437" w:type="dxa"/>
            <w:vAlign w:val="center"/>
          </w:tcPr>
          <w:p w14:paraId="0497B088">
            <w:pPr>
              <w:widowControl/>
              <w:ind w:firstLine="420"/>
              <w:jc w:val="center"/>
              <w:rPr>
                <w:b/>
                <w:bCs/>
                <w:szCs w:val="21"/>
              </w:rPr>
            </w:pPr>
            <w:r>
              <w:rPr>
                <w:b w:val="0"/>
                <w:bCs w:val="0"/>
              </w:rPr>
              <w:t>0.32 (0.174-0.586)</w:t>
            </w:r>
            <w:r>
              <w:rPr>
                <w:rFonts w:hint="eastAsia"/>
                <w:b w:val="0"/>
                <w:bCs w:val="0"/>
                <w:vertAlign w:val="superscript"/>
              </w:rPr>
              <w:t>*</w:t>
            </w:r>
          </w:p>
        </w:tc>
        <w:tc>
          <w:tcPr>
            <w:tcW w:w="2390" w:type="dxa"/>
            <w:vAlign w:val="center"/>
          </w:tcPr>
          <w:p w14:paraId="4A5C063B">
            <w:pPr>
              <w:widowControl/>
              <w:ind w:firstLine="420"/>
              <w:jc w:val="center"/>
              <w:rPr>
                <w:b/>
                <w:bCs/>
                <w:szCs w:val="21"/>
              </w:rPr>
            </w:pPr>
            <w:r>
              <w:rPr>
                <w:b w:val="0"/>
                <w:bCs w:val="0"/>
              </w:rPr>
              <w:t>0.00023</w:t>
            </w:r>
            <w:r>
              <w:rPr>
                <w:rFonts w:hint="eastAsia"/>
                <w:b w:val="0"/>
                <w:bCs w:val="0"/>
                <w:vertAlign w:val="superscript"/>
              </w:rPr>
              <w:t>*</w:t>
            </w:r>
          </w:p>
        </w:tc>
      </w:tr>
      <w:tr w14:paraId="12F4E64B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7740AE59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Nimotuzumab (yes vs. no)</w:t>
            </w:r>
          </w:p>
        </w:tc>
        <w:tc>
          <w:tcPr>
            <w:tcW w:w="3437" w:type="dxa"/>
            <w:vAlign w:val="center"/>
          </w:tcPr>
          <w:p w14:paraId="076D87AB">
            <w:pPr>
              <w:widowControl/>
              <w:ind w:firstLine="420"/>
              <w:jc w:val="center"/>
              <w:rPr>
                <w:szCs w:val="21"/>
              </w:rPr>
            </w:pPr>
            <w:r>
              <w:t>0.888 (0.476-1.66)</w:t>
            </w:r>
          </w:p>
        </w:tc>
        <w:tc>
          <w:tcPr>
            <w:tcW w:w="2390" w:type="dxa"/>
            <w:vAlign w:val="center"/>
          </w:tcPr>
          <w:p w14:paraId="0FFA5E00">
            <w:pPr>
              <w:widowControl/>
              <w:ind w:firstLine="420"/>
              <w:jc w:val="center"/>
              <w:rPr>
                <w:szCs w:val="21"/>
              </w:rPr>
            </w:pPr>
            <w:r>
              <w:t>0.708</w:t>
            </w:r>
          </w:p>
        </w:tc>
      </w:tr>
      <w:tr w14:paraId="6769CD65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583378E0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Adjuvant chemotherapy (yes vs. no)</w:t>
            </w:r>
          </w:p>
        </w:tc>
        <w:tc>
          <w:tcPr>
            <w:tcW w:w="3437" w:type="dxa"/>
            <w:vAlign w:val="center"/>
          </w:tcPr>
          <w:p w14:paraId="49B11AF7">
            <w:pPr>
              <w:widowControl/>
              <w:ind w:firstLine="420"/>
              <w:jc w:val="center"/>
              <w:rPr>
                <w:szCs w:val="21"/>
              </w:rPr>
            </w:pPr>
            <w:r>
              <w:t>0.562 (0.201-1.57)</w:t>
            </w:r>
          </w:p>
        </w:tc>
        <w:tc>
          <w:tcPr>
            <w:tcW w:w="2390" w:type="dxa"/>
            <w:vAlign w:val="center"/>
          </w:tcPr>
          <w:p w14:paraId="2A645DA8">
            <w:pPr>
              <w:widowControl/>
              <w:ind w:firstLine="420"/>
              <w:jc w:val="center"/>
              <w:rPr>
                <w:szCs w:val="21"/>
              </w:rPr>
            </w:pPr>
            <w:r>
              <w:t>0.272</w:t>
            </w:r>
          </w:p>
        </w:tc>
      </w:tr>
    </w:tbl>
    <w:p w14:paraId="60F993F3">
      <w:pPr>
        <w:jc w:val="center"/>
      </w:pPr>
    </w:p>
    <w:p w14:paraId="61ADBF92">
      <w:pPr>
        <w:jc w:val="center"/>
      </w:pPr>
    </w:p>
    <w:p w14:paraId="619B2C43">
      <w:pPr>
        <w:jc w:val="center"/>
      </w:pPr>
    </w:p>
    <w:p w14:paraId="18FDF995">
      <w:pPr>
        <w:jc w:val="center"/>
      </w:pPr>
    </w:p>
    <w:p w14:paraId="625C8A8A">
      <w:pPr>
        <w:jc w:val="center"/>
      </w:pPr>
    </w:p>
    <w:p w14:paraId="133BBFEE">
      <w:pPr>
        <w:jc w:val="center"/>
      </w:pPr>
    </w:p>
    <w:p w14:paraId="763EC13C">
      <w:pPr>
        <w:jc w:val="center"/>
      </w:pPr>
    </w:p>
    <w:p w14:paraId="60880857">
      <w:pPr>
        <w:jc w:val="center"/>
      </w:pPr>
    </w:p>
    <w:p w14:paraId="5DB4E106">
      <w:pPr>
        <w:jc w:val="center"/>
      </w:pPr>
    </w:p>
    <w:p w14:paraId="7F2980D6">
      <w:pPr>
        <w:jc w:val="center"/>
      </w:pPr>
    </w:p>
    <w:p w14:paraId="764093E4">
      <w:pPr>
        <w:jc w:val="center"/>
      </w:pPr>
      <w:r>
        <w:rPr>
          <w:rFonts w:eastAsia="Segoe UI"/>
          <w:sz w:val="19"/>
          <w:szCs w:val="19"/>
          <w:shd w:val="clear" w:color="auto" w:fill="FFFFFF"/>
        </w:rPr>
        <w:t>Table 2  (Continued)</w:t>
      </w:r>
    </w:p>
    <w:tbl>
      <w:tblPr>
        <w:tblStyle w:val="15"/>
        <w:tblW w:w="8222" w:type="dxa"/>
        <w:tblInd w:w="0" w:type="dxa"/>
        <w:tblBorders>
          <w:top w:val="none" w:color="auto" w:sz="0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2"/>
        <w:gridCol w:w="3486"/>
        <w:gridCol w:w="1334"/>
      </w:tblGrid>
      <w:tr w14:paraId="2AEC6CF5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tcBorders>
              <w:top w:val="single" w:color="auto" w:sz="12" w:space="0"/>
              <w:bottom w:val="nil"/>
            </w:tcBorders>
            <w:vAlign w:val="center"/>
          </w:tcPr>
          <w:p w14:paraId="26767F4D">
            <w:pPr>
              <w:widowControl/>
              <w:jc w:val="left"/>
              <w:rPr>
                <w:szCs w:val="21"/>
              </w:rPr>
            </w:pPr>
            <w:r>
              <w:rPr>
                <w:b/>
                <w:bCs/>
                <w:szCs w:val="21"/>
              </w:rPr>
              <w:t>Distant metastasis-free survival</w:t>
            </w:r>
          </w:p>
        </w:tc>
        <w:tc>
          <w:tcPr>
            <w:tcW w:w="3486" w:type="dxa"/>
            <w:tcBorders>
              <w:top w:val="single" w:color="auto" w:sz="12" w:space="0"/>
              <w:bottom w:val="nil"/>
            </w:tcBorders>
            <w:vAlign w:val="center"/>
          </w:tcPr>
          <w:p w14:paraId="2AFE6EFC">
            <w:pPr>
              <w:widowControl/>
              <w:ind w:firstLine="420"/>
              <w:jc w:val="center"/>
              <w:rPr>
                <w:szCs w:val="21"/>
              </w:rPr>
            </w:pPr>
          </w:p>
        </w:tc>
        <w:tc>
          <w:tcPr>
            <w:tcW w:w="1334" w:type="dxa"/>
            <w:tcBorders>
              <w:top w:val="single" w:color="auto" w:sz="12" w:space="0"/>
              <w:bottom w:val="nil"/>
            </w:tcBorders>
            <w:vAlign w:val="center"/>
          </w:tcPr>
          <w:p w14:paraId="7DF4945B">
            <w:pPr>
              <w:widowControl/>
              <w:ind w:firstLine="420"/>
              <w:jc w:val="center"/>
              <w:rPr>
                <w:szCs w:val="21"/>
              </w:rPr>
            </w:pPr>
          </w:p>
        </w:tc>
      </w:tr>
      <w:tr w14:paraId="15CCD1A5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tcBorders>
              <w:top w:val="nil"/>
            </w:tcBorders>
            <w:vAlign w:val="center"/>
          </w:tcPr>
          <w:p w14:paraId="4B1CBD42">
            <w:pPr>
              <w:widowControl/>
              <w:ind w:firstLine="380" w:firstLineChars="200"/>
              <w:jc w:val="left"/>
              <w:rPr>
                <w:b/>
                <w:bCs/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Sex (male vs. female)</w:t>
            </w:r>
          </w:p>
        </w:tc>
        <w:tc>
          <w:tcPr>
            <w:tcW w:w="3486" w:type="dxa"/>
            <w:tcBorders>
              <w:top w:val="nil"/>
            </w:tcBorders>
            <w:vAlign w:val="center"/>
          </w:tcPr>
          <w:p w14:paraId="2895670B">
            <w:pPr>
              <w:widowControl/>
              <w:ind w:firstLine="420"/>
              <w:jc w:val="center"/>
              <w:rPr>
                <w:szCs w:val="21"/>
              </w:rPr>
            </w:pPr>
            <w:r>
              <w:t>0.868 (0.405-1.86)</w:t>
            </w:r>
          </w:p>
        </w:tc>
        <w:tc>
          <w:tcPr>
            <w:tcW w:w="1334" w:type="dxa"/>
            <w:tcBorders>
              <w:top w:val="nil"/>
            </w:tcBorders>
            <w:vAlign w:val="center"/>
          </w:tcPr>
          <w:p w14:paraId="069ED137">
            <w:pPr>
              <w:widowControl/>
              <w:ind w:firstLine="420"/>
              <w:jc w:val="center"/>
              <w:rPr>
                <w:szCs w:val="21"/>
              </w:rPr>
            </w:pPr>
            <w:r>
              <w:t>0.716</w:t>
            </w:r>
          </w:p>
        </w:tc>
      </w:tr>
      <w:tr w14:paraId="6DCCE2DC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6D93764A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Age at diagnosis (&lt;50 vs. ≥50)</w:t>
            </w:r>
          </w:p>
        </w:tc>
        <w:tc>
          <w:tcPr>
            <w:tcW w:w="3486" w:type="dxa"/>
            <w:vAlign w:val="center"/>
          </w:tcPr>
          <w:p w14:paraId="4D2DDC6F">
            <w:pPr>
              <w:widowControl/>
              <w:ind w:firstLine="420"/>
              <w:jc w:val="center"/>
              <w:rPr>
                <w:szCs w:val="21"/>
              </w:rPr>
            </w:pPr>
            <w:r>
              <w:t>1.13 (0.553-2.33)</w:t>
            </w:r>
          </w:p>
        </w:tc>
        <w:tc>
          <w:tcPr>
            <w:tcW w:w="1334" w:type="dxa"/>
            <w:vAlign w:val="center"/>
          </w:tcPr>
          <w:p w14:paraId="736E695C">
            <w:pPr>
              <w:widowControl/>
              <w:ind w:firstLine="420"/>
              <w:jc w:val="center"/>
              <w:rPr>
                <w:szCs w:val="21"/>
              </w:rPr>
            </w:pPr>
            <w:r>
              <w:t>0.732</w:t>
            </w:r>
          </w:p>
        </w:tc>
      </w:tr>
      <w:tr w14:paraId="40E074B0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6827F640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Comorbidities (yes vs. no)</w:t>
            </w:r>
          </w:p>
        </w:tc>
        <w:tc>
          <w:tcPr>
            <w:tcW w:w="3486" w:type="dxa"/>
            <w:vAlign w:val="center"/>
          </w:tcPr>
          <w:p w14:paraId="601ED77B">
            <w:pPr>
              <w:widowControl/>
              <w:ind w:firstLine="420"/>
              <w:jc w:val="center"/>
              <w:rPr>
                <w:szCs w:val="21"/>
              </w:rPr>
            </w:pPr>
            <w:r>
              <w:t>1.18 (0.535-2.61)</w:t>
            </w:r>
          </w:p>
        </w:tc>
        <w:tc>
          <w:tcPr>
            <w:tcW w:w="1334" w:type="dxa"/>
            <w:vAlign w:val="center"/>
          </w:tcPr>
          <w:p w14:paraId="1A3D688C">
            <w:pPr>
              <w:widowControl/>
              <w:ind w:firstLine="420"/>
              <w:jc w:val="center"/>
              <w:rPr>
                <w:szCs w:val="21"/>
              </w:rPr>
            </w:pPr>
            <w:r>
              <w:t>0.681</w:t>
            </w:r>
          </w:p>
        </w:tc>
      </w:tr>
      <w:tr w14:paraId="5B21E2BC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7DE955C1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T stage (T1-2 vs. T3-4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shd w:val="clear" w:color="auto" w:fill="FFFFFF"/>
              </w:rPr>
              <w:t>）</w:t>
            </w:r>
          </w:p>
        </w:tc>
        <w:tc>
          <w:tcPr>
            <w:tcW w:w="3486" w:type="dxa"/>
            <w:vAlign w:val="center"/>
          </w:tcPr>
          <w:p w14:paraId="7B8BDACD">
            <w:pPr>
              <w:widowControl/>
              <w:ind w:firstLine="420"/>
              <w:jc w:val="center"/>
              <w:rPr>
                <w:szCs w:val="21"/>
              </w:rPr>
            </w:pPr>
            <w:r>
              <w:t>1.64 (0.782-3.42)</w:t>
            </w:r>
          </w:p>
        </w:tc>
        <w:tc>
          <w:tcPr>
            <w:tcW w:w="1334" w:type="dxa"/>
            <w:vAlign w:val="center"/>
          </w:tcPr>
          <w:p w14:paraId="3F55D6E5">
            <w:pPr>
              <w:widowControl/>
              <w:ind w:firstLine="420"/>
              <w:jc w:val="center"/>
              <w:rPr>
                <w:szCs w:val="21"/>
              </w:rPr>
            </w:pPr>
            <w:r>
              <w:t>0.191</w:t>
            </w:r>
          </w:p>
        </w:tc>
      </w:tr>
      <w:tr w14:paraId="63FF1B3B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3E043471">
            <w:pPr>
              <w:widowControl/>
              <w:ind w:firstLine="380" w:firstLineChars="200"/>
              <w:jc w:val="left"/>
              <w:rPr>
                <w:szCs w:val="21"/>
                <w:lang w:val="pt-BR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  <w:lang w:val="pt-BR"/>
              </w:rPr>
              <w:t>N stage (N0-1 vs. N2-3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shd w:val="clear" w:color="auto" w:fill="FFFFFF"/>
                <w:lang w:val="pt-BR"/>
              </w:rPr>
              <w:t>）</w:t>
            </w:r>
          </w:p>
        </w:tc>
        <w:tc>
          <w:tcPr>
            <w:tcW w:w="3486" w:type="dxa"/>
            <w:vAlign w:val="center"/>
          </w:tcPr>
          <w:p w14:paraId="425CAD57">
            <w:pPr>
              <w:widowControl/>
              <w:ind w:firstLine="420"/>
              <w:jc w:val="center"/>
              <w:rPr>
                <w:szCs w:val="21"/>
              </w:rPr>
            </w:pPr>
            <w:r>
              <w:t>0.594 (0.269-1.31)</w:t>
            </w:r>
          </w:p>
        </w:tc>
        <w:tc>
          <w:tcPr>
            <w:tcW w:w="1334" w:type="dxa"/>
            <w:vAlign w:val="center"/>
          </w:tcPr>
          <w:p w14:paraId="7872B7B9">
            <w:pPr>
              <w:widowControl/>
              <w:ind w:firstLine="420"/>
              <w:jc w:val="center"/>
              <w:rPr>
                <w:szCs w:val="21"/>
              </w:rPr>
            </w:pPr>
            <w:r>
              <w:t>0.198</w:t>
            </w:r>
          </w:p>
        </w:tc>
      </w:tr>
      <w:tr w14:paraId="5B95FBA4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4CC49D58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TNM stage (Ⅱ-Ⅲ vs. Ⅳa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shd w:val="clear" w:color="auto" w:fill="FFFFFF"/>
              </w:rPr>
              <w:t>）</w:t>
            </w:r>
          </w:p>
        </w:tc>
        <w:tc>
          <w:tcPr>
            <w:tcW w:w="3486" w:type="dxa"/>
            <w:vAlign w:val="center"/>
          </w:tcPr>
          <w:p w14:paraId="2DD51CED">
            <w:pPr>
              <w:widowControl/>
              <w:ind w:firstLine="422"/>
              <w:jc w:val="center"/>
              <w:rPr>
                <w:b/>
                <w:bCs/>
                <w:szCs w:val="21"/>
              </w:rPr>
            </w:pPr>
            <w:r>
              <w:rPr>
                <w:b w:val="0"/>
                <w:bCs w:val="0"/>
              </w:rPr>
              <w:t>2.5 (1.22-5.13)</w:t>
            </w:r>
            <w:r>
              <w:rPr>
                <w:rFonts w:hint="eastAsia"/>
                <w:b w:val="0"/>
                <w:bCs w:val="0"/>
                <w:vertAlign w:val="superscript"/>
              </w:rPr>
              <w:t>*</w:t>
            </w:r>
          </w:p>
        </w:tc>
        <w:tc>
          <w:tcPr>
            <w:tcW w:w="1334" w:type="dxa"/>
            <w:vAlign w:val="center"/>
          </w:tcPr>
          <w:p w14:paraId="63C36F69">
            <w:pPr>
              <w:widowControl/>
              <w:ind w:firstLine="422"/>
              <w:jc w:val="center"/>
              <w:rPr>
                <w:b/>
                <w:bCs/>
                <w:szCs w:val="21"/>
              </w:rPr>
            </w:pPr>
            <w:r>
              <w:rPr>
                <w:b w:val="0"/>
                <w:bCs w:val="0"/>
              </w:rPr>
              <w:t>0.0125</w:t>
            </w:r>
            <w:r>
              <w:rPr>
                <w:rFonts w:hint="eastAsia"/>
                <w:b w:val="0"/>
                <w:bCs w:val="0"/>
                <w:vertAlign w:val="superscript"/>
              </w:rPr>
              <w:t>*</w:t>
            </w:r>
          </w:p>
        </w:tc>
      </w:tr>
      <w:tr w14:paraId="66666363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23E39D05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Virus infection (yes vs. no)</w:t>
            </w:r>
          </w:p>
        </w:tc>
        <w:tc>
          <w:tcPr>
            <w:tcW w:w="3486" w:type="dxa"/>
            <w:vAlign w:val="center"/>
          </w:tcPr>
          <w:p w14:paraId="6E0B8581">
            <w:pPr>
              <w:widowControl/>
              <w:ind w:firstLine="420"/>
              <w:jc w:val="center"/>
              <w:rPr>
                <w:b/>
                <w:bCs/>
                <w:szCs w:val="21"/>
              </w:rPr>
            </w:pPr>
            <w:r>
              <w:t>0.884 (0.451-1.73)</w:t>
            </w:r>
          </w:p>
        </w:tc>
        <w:tc>
          <w:tcPr>
            <w:tcW w:w="1334" w:type="dxa"/>
            <w:vAlign w:val="center"/>
          </w:tcPr>
          <w:p w14:paraId="4B0DAB03">
            <w:pPr>
              <w:widowControl/>
              <w:ind w:firstLine="420"/>
              <w:jc w:val="center"/>
              <w:rPr>
                <w:szCs w:val="21"/>
              </w:rPr>
            </w:pPr>
            <w:r>
              <w:t>0.72</w:t>
            </w:r>
          </w:p>
        </w:tc>
      </w:tr>
      <w:tr w14:paraId="407F517A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00FFA9E1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Induction chemotherapy (yes vs. no)</w:t>
            </w:r>
          </w:p>
        </w:tc>
        <w:tc>
          <w:tcPr>
            <w:tcW w:w="3486" w:type="dxa"/>
            <w:vAlign w:val="center"/>
          </w:tcPr>
          <w:p w14:paraId="6B24D934">
            <w:pPr>
              <w:widowControl/>
              <w:ind w:firstLine="420"/>
              <w:jc w:val="center"/>
              <w:rPr>
                <w:szCs w:val="21"/>
              </w:rPr>
            </w:pPr>
            <w:r>
              <w:t>0.424 (0.164-1.09)</w:t>
            </w:r>
          </w:p>
        </w:tc>
        <w:tc>
          <w:tcPr>
            <w:tcW w:w="1334" w:type="dxa"/>
            <w:vAlign w:val="center"/>
          </w:tcPr>
          <w:p w14:paraId="7FAD9021">
            <w:pPr>
              <w:widowControl/>
              <w:ind w:firstLine="420"/>
              <w:jc w:val="center"/>
              <w:rPr>
                <w:szCs w:val="21"/>
              </w:rPr>
            </w:pPr>
            <w:r>
              <w:t>0.0763</w:t>
            </w:r>
          </w:p>
        </w:tc>
      </w:tr>
      <w:tr w14:paraId="2A5E6911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6F65892A">
            <w:pPr>
              <w:widowControl/>
              <w:ind w:firstLine="360" w:firstLineChars="200"/>
              <w:jc w:val="left"/>
              <w:rPr>
                <w:rFonts w:eastAsia="Segoe UI"/>
                <w:sz w:val="18"/>
                <w:szCs w:val="18"/>
                <w:shd w:val="clear" w:color="auto" w:fill="FFFFFF"/>
              </w:rPr>
            </w:pPr>
            <w:r>
              <w:rPr>
                <w:rFonts w:eastAsia="Segoe UI"/>
                <w:sz w:val="18"/>
                <w:szCs w:val="18"/>
                <w:shd w:val="clear" w:color="auto" w:fill="FFFFFF"/>
              </w:rPr>
              <w:t>Concurrent chemotherapy (yes vs. no)</w:t>
            </w:r>
          </w:p>
          <w:p w14:paraId="254BF3EA">
            <w:pPr>
              <w:widowControl/>
              <w:shd w:val="clear" w:color="auto" w:fill="FFFFFF"/>
              <w:spacing w:before="144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编辑</w:t>
            </w:r>
          </w:p>
          <w:p w14:paraId="6DD921F6">
            <w:pPr>
              <w:widowControl/>
              <w:shd w:val="clear" w:color="auto" w:fill="FFFFFF"/>
              <w:spacing w:before="144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分享</w:t>
            </w:r>
          </w:p>
          <w:p w14:paraId="3DF8BEEC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诱导化疗和同期化疗有什么区别？</w:t>
            </w:r>
          </w:p>
          <w:p w14:paraId="0AC13496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放疗联合同期化疗的英文是什么？</w:t>
            </w:r>
          </w:p>
          <w:p w14:paraId="310B1198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根治性化疗</w:t>
            </w:r>
            <w:r>
              <w:rPr>
                <w:rFonts w:eastAsia="var(--s-font-base)"/>
                <w:color w:val="1C1F23"/>
                <w:kern w:val="0"/>
                <w:sz w:val="16"/>
                <w:szCs w:val="16"/>
                <w:shd w:val="clear" w:color="auto" w:fill="FFFFFF"/>
              </w:rPr>
              <w:t xml:space="preserve"> (</w:t>
            </w: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是</w:t>
            </w:r>
            <w:r>
              <w:rPr>
                <w:rFonts w:eastAsia="var(--s-font-base)"/>
                <w:color w:val="1C1F23"/>
                <w:kern w:val="0"/>
                <w:sz w:val="16"/>
                <w:szCs w:val="16"/>
                <w:shd w:val="clear" w:color="auto" w:fill="FFFFFF"/>
              </w:rPr>
              <w:t xml:space="preserve"> vs. </w:t>
            </w: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否）的英文翻译是什么？</w:t>
            </w:r>
          </w:p>
          <w:p w14:paraId="10AEC96A">
            <w:pPr>
              <w:widowControl/>
              <w:shd w:val="clear" w:color="auto" w:fill="FFFFFF"/>
              <w:jc w:val="left"/>
              <w:rPr>
                <w:rFonts w:eastAsia="Segoe UI"/>
                <w:color w:val="1C1F23"/>
                <w:sz w:val="27"/>
                <w:szCs w:val="27"/>
              </w:rPr>
            </w:pPr>
          </w:p>
          <w:p w14:paraId="1C71AF24">
            <w:pPr>
              <w:widowControl/>
              <w:ind w:firstLine="420" w:firstLineChars="200"/>
              <w:jc w:val="left"/>
              <w:rPr>
                <w:szCs w:val="21"/>
              </w:rPr>
            </w:pPr>
          </w:p>
        </w:tc>
        <w:tc>
          <w:tcPr>
            <w:tcW w:w="3486" w:type="dxa"/>
            <w:vAlign w:val="center"/>
          </w:tcPr>
          <w:p w14:paraId="5058C46E">
            <w:pPr>
              <w:widowControl/>
              <w:ind w:firstLine="420"/>
              <w:jc w:val="center"/>
              <w:rPr>
                <w:b/>
                <w:bCs/>
                <w:szCs w:val="21"/>
              </w:rPr>
            </w:pPr>
            <w:r>
              <w:rPr>
                <w:b w:val="0"/>
                <w:bCs w:val="0"/>
              </w:rPr>
              <w:t>0.332 (0.166-0.662)</w:t>
            </w:r>
            <w:r>
              <w:rPr>
                <w:rFonts w:hint="eastAsia"/>
                <w:b w:val="0"/>
                <w:bCs w:val="0"/>
                <w:vertAlign w:val="superscript"/>
              </w:rPr>
              <w:t>*</w:t>
            </w:r>
          </w:p>
        </w:tc>
        <w:tc>
          <w:tcPr>
            <w:tcW w:w="1334" w:type="dxa"/>
            <w:vAlign w:val="center"/>
          </w:tcPr>
          <w:p w14:paraId="78748D52">
            <w:pPr>
              <w:widowControl/>
              <w:ind w:firstLine="210" w:firstLineChars="100"/>
              <w:jc w:val="both"/>
              <w:rPr>
                <w:b/>
                <w:bCs/>
                <w:szCs w:val="21"/>
              </w:rPr>
            </w:pPr>
            <w:r>
              <w:rPr>
                <w:b w:val="0"/>
                <w:bCs w:val="0"/>
              </w:rPr>
              <w:t>0.00176</w:t>
            </w:r>
            <w:r>
              <w:rPr>
                <w:rFonts w:hint="eastAsia"/>
                <w:b w:val="0"/>
                <w:bCs w:val="0"/>
                <w:vertAlign w:val="superscript"/>
              </w:rPr>
              <w:t>*</w:t>
            </w:r>
          </w:p>
        </w:tc>
      </w:tr>
      <w:tr w14:paraId="7ADAC396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02F188C5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Nimotuzumab (yes vs. no)</w:t>
            </w:r>
          </w:p>
        </w:tc>
        <w:tc>
          <w:tcPr>
            <w:tcW w:w="3486" w:type="dxa"/>
            <w:vAlign w:val="center"/>
          </w:tcPr>
          <w:p w14:paraId="0718AE02">
            <w:pPr>
              <w:widowControl/>
              <w:ind w:firstLine="420"/>
              <w:jc w:val="center"/>
              <w:rPr>
                <w:szCs w:val="21"/>
              </w:rPr>
            </w:pPr>
            <w:r>
              <w:t>0.953 (0.464-1.95)</w:t>
            </w:r>
          </w:p>
        </w:tc>
        <w:tc>
          <w:tcPr>
            <w:tcW w:w="1334" w:type="dxa"/>
            <w:vAlign w:val="center"/>
          </w:tcPr>
          <w:p w14:paraId="58D83E4C">
            <w:pPr>
              <w:widowControl/>
              <w:ind w:firstLine="420"/>
              <w:jc w:val="center"/>
              <w:rPr>
                <w:szCs w:val="21"/>
              </w:rPr>
            </w:pPr>
            <w:r>
              <w:t>0.894</w:t>
            </w:r>
          </w:p>
        </w:tc>
      </w:tr>
      <w:tr w14:paraId="1CA21A54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358E482E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Adjuvant chemotherapy (yes vs. no)</w:t>
            </w:r>
          </w:p>
        </w:tc>
        <w:tc>
          <w:tcPr>
            <w:tcW w:w="3486" w:type="dxa"/>
            <w:vAlign w:val="center"/>
          </w:tcPr>
          <w:p w14:paraId="2E73DBC3">
            <w:pPr>
              <w:widowControl/>
              <w:ind w:firstLine="420"/>
              <w:jc w:val="center"/>
              <w:rPr>
                <w:szCs w:val="21"/>
              </w:rPr>
            </w:pPr>
            <w:r>
              <w:t>0.757 (0.267-2.15)</w:t>
            </w:r>
          </w:p>
        </w:tc>
        <w:tc>
          <w:tcPr>
            <w:tcW w:w="1334" w:type="dxa"/>
            <w:vAlign w:val="center"/>
          </w:tcPr>
          <w:p w14:paraId="2DC29385">
            <w:pPr>
              <w:widowControl/>
              <w:ind w:firstLine="420"/>
              <w:jc w:val="center"/>
              <w:rPr>
                <w:szCs w:val="21"/>
              </w:rPr>
            </w:pPr>
            <w:r>
              <w:t>0.601</w:t>
            </w:r>
          </w:p>
        </w:tc>
      </w:tr>
      <w:tr w14:paraId="480C05C6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11D8C729">
            <w:pPr>
              <w:widowControl/>
              <w:jc w:val="left"/>
              <w:rPr>
                <w:szCs w:val="21"/>
              </w:rPr>
            </w:pPr>
            <w:r>
              <w:rPr>
                <w:b/>
                <w:bCs/>
                <w:szCs w:val="21"/>
              </w:rPr>
              <w:t>Loco-regional relapse-free survival</w:t>
            </w:r>
          </w:p>
        </w:tc>
        <w:tc>
          <w:tcPr>
            <w:tcW w:w="3486" w:type="dxa"/>
            <w:vAlign w:val="center"/>
          </w:tcPr>
          <w:p w14:paraId="445D1DAD">
            <w:pPr>
              <w:widowControl/>
              <w:ind w:firstLine="420"/>
              <w:rPr>
                <w:szCs w:val="21"/>
              </w:rPr>
            </w:pPr>
          </w:p>
        </w:tc>
        <w:tc>
          <w:tcPr>
            <w:tcW w:w="1334" w:type="dxa"/>
            <w:vAlign w:val="center"/>
          </w:tcPr>
          <w:p w14:paraId="43484F03">
            <w:pPr>
              <w:widowControl/>
              <w:ind w:firstLine="420"/>
              <w:rPr>
                <w:szCs w:val="21"/>
              </w:rPr>
            </w:pPr>
          </w:p>
        </w:tc>
      </w:tr>
      <w:tr w14:paraId="0FDAA0F0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1046550C">
            <w:pPr>
              <w:widowControl/>
              <w:ind w:firstLine="380" w:firstLineChars="200"/>
              <w:jc w:val="left"/>
              <w:rPr>
                <w:b/>
                <w:bCs/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Se  (male vs. female)</w:t>
            </w:r>
          </w:p>
        </w:tc>
        <w:tc>
          <w:tcPr>
            <w:tcW w:w="3486" w:type="dxa"/>
            <w:vAlign w:val="center"/>
          </w:tcPr>
          <w:p w14:paraId="75397836">
            <w:pPr>
              <w:widowControl/>
              <w:ind w:firstLine="420"/>
              <w:jc w:val="center"/>
              <w:rPr>
                <w:szCs w:val="21"/>
              </w:rPr>
            </w:pPr>
            <w:r>
              <w:t>1.47 (0.644-3.36)</w:t>
            </w:r>
          </w:p>
        </w:tc>
        <w:tc>
          <w:tcPr>
            <w:tcW w:w="1334" w:type="dxa"/>
            <w:vAlign w:val="center"/>
          </w:tcPr>
          <w:p w14:paraId="38C59B11">
            <w:pPr>
              <w:widowControl/>
              <w:ind w:firstLine="420"/>
              <w:jc w:val="center"/>
              <w:rPr>
                <w:szCs w:val="21"/>
              </w:rPr>
            </w:pPr>
            <w:r>
              <w:t>0.36</w:t>
            </w:r>
          </w:p>
        </w:tc>
      </w:tr>
      <w:tr w14:paraId="22D53C13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515CCEC9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Age at diagnosis (&lt;50 vs. ≥50)</w:t>
            </w:r>
          </w:p>
        </w:tc>
        <w:tc>
          <w:tcPr>
            <w:tcW w:w="3486" w:type="dxa"/>
            <w:vAlign w:val="center"/>
          </w:tcPr>
          <w:p w14:paraId="7075C650">
            <w:pPr>
              <w:widowControl/>
              <w:ind w:firstLine="420"/>
              <w:jc w:val="center"/>
              <w:rPr>
                <w:szCs w:val="21"/>
              </w:rPr>
            </w:pPr>
            <w:r>
              <w:t>0.618 (0.231-1.66)</w:t>
            </w:r>
          </w:p>
        </w:tc>
        <w:tc>
          <w:tcPr>
            <w:tcW w:w="1334" w:type="dxa"/>
            <w:vAlign w:val="center"/>
          </w:tcPr>
          <w:p w14:paraId="7145EE56">
            <w:pPr>
              <w:widowControl/>
              <w:ind w:firstLine="420"/>
              <w:jc w:val="center"/>
              <w:rPr>
                <w:szCs w:val="21"/>
              </w:rPr>
            </w:pPr>
            <w:r>
              <w:t>0.338</w:t>
            </w:r>
          </w:p>
        </w:tc>
      </w:tr>
      <w:tr w14:paraId="5BC1BA53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696E6EDB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Comorbidities (yes vs. no)</w:t>
            </w:r>
          </w:p>
        </w:tc>
        <w:tc>
          <w:tcPr>
            <w:tcW w:w="3486" w:type="dxa"/>
            <w:vAlign w:val="center"/>
          </w:tcPr>
          <w:p w14:paraId="4C9FAC1D">
            <w:pPr>
              <w:widowControl/>
              <w:ind w:firstLine="420"/>
              <w:jc w:val="center"/>
              <w:rPr>
                <w:szCs w:val="21"/>
              </w:rPr>
            </w:pPr>
            <w:r>
              <w:t>1.27 (0.504-3.2)</w:t>
            </w:r>
          </w:p>
        </w:tc>
        <w:tc>
          <w:tcPr>
            <w:tcW w:w="1334" w:type="dxa"/>
            <w:vAlign w:val="center"/>
          </w:tcPr>
          <w:p w14:paraId="249AA53C">
            <w:pPr>
              <w:widowControl/>
              <w:ind w:firstLine="420"/>
              <w:jc w:val="center"/>
              <w:rPr>
                <w:szCs w:val="21"/>
              </w:rPr>
            </w:pPr>
            <w:r>
              <w:t>0.613</w:t>
            </w:r>
          </w:p>
        </w:tc>
      </w:tr>
      <w:tr w14:paraId="3D22014B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3215DF97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T stage (T1-2 vs. T3-4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shd w:val="clear" w:color="auto" w:fill="FFFFFF"/>
              </w:rPr>
              <w:t>）</w:t>
            </w:r>
          </w:p>
        </w:tc>
        <w:tc>
          <w:tcPr>
            <w:tcW w:w="3486" w:type="dxa"/>
            <w:vAlign w:val="center"/>
          </w:tcPr>
          <w:p w14:paraId="0C2F6ABE">
            <w:pPr>
              <w:widowControl/>
              <w:ind w:firstLine="420"/>
              <w:jc w:val="center"/>
              <w:rPr>
                <w:szCs w:val="21"/>
              </w:rPr>
            </w:pPr>
            <w:r>
              <w:t>1.36 (0.58-3.17)</w:t>
            </w:r>
          </w:p>
        </w:tc>
        <w:tc>
          <w:tcPr>
            <w:tcW w:w="1334" w:type="dxa"/>
            <w:vAlign w:val="center"/>
          </w:tcPr>
          <w:p w14:paraId="121EA80F">
            <w:pPr>
              <w:widowControl/>
              <w:ind w:firstLine="420"/>
              <w:jc w:val="center"/>
              <w:rPr>
                <w:szCs w:val="21"/>
              </w:rPr>
            </w:pPr>
            <w:r>
              <w:t>0.482</w:t>
            </w:r>
          </w:p>
        </w:tc>
      </w:tr>
      <w:tr w14:paraId="748F078C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5C987CC6">
            <w:pPr>
              <w:widowControl/>
              <w:ind w:firstLine="380" w:firstLineChars="200"/>
              <w:jc w:val="left"/>
              <w:rPr>
                <w:szCs w:val="21"/>
                <w:lang w:val="pt-BR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  <w:lang w:val="pt-BR"/>
              </w:rPr>
              <w:t>N stage (N0-1 vs. N2-3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shd w:val="clear" w:color="auto" w:fill="FFFFFF"/>
                <w:lang w:val="pt-BR"/>
              </w:rPr>
              <w:t>）</w:t>
            </w:r>
          </w:p>
        </w:tc>
        <w:tc>
          <w:tcPr>
            <w:tcW w:w="3486" w:type="dxa"/>
            <w:vAlign w:val="center"/>
          </w:tcPr>
          <w:p w14:paraId="60F7B2A9">
            <w:pPr>
              <w:widowControl/>
              <w:ind w:firstLine="422"/>
              <w:jc w:val="center"/>
              <w:rPr>
                <w:szCs w:val="21"/>
              </w:rPr>
            </w:pPr>
            <w:r>
              <w:t>0.713 (0.266-1.91)</w:t>
            </w:r>
          </w:p>
        </w:tc>
        <w:tc>
          <w:tcPr>
            <w:tcW w:w="1334" w:type="dxa"/>
            <w:vAlign w:val="center"/>
          </w:tcPr>
          <w:p w14:paraId="198DEB78">
            <w:pPr>
              <w:widowControl/>
              <w:ind w:firstLine="422"/>
              <w:jc w:val="center"/>
              <w:rPr>
                <w:b/>
                <w:bCs/>
                <w:szCs w:val="21"/>
              </w:rPr>
            </w:pPr>
            <w:r>
              <w:t>0.5</w:t>
            </w:r>
          </w:p>
        </w:tc>
      </w:tr>
      <w:tr w14:paraId="00A5422F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2E218577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TNM stage (Ⅱ-Ⅲ vs. Ⅳa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shd w:val="clear" w:color="auto" w:fill="FFFFFF"/>
              </w:rPr>
              <w:t>）</w:t>
            </w:r>
          </w:p>
        </w:tc>
        <w:tc>
          <w:tcPr>
            <w:tcW w:w="3486" w:type="dxa"/>
            <w:vAlign w:val="center"/>
          </w:tcPr>
          <w:p w14:paraId="5709E698">
            <w:pPr>
              <w:widowControl/>
              <w:autoSpaceDE w:val="0"/>
              <w:autoSpaceDN w:val="0"/>
              <w:ind w:firstLine="420"/>
              <w:jc w:val="center"/>
              <w:rPr>
                <w:b/>
                <w:bCs/>
                <w:szCs w:val="21"/>
              </w:rPr>
            </w:pPr>
            <w:r>
              <w:t>0.984 (0.441-2.2)</w:t>
            </w:r>
          </w:p>
        </w:tc>
        <w:tc>
          <w:tcPr>
            <w:tcW w:w="1334" w:type="dxa"/>
            <w:vAlign w:val="center"/>
          </w:tcPr>
          <w:p w14:paraId="31E0302F">
            <w:pPr>
              <w:widowControl/>
              <w:autoSpaceDE w:val="0"/>
              <w:autoSpaceDN w:val="0"/>
              <w:ind w:firstLine="420"/>
              <w:jc w:val="center"/>
              <w:rPr>
                <w:szCs w:val="21"/>
              </w:rPr>
            </w:pPr>
            <w:r>
              <w:t>0.969</w:t>
            </w:r>
          </w:p>
        </w:tc>
      </w:tr>
      <w:tr w14:paraId="375E41B4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5EE8C702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Virus infection (yes vs. no)</w:t>
            </w:r>
          </w:p>
        </w:tc>
        <w:tc>
          <w:tcPr>
            <w:tcW w:w="3486" w:type="dxa"/>
            <w:vAlign w:val="center"/>
          </w:tcPr>
          <w:p w14:paraId="232791F0">
            <w:pPr>
              <w:widowControl/>
              <w:autoSpaceDE w:val="0"/>
              <w:autoSpaceDN w:val="0"/>
              <w:ind w:firstLine="420"/>
              <w:jc w:val="center"/>
              <w:rPr>
                <w:szCs w:val="21"/>
              </w:rPr>
            </w:pPr>
            <w:r>
              <w:t>2.01 (0.862-4.7)</w:t>
            </w:r>
          </w:p>
        </w:tc>
        <w:tc>
          <w:tcPr>
            <w:tcW w:w="1334" w:type="dxa"/>
            <w:vAlign w:val="center"/>
          </w:tcPr>
          <w:p w14:paraId="40166CF1">
            <w:pPr>
              <w:widowControl/>
              <w:autoSpaceDE w:val="0"/>
              <w:autoSpaceDN w:val="0"/>
              <w:ind w:firstLine="420"/>
              <w:jc w:val="center"/>
              <w:rPr>
                <w:szCs w:val="21"/>
              </w:rPr>
            </w:pPr>
            <w:r>
              <w:t>0.106</w:t>
            </w:r>
          </w:p>
        </w:tc>
      </w:tr>
      <w:tr w14:paraId="2B6A2EE5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360B5C4D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Induction chemotherapy (yes vs. no)</w:t>
            </w:r>
          </w:p>
        </w:tc>
        <w:tc>
          <w:tcPr>
            <w:tcW w:w="3486" w:type="dxa"/>
            <w:vAlign w:val="center"/>
          </w:tcPr>
          <w:p w14:paraId="6CE0BB81">
            <w:pPr>
              <w:widowControl/>
              <w:autoSpaceDE w:val="0"/>
              <w:autoSpaceDN w:val="0"/>
              <w:ind w:firstLine="422"/>
              <w:jc w:val="center"/>
              <w:rPr>
                <w:szCs w:val="21"/>
              </w:rPr>
            </w:pPr>
            <w:r>
              <w:t>0.859 (0.202-3.65)</w:t>
            </w:r>
          </w:p>
        </w:tc>
        <w:tc>
          <w:tcPr>
            <w:tcW w:w="1334" w:type="dxa"/>
            <w:vAlign w:val="center"/>
          </w:tcPr>
          <w:p w14:paraId="04863349">
            <w:pPr>
              <w:widowControl/>
              <w:autoSpaceDE w:val="0"/>
              <w:autoSpaceDN w:val="0"/>
              <w:ind w:firstLine="422"/>
              <w:jc w:val="center"/>
              <w:rPr>
                <w:b/>
                <w:bCs/>
                <w:szCs w:val="21"/>
              </w:rPr>
            </w:pPr>
            <w:r>
              <w:t>0.837</w:t>
            </w:r>
          </w:p>
        </w:tc>
      </w:tr>
      <w:tr w14:paraId="60A38BB4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2395C396">
            <w:pPr>
              <w:widowControl/>
              <w:ind w:firstLine="360" w:firstLineChars="200"/>
              <w:jc w:val="left"/>
              <w:rPr>
                <w:rFonts w:eastAsia="Segoe UI"/>
                <w:sz w:val="18"/>
                <w:szCs w:val="18"/>
                <w:shd w:val="clear" w:color="auto" w:fill="FFFFFF"/>
              </w:rPr>
            </w:pPr>
            <w:r>
              <w:rPr>
                <w:rFonts w:eastAsia="Segoe UI"/>
                <w:sz w:val="18"/>
                <w:szCs w:val="18"/>
                <w:shd w:val="clear" w:color="auto" w:fill="FFFFFF"/>
              </w:rPr>
              <w:t>Concurrent chemotherapy (yes vs. no)</w:t>
            </w:r>
          </w:p>
          <w:p w14:paraId="437D1467">
            <w:pPr>
              <w:widowControl/>
              <w:shd w:val="clear" w:color="auto" w:fill="FFFFFF"/>
              <w:spacing w:before="144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编辑</w:t>
            </w:r>
          </w:p>
          <w:p w14:paraId="30849520">
            <w:pPr>
              <w:widowControl/>
              <w:shd w:val="clear" w:color="auto" w:fill="FFFFFF"/>
              <w:spacing w:before="144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分享</w:t>
            </w:r>
          </w:p>
          <w:p w14:paraId="6959C111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诱导化疗和同期化疗有什么区别？</w:t>
            </w:r>
          </w:p>
          <w:p w14:paraId="33509E37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放疗联合同期化疗的英文是什么？</w:t>
            </w:r>
          </w:p>
          <w:p w14:paraId="36D2732E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根治性化疗</w:t>
            </w:r>
            <w:r>
              <w:rPr>
                <w:rFonts w:eastAsia="var(--s-font-base)"/>
                <w:color w:val="1C1F23"/>
                <w:kern w:val="0"/>
                <w:sz w:val="16"/>
                <w:szCs w:val="16"/>
                <w:shd w:val="clear" w:color="auto" w:fill="FFFFFF"/>
              </w:rPr>
              <w:t xml:space="preserve"> (</w:t>
            </w: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是</w:t>
            </w:r>
            <w:r>
              <w:rPr>
                <w:rFonts w:eastAsia="var(--s-font-base)"/>
                <w:color w:val="1C1F23"/>
                <w:kern w:val="0"/>
                <w:sz w:val="16"/>
                <w:szCs w:val="16"/>
                <w:shd w:val="clear" w:color="auto" w:fill="FFFFFF"/>
              </w:rPr>
              <w:t xml:space="preserve"> vs. </w:t>
            </w: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否）的英文翻译是什么？</w:t>
            </w:r>
          </w:p>
          <w:p w14:paraId="42998553">
            <w:pPr>
              <w:widowControl/>
              <w:shd w:val="clear" w:color="auto" w:fill="FFFFFF"/>
              <w:jc w:val="left"/>
              <w:rPr>
                <w:rFonts w:eastAsia="Segoe UI"/>
                <w:color w:val="1C1F23"/>
                <w:sz w:val="27"/>
                <w:szCs w:val="27"/>
              </w:rPr>
            </w:pPr>
          </w:p>
          <w:p w14:paraId="169CA449">
            <w:pPr>
              <w:widowControl/>
              <w:ind w:firstLine="420" w:firstLineChars="200"/>
              <w:jc w:val="left"/>
              <w:rPr>
                <w:szCs w:val="21"/>
              </w:rPr>
            </w:pPr>
          </w:p>
        </w:tc>
        <w:tc>
          <w:tcPr>
            <w:tcW w:w="3486" w:type="dxa"/>
            <w:vAlign w:val="center"/>
          </w:tcPr>
          <w:p w14:paraId="125743E9">
            <w:pPr>
              <w:widowControl/>
              <w:autoSpaceDE w:val="0"/>
              <w:autoSpaceDN w:val="0"/>
              <w:ind w:firstLine="420"/>
              <w:jc w:val="center"/>
              <w:rPr>
                <w:b/>
                <w:bCs/>
                <w:szCs w:val="21"/>
              </w:rPr>
            </w:pPr>
            <w:r>
              <w:rPr>
                <w:b w:val="0"/>
                <w:bCs w:val="0"/>
              </w:rPr>
              <w:t>0.35 (0.153-0.799)</w:t>
            </w:r>
            <w:r>
              <w:rPr>
                <w:rFonts w:hint="eastAsia"/>
                <w:b w:val="0"/>
                <w:bCs w:val="0"/>
                <w:vertAlign w:val="superscript"/>
              </w:rPr>
              <w:t>*</w:t>
            </w:r>
          </w:p>
        </w:tc>
        <w:tc>
          <w:tcPr>
            <w:tcW w:w="1334" w:type="dxa"/>
            <w:vAlign w:val="center"/>
          </w:tcPr>
          <w:p w14:paraId="38D50EBF">
            <w:pPr>
              <w:widowControl/>
              <w:autoSpaceDE w:val="0"/>
              <w:autoSpaceDN w:val="0"/>
              <w:ind w:firstLine="420"/>
              <w:jc w:val="center"/>
              <w:rPr>
                <w:b/>
                <w:bCs/>
                <w:szCs w:val="21"/>
              </w:rPr>
            </w:pPr>
            <w:r>
              <w:rPr>
                <w:b w:val="0"/>
                <w:bCs w:val="0"/>
              </w:rPr>
              <w:t>0.0127</w:t>
            </w:r>
            <w:r>
              <w:rPr>
                <w:rFonts w:hint="eastAsia"/>
                <w:b w:val="0"/>
                <w:bCs w:val="0"/>
                <w:vertAlign w:val="superscript"/>
              </w:rPr>
              <w:t>*</w:t>
            </w:r>
          </w:p>
        </w:tc>
      </w:tr>
      <w:tr w14:paraId="113AC873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7D335BD1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Nimotuzumab (yes vs. no)</w:t>
            </w:r>
          </w:p>
        </w:tc>
        <w:tc>
          <w:tcPr>
            <w:tcW w:w="3486" w:type="dxa"/>
            <w:vAlign w:val="center"/>
          </w:tcPr>
          <w:p w14:paraId="3656628D">
            <w:pPr>
              <w:widowControl/>
              <w:autoSpaceDE w:val="0"/>
              <w:autoSpaceDN w:val="0"/>
              <w:ind w:firstLine="420"/>
              <w:jc w:val="center"/>
              <w:rPr>
                <w:szCs w:val="21"/>
              </w:rPr>
            </w:pPr>
            <w:r>
              <w:t>1.12 (0.465-2.71)</w:t>
            </w:r>
          </w:p>
        </w:tc>
        <w:tc>
          <w:tcPr>
            <w:tcW w:w="1334" w:type="dxa"/>
            <w:vAlign w:val="center"/>
          </w:tcPr>
          <w:p w14:paraId="2B0F9E5B">
            <w:pPr>
              <w:widowControl/>
              <w:autoSpaceDE w:val="0"/>
              <w:autoSpaceDN w:val="0"/>
              <w:ind w:firstLine="420"/>
              <w:jc w:val="center"/>
              <w:rPr>
                <w:sz w:val="20"/>
                <w:szCs w:val="20"/>
              </w:rPr>
            </w:pPr>
            <w:r>
              <w:t>0.797</w:t>
            </w:r>
          </w:p>
        </w:tc>
      </w:tr>
      <w:tr w14:paraId="1EA91D38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tcBorders>
              <w:bottom w:val="single" w:color="000000" w:sz="12" w:space="0"/>
            </w:tcBorders>
            <w:vAlign w:val="center"/>
          </w:tcPr>
          <w:p w14:paraId="1728B0E2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Adjuvant chemotherapy (yes vs. no)</w:t>
            </w:r>
          </w:p>
        </w:tc>
        <w:tc>
          <w:tcPr>
            <w:tcW w:w="3486" w:type="dxa"/>
            <w:tcBorders>
              <w:bottom w:val="single" w:color="000000" w:sz="12" w:space="0"/>
            </w:tcBorders>
            <w:vAlign w:val="center"/>
          </w:tcPr>
          <w:p w14:paraId="0F167E0F">
            <w:pPr>
              <w:widowControl/>
              <w:autoSpaceDE w:val="0"/>
              <w:autoSpaceDN w:val="0"/>
              <w:ind w:firstLine="420"/>
              <w:jc w:val="center"/>
              <w:rPr>
                <w:szCs w:val="21"/>
              </w:rPr>
            </w:pPr>
            <w:r>
              <w:t>0.246 (0.0332-1.82)</w:t>
            </w:r>
          </w:p>
        </w:tc>
        <w:tc>
          <w:tcPr>
            <w:tcW w:w="1334" w:type="dxa"/>
            <w:tcBorders>
              <w:bottom w:val="single" w:color="000000" w:sz="12" w:space="0"/>
            </w:tcBorders>
            <w:vAlign w:val="center"/>
          </w:tcPr>
          <w:p w14:paraId="6CEEC283">
            <w:pPr>
              <w:widowControl/>
              <w:autoSpaceDE w:val="0"/>
              <w:autoSpaceDN w:val="0"/>
              <w:ind w:firstLine="420"/>
              <w:jc w:val="center"/>
              <w:rPr>
                <w:sz w:val="20"/>
                <w:szCs w:val="20"/>
              </w:rPr>
            </w:pPr>
            <w:r>
              <w:t>0.17</w:t>
            </w:r>
          </w:p>
        </w:tc>
      </w:tr>
    </w:tbl>
    <w:p w14:paraId="58D2AA1C">
      <w:pPr>
        <w:widowControl/>
        <w:ind w:firstLine="560" w:firstLineChars="200"/>
        <w:rPr>
          <w:sz w:val="28"/>
          <w:szCs w:val="28"/>
        </w:rPr>
      </w:pPr>
    </w:p>
    <w:p w14:paraId="24D4D9ED"/>
    <w:p w14:paraId="14B92634"/>
    <w:p w14:paraId="1DFB48D9"/>
    <w:p w14:paraId="4C2669E6"/>
    <w:p w14:paraId="78B977D0"/>
    <w:p w14:paraId="7E366FE7"/>
    <w:p w14:paraId="096FEF2D"/>
    <w:p w14:paraId="2637475F"/>
    <w:p w14:paraId="31B9DFEE"/>
    <w:p w14:paraId="42D06DD3"/>
    <w:p w14:paraId="5112129D"/>
    <w:tbl>
      <w:tblPr>
        <w:tblStyle w:val="15"/>
        <w:tblW w:w="8222" w:type="dxa"/>
        <w:tblInd w:w="0" w:type="dxa"/>
        <w:tblBorders>
          <w:top w:val="none" w:color="auto" w:sz="0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3"/>
        <w:gridCol w:w="3437"/>
        <w:gridCol w:w="1342"/>
      </w:tblGrid>
      <w:tr w14:paraId="4D10832A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222" w:type="dxa"/>
            <w:gridSpan w:val="3"/>
            <w:tcBorders>
              <w:bottom w:val="nil"/>
            </w:tcBorders>
          </w:tcPr>
          <w:p w14:paraId="3D60FE82">
            <w:pPr>
              <w:widowControl/>
              <w:autoSpaceDE w:val="0"/>
              <w:autoSpaceDN w:val="0"/>
              <w:jc w:val="center"/>
              <w:rPr>
                <w:rFonts w:eastAsia="楷体"/>
                <w:szCs w:val="21"/>
              </w:rPr>
            </w:pPr>
          </w:p>
        </w:tc>
      </w:tr>
      <w:tr w14:paraId="4F909A40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222" w:type="dxa"/>
            <w:gridSpan w:val="3"/>
            <w:tcBorders>
              <w:bottom w:val="single" w:color="000000" w:sz="12" w:space="0"/>
            </w:tcBorders>
          </w:tcPr>
          <w:p w14:paraId="0D84B61B">
            <w:pPr>
              <w:jc w:val="center"/>
              <w:rPr>
                <w:rFonts w:eastAsia="楷体"/>
                <w:szCs w:val="21"/>
              </w:rPr>
            </w:pPr>
            <w:r>
              <w:rPr>
                <w:rFonts w:eastAsia="楷体"/>
                <w:szCs w:val="21"/>
              </w:rPr>
              <w:t>Table 2. Multivariable Analyses for Oncologic Outcomes in Propensity Score-matched Cohort</w:t>
            </w:r>
          </w:p>
          <w:p w14:paraId="374AE71A">
            <w:pPr>
              <w:widowControl/>
              <w:autoSpaceDE w:val="0"/>
              <w:autoSpaceDN w:val="0"/>
              <w:jc w:val="center"/>
              <w:rPr>
                <w:rFonts w:eastAsia="楷体"/>
                <w:szCs w:val="21"/>
              </w:rPr>
            </w:pPr>
          </w:p>
        </w:tc>
      </w:tr>
      <w:tr w14:paraId="05218A34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443" w:type="dxa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 w14:paraId="797A5FDD">
            <w:pPr>
              <w:widowControl/>
              <w:jc w:val="center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Variable</w:t>
            </w:r>
          </w:p>
        </w:tc>
        <w:tc>
          <w:tcPr>
            <w:tcW w:w="3437" w:type="dxa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 w14:paraId="66BCA096">
            <w:pPr>
              <w:widowControl/>
              <w:jc w:val="center"/>
              <w:rPr>
                <w:szCs w:val="21"/>
              </w:rPr>
            </w:pPr>
            <w:r>
              <w:rPr>
                <w:b/>
                <w:bCs/>
                <w:szCs w:val="21"/>
              </w:rPr>
              <w:t>HR (95% CI）</w:t>
            </w:r>
          </w:p>
        </w:tc>
        <w:tc>
          <w:tcPr>
            <w:tcW w:w="1342" w:type="dxa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 w14:paraId="6D698BB5">
            <w:pPr>
              <w:widowControl/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P</w:t>
            </w:r>
            <w:r>
              <w:rPr>
                <w:b/>
                <w:bCs/>
                <w:szCs w:val="21"/>
              </w:rPr>
              <w:t xml:space="preserve"> value</w:t>
            </w:r>
          </w:p>
        </w:tc>
      </w:tr>
      <w:tr w14:paraId="0370FEA8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tcBorders>
              <w:top w:val="single" w:color="000000" w:sz="6" w:space="0"/>
            </w:tcBorders>
            <w:vAlign w:val="center"/>
          </w:tcPr>
          <w:p w14:paraId="72BFB2A5">
            <w:pPr>
              <w:widowControl/>
              <w:jc w:val="left"/>
              <w:rPr>
                <w:szCs w:val="21"/>
              </w:rPr>
            </w:pPr>
            <w:r>
              <w:rPr>
                <w:b/>
                <w:bCs/>
                <w:szCs w:val="21"/>
              </w:rPr>
              <w:t>Overall survival</w:t>
            </w:r>
          </w:p>
        </w:tc>
        <w:tc>
          <w:tcPr>
            <w:tcW w:w="3437" w:type="dxa"/>
            <w:tcBorders>
              <w:top w:val="single" w:color="000000" w:sz="6" w:space="0"/>
            </w:tcBorders>
            <w:vAlign w:val="center"/>
          </w:tcPr>
          <w:p w14:paraId="3F356844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342" w:type="dxa"/>
            <w:tcBorders>
              <w:top w:val="single" w:color="000000" w:sz="6" w:space="0"/>
            </w:tcBorders>
            <w:vAlign w:val="center"/>
          </w:tcPr>
          <w:p w14:paraId="7EEDCA26">
            <w:pPr>
              <w:widowControl/>
              <w:jc w:val="left"/>
              <w:rPr>
                <w:szCs w:val="21"/>
              </w:rPr>
            </w:pPr>
          </w:p>
        </w:tc>
      </w:tr>
      <w:tr w14:paraId="457B4E93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20E62769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Sex (male vs. female)</w:t>
            </w:r>
          </w:p>
        </w:tc>
        <w:tc>
          <w:tcPr>
            <w:tcW w:w="3437" w:type="dxa"/>
          </w:tcPr>
          <w:p w14:paraId="38829959">
            <w:pPr>
              <w:widowControl/>
              <w:ind w:firstLine="420"/>
              <w:jc w:val="center"/>
              <w:rPr>
                <w:szCs w:val="21"/>
              </w:rPr>
            </w:pPr>
            <w:r>
              <w:t>1.23 (0.36-4.13)</w:t>
            </w:r>
          </w:p>
        </w:tc>
        <w:tc>
          <w:tcPr>
            <w:tcW w:w="1342" w:type="dxa"/>
          </w:tcPr>
          <w:p w14:paraId="0541B9A3">
            <w:pPr>
              <w:widowControl/>
              <w:ind w:firstLine="420"/>
              <w:jc w:val="center"/>
              <w:rPr>
                <w:szCs w:val="21"/>
              </w:rPr>
            </w:pPr>
            <w:r>
              <w:t>0.743</w:t>
            </w:r>
          </w:p>
        </w:tc>
      </w:tr>
      <w:tr w14:paraId="2A6F8F26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26822543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Age at diagnosis (&lt;50 vs. ≥50)</w:t>
            </w:r>
          </w:p>
        </w:tc>
        <w:tc>
          <w:tcPr>
            <w:tcW w:w="3437" w:type="dxa"/>
          </w:tcPr>
          <w:p w14:paraId="69DC363B">
            <w:pPr>
              <w:widowControl/>
              <w:ind w:firstLine="422"/>
              <w:jc w:val="center"/>
              <w:rPr>
                <w:szCs w:val="21"/>
              </w:rPr>
            </w:pPr>
            <w:r>
              <w:t>0.85 (0.16-4.59)</w:t>
            </w:r>
          </w:p>
        </w:tc>
        <w:tc>
          <w:tcPr>
            <w:tcW w:w="1342" w:type="dxa"/>
          </w:tcPr>
          <w:p w14:paraId="40196CCB">
            <w:pPr>
              <w:widowControl/>
              <w:ind w:firstLine="422"/>
              <w:jc w:val="center"/>
              <w:rPr>
                <w:b/>
                <w:bCs/>
                <w:szCs w:val="21"/>
              </w:rPr>
            </w:pPr>
            <w:r>
              <w:t>0.853</w:t>
            </w:r>
          </w:p>
        </w:tc>
      </w:tr>
      <w:tr w14:paraId="5FF8B9F2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14D371C2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Comorbidities (yes vs. no)</w:t>
            </w:r>
          </w:p>
        </w:tc>
        <w:tc>
          <w:tcPr>
            <w:tcW w:w="3437" w:type="dxa"/>
          </w:tcPr>
          <w:p w14:paraId="0EBFE7DC">
            <w:pPr>
              <w:widowControl/>
              <w:ind w:firstLine="422"/>
              <w:jc w:val="center"/>
              <w:rPr>
                <w:b/>
                <w:bCs/>
                <w:szCs w:val="21"/>
              </w:rPr>
            </w:pPr>
            <w:r>
              <w:t>1.44 (0.42-5)</w:t>
            </w:r>
          </w:p>
        </w:tc>
        <w:tc>
          <w:tcPr>
            <w:tcW w:w="1342" w:type="dxa"/>
          </w:tcPr>
          <w:p w14:paraId="732EA83A">
            <w:pPr>
              <w:widowControl/>
              <w:ind w:firstLine="422"/>
              <w:jc w:val="center"/>
              <w:rPr>
                <w:b/>
                <w:bCs/>
                <w:szCs w:val="21"/>
              </w:rPr>
            </w:pPr>
            <w:r>
              <w:t>0.563</w:t>
            </w:r>
          </w:p>
        </w:tc>
      </w:tr>
      <w:tr w14:paraId="24564D2B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640262F0">
            <w:pPr>
              <w:widowControl/>
              <w:ind w:firstLine="420" w:firstLineChars="200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T </w:t>
            </w:r>
            <w:r>
              <w:rPr>
                <w:rFonts w:eastAsia="楷体"/>
                <w:szCs w:val="21"/>
              </w:rPr>
              <w:t>stage</w:t>
            </w:r>
            <w:r>
              <w:rPr>
                <w:szCs w:val="21"/>
              </w:rPr>
              <w:t xml:space="preserve"> (T1-2 </w:t>
            </w:r>
            <w:r>
              <w:rPr>
                <w:i/>
                <w:iCs/>
                <w:szCs w:val="21"/>
              </w:rPr>
              <w:t>vs</w:t>
            </w:r>
            <w:r>
              <w:rPr>
                <w:szCs w:val="21"/>
              </w:rPr>
              <w:t>. T3-4）</w:t>
            </w:r>
          </w:p>
        </w:tc>
        <w:tc>
          <w:tcPr>
            <w:tcW w:w="3437" w:type="dxa"/>
          </w:tcPr>
          <w:p w14:paraId="4A9A6BDA">
            <w:pPr>
              <w:widowControl/>
              <w:ind w:firstLine="420"/>
              <w:jc w:val="center"/>
              <w:rPr>
                <w:szCs w:val="21"/>
              </w:rPr>
            </w:pPr>
            <w:r>
              <w:t>8.78 (0.96-80.06)</w:t>
            </w:r>
          </w:p>
        </w:tc>
        <w:tc>
          <w:tcPr>
            <w:tcW w:w="1342" w:type="dxa"/>
          </w:tcPr>
          <w:p w14:paraId="21285BCB">
            <w:pPr>
              <w:widowControl/>
              <w:ind w:firstLine="420"/>
              <w:jc w:val="center"/>
              <w:rPr>
                <w:szCs w:val="21"/>
              </w:rPr>
            </w:pPr>
            <w:r>
              <w:t>0.054</w:t>
            </w:r>
          </w:p>
        </w:tc>
      </w:tr>
      <w:tr w14:paraId="64646DB4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1DDB3CF8">
            <w:pPr>
              <w:widowControl/>
              <w:ind w:firstLine="420" w:firstLineChars="200"/>
              <w:jc w:val="left"/>
              <w:rPr>
                <w:szCs w:val="21"/>
                <w:lang w:val="pt-BR"/>
              </w:rPr>
            </w:pPr>
            <w:r>
              <w:rPr>
                <w:szCs w:val="21"/>
                <w:lang w:val="pt-BR"/>
              </w:rPr>
              <w:t xml:space="preserve">N </w:t>
            </w:r>
            <w:r>
              <w:rPr>
                <w:rFonts w:eastAsia="楷体"/>
                <w:szCs w:val="21"/>
                <w:lang w:val="pt-BR"/>
              </w:rPr>
              <w:t>stage</w:t>
            </w:r>
            <w:r>
              <w:rPr>
                <w:szCs w:val="21"/>
                <w:lang w:val="pt-BR"/>
              </w:rPr>
              <w:t xml:space="preserve"> (N0-1 </w:t>
            </w:r>
            <w:r>
              <w:rPr>
                <w:i/>
                <w:iCs/>
                <w:szCs w:val="21"/>
                <w:lang w:val="pt-BR"/>
              </w:rPr>
              <w:t>vs</w:t>
            </w:r>
            <w:r>
              <w:rPr>
                <w:szCs w:val="21"/>
                <w:lang w:val="pt-BR"/>
              </w:rPr>
              <w:t>. N2-3）</w:t>
            </w:r>
          </w:p>
        </w:tc>
        <w:tc>
          <w:tcPr>
            <w:tcW w:w="3437" w:type="dxa"/>
          </w:tcPr>
          <w:p w14:paraId="7EBEC178">
            <w:pPr>
              <w:widowControl/>
              <w:ind w:firstLine="420"/>
              <w:jc w:val="center"/>
              <w:rPr>
                <w:szCs w:val="21"/>
              </w:rPr>
            </w:pPr>
            <w:r>
              <w:t>0.43 (0.11-1.7)</w:t>
            </w:r>
          </w:p>
        </w:tc>
        <w:tc>
          <w:tcPr>
            <w:tcW w:w="1342" w:type="dxa"/>
          </w:tcPr>
          <w:p w14:paraId="77110E74">
            <w:pPr>
              <w:widowControl/>
              <w:ind w:firstLine="420"/>
              <w:jc w:val="center"/>
              <w:rPr>
                <w:szCs w:val="21"/>
              </w:rPr>
            </w:pPr>
            <w:r>
              <w:t>0.23</w:t>
            </w:r>
          </w:p>
        </w:tc>
      </w:tr>
      <w:tr w14:paraId="4FDAD059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7BD16C14">
            <w:pPr>
              <w:widowControl/>
              <w:ind w:firstLine="420" w:firstLineChars="200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TNM </w:t>
            </w:r>
            <w:r>
              <w:rPr>
                <w:rFonts w:eastAsia="楷体"/>
                <w:szCs w:val="21"/>
              </w:rPr>
              <w:t>stage</w:t>
            </w:r>
            <w:r>
              <w:rPr>
                <w:szCs w:val="21"/>
              </w:rPr>
              <w:t xml:space="preserve"> (Ⅱ-Ⅲ </w:t>
            </w:r>
            <w:r>
              <w:rPr>
                <w:i/>
                <w:iCs/>
                <w:szCs w:val="21"/>
              </w:rPr>
              <w:t>vs</w:t>
            </w:r>
            <w:r>
              <w:rPr>
                <w:szCs w:val="21"/>
              </w:rPr>
              <w:t xml:space="preserve">. </w:t>
            </w:r>
            <w:r>
              <w:rPr>
                <w:color w:val="000000"/>
                <w:szCs w:val="21"/>
                <w:shd w:val="clear" w:color="auto" w:fill="FFFFFF"/>
              </w:rPr>
              <w:t>Ⅳ</w:t>
            </w:r>
            <w:r>
              <w:rPr>
                <w:szCs w:val="21"/>
              </w:rPr>
              <w:t>a）</w:t>
            </w:r>
          </w:p>
        </w:tc>
        <w:tc>
          <w:tcPr>
            <w:tcW w:w="3437" w:type="dxa"/>
          </w:tcPr>
          <w:p w14:paraId="2C2C255E">
            <w:pPr>
              <w:widowControl/>
              <w:ind w:firstLine="420"/>
              <w:jc w:val="center"/>
              <w:rPr>
                <w:szCs w:val="21"/>
              </w:rPr>
            </w:pPr>
            <w:r>
              <w:t>1.44 (0.41-5.1)</w:t>
            </w:r>
          </w:p>
        </w:tc>
        <w:tc>
          <w:tcPr>
            <w:tcW w:w="1342" w:type="dxa"/>
          </w:tcPr>
          <w:p w14:paraId="34A2426B">
            <w:pPr>
              <w:widowControl/>
              <w:ind w:firstLine="420"/>
              <w:jc w:val="center"/>
              <w:rPr>
                <w:szCs w:val="21"/>
              </w:rPr>
            </w:pPr>
            <w:r>
              <w:t>0.569</w:t>
            </w:r>
          </w:p>
        </w:tc>
      </w:tr>
      <w:tr w14:paraId="1CE4E967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1877B921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Virus infection (yes vs. no)</w:t>
            </w:r>
          </w:p>
        </w:tc>
        <w:tc>
          <w:tcPr>
            <w:tcW w:w="3437" w:type="dxa"/>
          </w:tcPr>
          <w:p w14:paraId="4405F5D0">
            <w:pPr>
              <w:widowControl/>
              <w:ind w:firstLine="420"/>
              <w:jc w:val="center"/>
              <w:rPr>
                <w:szCs w:val="21"/>
              </w:rPr>
            </w:pPr>
            <w:r>
              <w:t>1.31 (0.31-5.62)</w:t>
            </w:r>
          </w:p>
        </w:tc>
        <w:tc>
          <w:tcPr>
            <w:tcW w:w="1342" w:type="dxa"/>
          </w:tcPr>
          <w:p w14:paraId="33B409B3">
            <w:pPr>
              <w:widowControl/>
              <w:ind w:firstLine="420"/>
              <w:jc w:val="center"/>
              <w:rPr>
                <w:szCs w:val="21"/>
              </w:rPr>
            </w:pPr>
            <w:r>
              <w:t>0.716</w:t>
            </w:r>
          </w:p>
        </w:tc>
      </w:tr>
      <w:tr w14:paraId="624F063E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14DAD1F0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Induction chemotherapy (yes vs. no)</w:t>
            </w:r>
          </w:p>
        </w:tc>
        <w:tc>
          <w:tcPr>
            <w:tcW w:w="3437" w:type="dxa"/>
          </w:tcPr>
          <w:p w14:paraId="29B49C89">
            <w:pPr>
              <w:widowControl/>
              <w:ind w:firstLine="422"/>
              <w:jc w:val="center"/>
              <w:rPr>
                <w:szCs w:val="21"/>
              </w:rPr>
            </w:pPr>
            <w:r>
              <w:t>0.33 (0.06-1.85)</w:t>
            </w:r>
          </w:p>
        </w:tc>
        <w:tc>
          <w:tcPr>
            <w:tcW w:w="1342" w:type="dxa"/>
          </w:tcPr>
          <w:p w14:paraId="10E5FE07">
            <w:pPr>
              <w:widowControl/>
              <w:ind w:firstLine="422"/>
              <w:jc w:val="center"/>
              <w:rPr>
                <w:b/>
                <w:bCs/>
                <w:szCs w:val="21"/>
              </w:rPr>
            </w:pPr>
            <w:r>
              <w:t>0.207</w:t>
            </w:r>
          </w:p>
        </w:tc>
      </w:tr>
      <w:tr w14:paraId="1CB821F9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0CAF5F1B">
            <w:pPr>
              <w:widowControl/>
              <w:ind w:firstLine="360" w:firstLineChars="200"/>
              <w:jc w:val="left"/>
              <w:rPr>
                <w:rFonts w:eastAsia="Segoe UI"/>
                <w:sz w:val="18"/>
                <w:szCs w:val="18"/>
                <w:shd w:val="clear" w:color="auto" w:fill="FFFFFF"/>
              </w:rPr>
            </w:pPr>
            <w:r>
              <w:rPr>
                <w:rFonts w:eastAsia="Segoe UI"/>
                <w:sz w:val="18"/>
                <w:szCs w:val="18"/>
                <w:shd w:val="clear" w:color="auto" w:fill="FFFFFF"/>
              </w:rPr>
              <w:t>Concurrent chemotherapy  yes vs. no)</w:t>
            </w:r>
          </w:p>
          <w:p w14:paraId="3EE03579">
            <w:pPr>
              <w:widowControl/>
              <w:shd w:val="clear" w:color="auto" w:fill="FFFFFF"/>
              <w:spacing w:before="144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编辑</w:t>
            </w:r>
          </w:p>
          <w:p w14:paraId="3A70324F">
            <w:pPr>
              <w:widowControl/>
              <w:shd w:val="clear" w:color="auto" w:fill="FFFFFF"/>
              <w:spacing w:before="144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分享</w:t>
            </w:r>
          </w:p>
          <w:p w14:paraId="7D46C1E2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诱导化疗和同期化疗有什么区别？</w:t>
            </w:r>
          </w:p>
          <w:p w14:paraId="1E88FC5B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放疗联合同期化疗的英文是什么？</w:t>
            </w:r>
          </w:p>
          <w:p w14:paraId="0845EF47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根治性化疗</w:t>
            </w:r>
            <w:r>
              <w:rPr>
                <w:rFonts w:eastAsia="var(--s-font-base)"/>
                <w:color w:val="1C1F23"/>
                <w:kern w:val="0"/>
                <w:sz w:val="16"/>
                <w:szCs w:val="16"/>
                <w:shd w:val="clear" w:color="auto" w:fill="FFFFFF"/>
              </w:rPr>
              <w:t xml:space="preserve"> (</w:t>
            </w: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是</w:t>
            </w:r>
            <w:r>
              <w:rPr>
                <w:rFonts w:eastAsia="var(--s-font-base)"/>
                <w:color w:val="1C1F23"/>
                <w:kern w:val="0"/>
                <w:sz w:val="16"/>
                <w:szCs w:val="16"/>
                <w:shd w:val="clear" w:color="auto" w:fill="FFFFFF"/>
              </w:rPr>
              <w:t xml:space="preserve"> vs. </w:t>
            </w: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否）的英文翻译是什么？</w:t>
            </w:r>
          </w:p>
          <w:p w14:paraId="7DF91D74">
            <w:pPr>
              <w:widowControl/>
              <w:shd w:val="clear" w:color="auto" w:fill="FFFFFF"/>
              <w:jc w:val="left"/>
              <w:rPr>
                <w:rFonts w:eastAsia="Segoe UI"/>
                <w:color w:val="1C1F23"/>
                <w:sz w:val="27"/>
                <w:szCs w:val="27"/>
              </w:rPr>
            </w:pPr>
          </w:p>
          <w:p w14:paraId="58EBE0DA">
            <w:pPr>
              <w:widowControl/>
              <w:ind w:firstLine="420" w:firstLineChars="200"/>
              <w:jc w:val="left"/>
              <w:rPr>
                <w:szCs w:val="21"/>
              </w:rPr>
            </w:pPr>
          </w:p>
        </w:tc>
        <w:tc>
          <w:tcPr>
            <w:tcW w:w="3437" w:type="dxa"/>
          </w:tcPr>
          <w:p w14:paraId="6C1DF2D2">
            <w:pPr>
              <w:widowControl/>
              <w:ind w:firstLine="420"/>
              <w:jc w:val="center"/>
              <w:rPr>
                <w:b/>
                <w:bCs/>
                <w:szCs w:val="21"/>
              </w:rPr>
            </w:pPr>
            <w:r>
              <w:t>0.51 (0.14-1.88)</w:t>
            </w:r>
          </w:p>
        </w:tc>
        <w:tc>
          <w:tcPr>
            <w:tcW w:w="1342" w:type="dxa"/>
          </w:tcPr>
          <w:p w14:paraId="53F94425">
            <w:pPr>
              <w:widowControl/>
              <w:ind w:firstLine="420"/>
              <w:jc w:val="center"/>
              <w:rPr>
                <w:szCs w:val="21"/>
              </w:rPr>
            </w:pPr>
            <w:r>
              <w:t>0.314</w:t>
            </w:r>
          </w:p>
        </w:tc>
      </w:tr>
      <w:tr w14:paraId="32AE8149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5EFC21D3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Nimotuzumab (yes vs. no)</w:t>
            </w:r>
          </w:p>
        </w:tc>
        <w:tc>
          <w:tcPr>
            <w:tcW w:w="3437" w:type="dxa"/>
          </w:tcPr>
          <w:p w14:paraId="09AA89BA">
            <w:pPr>
              <w:widowControl/>
              <w:ind w:firstLine="420"/>
              <w:jc w:val="center"/>
              <w:rPr>
                <w:szCs w:val="21"/>
              </w:rPr>
            </w:pPr>
            <w:r>
              <w:t>1.72 (0.43-6.86)</w:t>
            </w:r>
          </w:p>
        </w:tc>
        <w:tc>
          <w:tcPr>
            <w:tcW w:w="1342" w:type="dxa"/>
          </w:tcPr>
          <w:p w14:paraId="6E725186">
            <w:pPr>
              <w:widowControl/>
              <w:ind w:firstLine="420"/>
              <w:jc w:val="center"/>
              <w:rPr>
                <w:szCs w:val="21"/>
              </w:rPr>
            </w:pPr>
            <w:r>
              <w:t>0.442</w:t>
            </w:r>
          </w:p>
        </w:tc>
      </w:tr>
      <w:tr w14:paraId="62999B32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6BA28DE1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Adjuvant chemotherapy (yes vs. no)</w:t>
            </w:r>
          </w:p>
        </w:tc>
        <w:tc>
          <w:tcPr>
            <w:tcW w:w="3437" w:type="dxa"/>
          </w:tcPr>
          <w:p w14:paraId="5629F210">
            <w:pPr>
              <w:widowControl/>
              <w:ind w:firstLine="420"/>
              <w:jc w:val="center"/>
              <w:rPr>
                <w:szCs w:val="21"/>
              </w:rPr>
            </w:pPr>
            <w:r>
              <w:t>0.37 (0.05-2.92)</w:t>
            </w:r>
          </w:p>
        </w:tc>
        <w:tc>
          <w:tcPr>
            <w:tcW w:w="1342" w:type="dxa"/>
          </w:tcPr>
          <w:p w14:paraId="22383D6F">
            <w:pPr>
              <w:widowControl/>
              <w:ind w:firstLine="420"/>
              <w:jc w:val="center"/>
              <w:rPr>
                <w:szCs w:val="21"/>
              </w:rPr>
            </w:pPr>
            <w:r>
              <w:t>0.343</w:t>
            </w:r>
          </w:p>
        </w:tc>
      </w:tr>
      <w:tr w14:paraId="29E827FD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39E3BF21">
            <w:pPr>
              <w:widowControl/>
              <w:jc w:val="left"/>
              <w:rPr>
                <w:szCs w:val="21"/>
              </w:rPr>
            </w:pPr>
            <w:r>
              <w:rPr>
                <w:b/>
                <w:bCs/>
                <w:szCs w:val="21"/>
              </w:rPr>
              <w:t>Progression-free surviva</w:t>
            </w:r>
            <w:r>
              <w:rPr>
                <w:szCs w:val="21"/>
              </w:rPr>
              <w:t>l</w:t>
            </w:r>
          </w:p>
        </w:tc>
        <w:tc>
          <w:tcPr>
            <w:tcW w:w="3437" w:type="dxa"/>
            <w:vAlign w:val="center"/>
          </w:tcPr>
          <w:p w14:paraId="71283964">
            <w:pPr>
              <w:widowControl/>
              <w:ind w:firstLine="420"/>
              <w:jc w:val="center"/>
              <w:rPr>
                <w:szCs w:val="21"/>
              </w:rPr>
            </w:pPr>
          </w:p>
        </w:tc>
        <w:tc>
          <w:tcPr>
            <w:tcW w:w="1342" w:type="dxa"/>
            <w:vAlign w:val="center"/>
          </w:tcPr>
          <w:p w14:paraId="2F2E9A74">
            <w:pPr>
              <w:widowControl/>
              <w:ind w:firstLine="420"/>
              <w:jc w:val="center"/>
              <w:rPr>
                <w:szCs w:val="21"/>
              </w:rPr>
            </w:pPr>
          </w:p>
        </w:tc>
      </w:tr>
      <w:tr w14:paraId="73FE8818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4A52D234">
            <w:pPr>
              <w:widowControl/>
              <w:ind w:firstLine="380" w:firstLineChars="200"/>
              <w:jc w:val="left"/>
              <w:rPr>
                <w:b/>
                <w:bCs/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Sex (male vs. female)</w:t>
            </w:r>
          </w:p>
        </w:tc>
        <w:tc>
          <w:tcPr>
            <w:tcW w:w="3437" w:type="dxa"/>
          </w:tcPr>
          <w:p w14:paraId="6656DEB1">
            <w:pPr>
              <w:widowControl/>
              <w:ind w:firstLine="420"/>
              <w:jc w:val="center"/>
              <w:rPr>
                <w:szCs w:val="21"/>
              </w:rPr>
            </w:pPr>
            <w:r>
              <w:t>0.78 (0.39-1.53)</w:t>
            </w:r>
          </w:p>
        </w:tc>
        <w:tc>
          <w:tcPr>
            <w:tcW w:w="1342" w:type="dxa"/>
          </w:tcPr>
          <w:p w14:paraId="2DAA2948">
            <w:pPr>
              <w:widowControl/>
              <w:ind w:firstLine="420"/>
              <w:jc w:val="center"/>
              <w:rPr>
                <w:szCs w:val="21"/>
              </w:rPr>
            </w:pPr>
            <w:r>
              <w:t>0.464</w:t>
            </w:r>
          </w:p>
        </w:tc>
      </w:tr>
      <w:tr w14:paraId="50A37B3C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06B7F1DD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Age at diagnosis (&lt;50 vs. ≥50)</w:t>
            </w:r>
          </w:p>
        </w:tc>
        <w:tc>
          <w:tcPr>
            <w:tcW w:w="3437" w:type="dxa"/>
          </w:tcPr>
          <w:p w14:paraId="59C6698D">
            <w:pPr>
              <w:widowControl/>
              <w:ind w:firstLine="420"/>
              <w:jc w:val="center"/>
              <w:rPr>
                <w:szCs w:val="21"/>
              </w:rPr>
            </w:pPr>
            <w:r>
              <w:t>1.03 (0.44-2.42)</w:t>
            </w:r>
          </w:p>
        </w:tc>
        <w:tc>
          <w:tcPr>
            <w:tcW w:w="1342" w:type="dxa"/>
          </w:tcPr>
          <w:p w14:paraId="2BCC1DE4">
            <w:pPr>
              <w:widowControl/>
              <w:ind w:firstLine="420"/>
              <w:jc w:val="center"/>
              <w:rPr>
                <w:szCs w:val="21"/>
              </w:rPr>
            </w:pPr>
            <w:r>
              <w:t>0.943</w:t>
            </w:r>
          </w:p>
        </w:tc>
      </w:tr>
      <w:tr w14:paraId="782BCFAD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2ABB8A9C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Comorbidities (yes vs. no)</w:t>
            </w:r>
          </w:p>
        </w:tc>
        <w:tc>
          <w:tcPr>
            <w:tcW w:w="3437" w:type="dxa"/>
          </w:tcPr>
          <w:p w14:paraId="77C14608">
            <w:pPr>
              <w:widowControl/>
              <w:ind w:firstLine="420"/>
              <w:jc w:val="center"/>
              <w:rPr>
                <w:szCs w:val="21"/>
              </w:rPr>
            </w:pPr>
            <w:r>
              <w:t>0.78 (0.37-1.68)</w:t>
            </w:r>
          </w:p>
        </w:tc>
        <w:tc>
          <w:tcPr>
            <w:tcW w:w="1342" w:type="dxa"/>
          </w:tcPr>
          <w:p w14:paraId="4CA8860F">
            <w:pPr>
              <w:widowControl/>
              <w:ind w:firstLine="420"/>
              <w:jc w:val="center"/>
              <w:rPr>
                <w:szCs w:val="21"/>
              </w:rPr>
            </w:pPr>
            <w:r>
              <w:t>0.534</w:t>
            </w:r>
          </w:p>
        </w:tc>
      </w:tr>
      <w:tr w14:paraId="1A6BD539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43CB2512">
            <w:pPr>
              <w:widowControl/>
              <w:ind w:firstLine="420" w:firstLineChars="200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T </w:t>
            </w:r>
            <w:r>
              <w:rPr>
                <w:rFonts w:eastAsia="楷体"/>
                <w:szCs w:val="21"/>
              </w:rPr>
              <w:t>stage</w:t>
            </w:r>
            <w:r>
              <w:rPr>
                <w:szCs w:val="21"/>
              </w:rPr>
              <w:t xml:space="preserve"> (T1-2 </w:t>
            </w:r>
            <w:r>
              <w:rPr>
                <w:i/>
                <w:iCs/>
                <w:szCs w:val="21"/>
              </w:rPr>
              <w:t>vs</w:t>
            </w:r>
            <w:r>
              <w:rPr>
                <w:szCs w:val="21"/>
              </w:rPr>
              <w:t>. T3-4）</w:t>
            </w:r>
          </w:p>
        </w:tc>
        <w:tc>
          <w:tcPr>
            <w:tcW w:w="3437" w:type="dxa"/>
          </w:tcPr>
          <w:p w14:paraId="6359FBE1">
            <w:pPr>
              <w:widowControl/>
              <w:ind w:firstLine="420"/>
              <w:jc w:val="center"/>
              <w:rPr>
                <w:szCs w:val="21"/>
              </w:rPr>
            </w:pPr>
            <w:r>
              <w:t>0.8 (0.39-1.64)</w:t>
            </w:r>
          </w:p>
        </w:tc>
        <w:tc>
          <w:tcPr>
            <w:tcW w:w="1342" w:type="dxa"/>
          </w:tcPr>
          <w:p w14:paraId="0E20C680">
            <w:pPr>
              <w:widowControl/>
              <w:ind w:firstLine="420"/>
              <w:jc w:val="center"/>
              <w:rPr>
                <w:szCs w:val="21"/>
              </w:rPr>
            </w:pPr>
            <w:r>
              <w:t>0.547</w:t>
            </w:r>
          </w:p>
        </w:tc>
      </w:tr>
      <w:tr w14:paraId="4F4193A1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35DFB271">
            <w:pPr>
              <w:widowControl/>
              <w:ind w:firstLine="420" w:firstLineChars="200"/>
              <w:jc w:val="left"/>
              <w:rPr>
                <w:szCs w:val="21"/>
                <w:lang w:val="pt-BR"/>
              </w:rPr>
            </w:pPr>
            <w:r>
              <w:rPr>
                <w:szCs w:val="21"/>
                <w:lang w:val="pt-BR"/>
              </w:rPr>
              <w:t xml:space="preserve">N </w:t>
            </w:r>
            <w:r>
              <w:rPr>
                <w:rFonts w:eastAsia="楷体"/>
                <w:szCs w:val="21"/>
                <w:lang w:val="pt-BR"/>
              </w:rPr>
              <w:t>stage</w:t>
            </w:r>
            <w:r>
              <w:rPr>
                <w:szCs w:val="21"/>
                <w:lang w:val="pt-BR"/>
              </w:rPr>
              <w:t xml:space="preserve"> (N0-1 </w:t>
            </w:r>
            <w:r>
              <w:rPr>
                <w:i/>
                <w:iCs/>
                <w:szCs w:val="21"/>
                <w:lang w:val="pt-BR"/>
              </w:rPr>
              <w:t>vs</w:t>
            </w:r>
            <w:r>
              <w:rPr>
                <w:szCs w:val="21"/>
                <w:lang w:val="pt-BR"/>
              </w:rPr>
              <w:t>. N2-3）</w:t>
            </w:r>
          </w:p>
        </w:tc>
        <w:tc>
          <w:tcPr>
            <w:tcW w:w="3437" w:type="dxa"/>
          </w:tcPr>
          <w:p w14:paraId="61CD5E82">
            <w:pPr>
              <w:widowControl/>
              <w:ind w:firstLine="422"/>
              <w:jc w:val="center"/>
              <w:rPr>
                <w:szCs w:val="21"/>
              </w:rPr>
            </w:pPr>
            <w:r>
              <w:t>0.97 (0.39-2.4)</w:t>
            </w:r>
          </w:p>
        </w:tc>
        <w:tc>
          <w:tcPr>
            <w:tcW w:w="1342" w:type="dxa"/>
          </w:tcPr>
          <w:p w14:paraId="1EAF89AE">
            <w:pPr>
              <w:widowControl/>
              <w:ind w:firstLine="422"/>
              <w:jc w:val="center"/>
              <w:rPr>
                <w:b/>
                <w:bCs/>
                <w:szCs w:val="21"/>
              </w:rPr>
            </w:pPr>
            <w:r>
              <w:t>0.953</w:t>
            </w:r>
          </w:p>
        </w:tc>
      </w:tr>
      <w:tr w14:paraId="40A45680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21C962E7">
            <w:pPr>
              <w:widowControl/>
              <w:ind w:firstLine="420" w:firstLineChars="200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TNM </w:t>
            </w:r>
            <w:r>
              <w:rPr>
                <w:rFonts w:eastAsia="楷体"/>
                <w:szCs w:val="21"/>
              </w:rPr>
              <w:t>stage</w:t>
            </w:r>
            <w:r>
              <w:rPr>
                <w:szCs w:val="21"/>
              </w:rPr>
              <w:t xml:space="preserve"> (Ⅱ-Ⅲ </w:t>
            </w:r>
            <w:r>
              <w:rPr>
                <w:i/>
                <w:iCs/>
                <w:szCs w:val="21"/>
              </w:rPr>
              <w:t>vs</w:t>
            </w:r>
            <w:r>
              <w:rPr>
                <w:szCs w:val="21"/>
              </w:rPr>
              <w:t xml:space="preserve">. </w:t>
            </w:r>
            <w:r>
              <w:rPr>
                <w:color w:val="000000"/>
                <w:szCs w:val="21"/>
                <w:shd w:val="clear" w:color="auto" w:fill="FFFFFF"/>
              </w:rPr>
              <w:t>Ⅳ</w:t>
            </w:r>
            <w:r>
              <w:rPr>
                <w:szCs w:val="21"/>
              </w:rPr>
              <w:t>a）</w:t>
            </w:r>
          </w:p>
        </w:tc>
        <w:tc>
          <w:tcPr>
            <w:tcW w:w="3437" w:type="dxa"/>
          </w:tcPr>
          <w:p w14:paraId="45E40279">
            <w:pPr>
              <w:widowControl/>
              <w:ind w:firstLine="420"/>
              <w:jc w:val="center"/>
              <w:rPr>
                <w:b/>
                <w:bCs/>
                <w:szCs w:val="21"/>
              </w:rPr>
            </w:pPr>
            <w:r>
              <w:t>2 (0.97-4.12)</w:t>
            </w:r>
          </w:p>
        </w:tc>
        <w:tc>
          <w:tcPr>
            <w:tcW w:w="1342" w:type="dxa"/>
          </w:tcPr>
          <w:p w14:paraId="573FAB88">
            <w:pPr>
              <w:widowControl/>
              <w:ind w:firstLine="420"/>
              <w:jc w:val="center"/>
              <w:rPr>
                <w:szCs w:val="21"/>
              </w:rPr>
            </w:pPr>
            <w:r>
              <w:t>0.061</w:t>
            </w:r>
          </w:p>
        </w:tc>
      </w:tr>
      <w:tr w14:paraId="0ACA24A1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7B973B06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Virus infection  (yes vs. no)</w:t>
            </w:r>
          </w:p>
        </w:tc>
        <w:tc>
          <w:tcPr>
            <w:tcW w:w="3437" w:type="dxa"/>
          </w:tcPr>
          <w:p w14:paraId="73C03CCD">
            <w:pPr>
              <w:widowControl/>
              <w:ind w:firstLine="420"/>
              <w:jc w:val="center"/>
              <w:rPr>
                <w:szCs w:val="21"/>
              </w:rPr>
            </w:pPr>
            <w:r>
              <w:t>1.2 (0.56-2.58)</w:t>
            </w:r>
          </w:p>
        </w:tc>
        <w:tc>
          <w:tcPr>
            <w:tcW w:w="1342" w:type="dxa"/>
          </w:tcPr>
          <w:p w14:paraId="30E98CC5">
            <w:pPr>
              <w:widowControl/>
              <w:ind w:firstLine="420"/>
              <w:jc w:val="center"/>
              <w:rPr>
                <w:szCs w:val="21"/>
              </w:rPr>
            </w:pPr>
            <w:r>
              <w:t>0.635</w:t>
            </w:r>
          </w:p>
        </w:tc>
      </w:tr>
      <w:tr w14:paraId="4F55E66E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07EBFDC6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Induction chemotherapy (yes vs. no)</w:t>
            </w:r>
          </w:p>
        </w:tc>
        <w:tc>
          <w:tcPr>
            <w:tcW w:w="3437" w:type="dxa"/>
          </w:tcPr>
          <w:p w14:paraId="03733AC6">
            <w:pPr>
              <w:widowControl/>
              <w:ind w:firstLine="420"/>
              <w:jc w:val="center"/>
              <w:rPr>
                <w:szCs w:val="21"/>
              </w:rPr>
            </w:pPr>
            <w:r>
              <w:t>0.71 (0.25-2.04)</w:t>
            </w:r>
          </w:p>
        </w:tc>
        <w:tc>
          <w:tcPr>
            <w:tcW w:w="1342" w:type="dxa"/>
          </w:tcPr>
          <w:p w14:paraId="76A266FD">
            <w:pPr>
              <w:widowControl/>
              <w:ind w:firstLine="420"/>
              <w:jc w:val="center"/>
              <w:rPr>
                <w:szCs w:val="21"/>
              </w:rPr>
            </w:pPr>
            <w:r>
              <w:t>0.522</w:t>
            </w:r>
          </w:p>
        </w:tc>
      </w:tr>
      <w:tr w14:paraId="15EE488C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2D75E0CE">
            <w:pPr>
              <w:widowControl/>
              <w:ind w:firstLine="360" w:firstLineChars="200"/>
              <w:jc w:val="left"/>
              <w:rPr>
                <w:rFonts w:eastAsia="Segoe UI"/>
                <w:sz w:val="18"/>
                <w:szCs w:val="18"/>
                <w:shd w:val="clear" w:color="auto" w:fill="FFFFFF"/>
              </w:rPr>
            </w:pPr>
            <w:r>
              <w:rPr>
                <w:rFonts w:eastAsia="Segoe UI"/>
                <w:sz w:val="18"/>
                <w:szCs w:val="18"/>
                <w:shd w:val="clear" w:color="auto" w:fill="FFFFFF"/>
              </w:rPr>
              <w:t>Concurrent chemotherapy (yes vs. no)</w:t>
            </w:r>
          </w:p>
          <w:p w14:paraId="1E3E0652">
            <w:pPr>
              <w:widowControl/>
              <w:shd w:val="clear" w:color="auto" w:fill="FFFFFF"/>
              <w:spacing w:before="144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编辑</w:t>
            </w:r>
          </w:p>
          <w:p w14:paraId="4C853634">
            <w:pPr>
              <w:widowControl/>
              <w:shd w:val="clear" w:color="auto" w:fill="FFFFFF"/>
              <w:spacing w:before="144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分享</w:t>
            </w:r>
          </w:p>
          <w:p w14:paraId="2D7D4E7F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诱导化疗和同期化疗有什么区别？</w:t>
            </w:r>
          </w:p>
          <w:p w14:paraId="3B391D4D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放疗联合同期化疗的英文是什么？</w:t>
            </w:r>
          </w:p>
          <w:p w14:paraId="1925F189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根治性化疗</w:t>
            </w:r>
            <w:r>
              <w:rPr>
                <w:rFonts w:eastAsia="var(--s-font-base)"/>
                <w:color w:val="1C1F23"/>
                <w:kern w:val="0"/>
                <w:sz w:val="16"/>
                <w:szCs w:val="16"/>
                <w:shd w:val="clear" w:color="auto" w:fill="FFFFFF"/>
              </w:rPr>
              <w:t xml:space="preserve"> (</w:t>
            </w: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是</w:t>
            </w:r>
            <w:r>
              <w:rPr>
                <w:rFonts w:eastAsia="var(--s-font-base)"/>
                <w:color w:val="1C1F23"/>
                <w:kern w:val="0"/>
                <w:sz w:val="16"/>
                <w:szCs w:val="16"/>
                <w:shd w:val="clear" w:color="auto" w:fill="FFFFFF"/>
              </w:rPr>
              <w:t xml:space="preserve"> vs. </w:t>
            </w: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否）的英文翻译是什么？</w:t>
            </w:r>
          </w:p>
          <w:p w14:paraId="5FAFD116">
            <w:pPr>
              <w:widowControl/>
              <w:shd w:val="clear" w:color="auto" w:fill="FFFFFF"/>
              <w:jc w:val="left"/>
              <w:rPr>
                <w:rFonts w:eastAsia="Segoe UI"/>
                <w:color w:val="1C1F23"/>
                <w:sz w:val="27"/>
                <w:szCs w:val="27"/>
              </w:rPr>
            </w:pPr>
          </w:p>
          <w:p w14:paraId="76F51B4C">
            <w:pPr>
              <w:widowControl/>
              <w:ind w:firstLine="420" w:firstLineChars="200"/>
              <w:jc w:val="left"/>
              <w:rPr>
                <w:szCs w:val="21"/>
              </w:rPr>
            </w:pPr>
          </w:p>
        </w:tc>
        <w:tc>
          <w:tcPr>
            <w:tcW w:w="3437" w:type="dxa"/>
          </w:tcPr>
          <w:p w14:paraId="34251870">
            <w:pPr>
              <w:widowControl/>
              <w:ind w:firstLine="420"/>
              <w:jc w:val="center"/>
              <w:rPr>
                <w:szCs w:val="21"/>
              </w:rPr>
            </w:pPr>
            <w:r>
              <w:t>0.29 (0.15-0.55)</w:t>
            </w:r>
          </w:p>
        </w:tc>
        <w:tc>
          <w:tcPr>
            <w:tcW w:w="1342" w:type="dxa"/>
          </w:tcPr>
          <w:p w14:paraId="0E2754D6">
            <w:pPr>
              <w:widowControl/>
              <w:ind w:firstLine="420"/>
              <w:jc w:val="center"/>
              <w:rPr>
                <w:szCs w:val="21"/>
              </w:rPr>
            </w:pPr>
            <w:r>
              <w:t>0</w:t>
            </w:r>
          </w:p>
        </w:tc>
      </w:tr>
      <w:tr w14:paraId="2EAC0B19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7161DC2D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Nimotuzumab (yes vs. no)</w:t>
            </w:r>
          </w:p>
        </w:tc>
        <w:tc>
          <w:tcPr>
            <w:tcW w:w="3437" w:type="dxa"/>
          </w:tcPr>
          <w:p w14:paraId="5248A8D3">
            <w:pPr>
              <w:widowControl/>
              <w:ind w:firstLine="420"/>
              <w:jc w:val="center"/>
              <w:rPr>
                <w:szCs w:val="21"/>
              </w:rPr>
            </w:pPr>
            <w:r>
              <w:t>1.08 (0.55-2.13)</w:t>
            </w:r>
          </w:p>
        </w:tc>
        <w:tc>
          <w:tcPr>
            <w:tcW w:w="1342" w:type="dxa"/>
          </w:tcPr>
          <w:p w14:paraId="488197DE">
            <w:pPr>
              <w:widowControl/>
              <w:ind w:firstLine="420"/>
              <w:jc w:val="center"/>
              <w:rPr>
                <w:szCs w:val="21"/>
              </w:rPr>
            </w:pPr>
            <w:r>
              <w:t>0.832</w:t>
            </w:r>
          </w:p>
        </w:tc>
      </w:tr>
      <w:tr w14:paraId="27E1FC77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43" w:type="dxa"/>
            <w:vAlign w:val="center"/>
          </w:tcPr>
          <w:p w14:paraId="193283B1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Adjuvant chemotherapy (yes vs. no)</w:t>
            </w:r>
          </w:p>
        </w:tc>
        <w:tc>
          <w:tcPr>
            <w:tcW w:w="3437" w:type="dxa"/>
          </w:tcPr>
          <w:p w14:paraId="41F2ED53">
            <w:pPr>
              <w:widowControl/>
              <w:ind w:firstLine="420"/>
              <w:jc w:val="center"/>
              <w:rPr>
                <w:szCs w:val="21"/>
              </w:rPr>
            </w:pPr>
            <w:r>
              <w:t>0.41 (0.14-1.16)</w:t>
            </w:r>
          </w:p>
        </w:tc>
        <w:tc>
          <w:tcPr>
            <w:tcW w:w="1342" w:type="dxa"/>
          </w:tcPr>
          <w:p w14:paraId="1F8762B2">
            <w:pPr>
              <w:widowControl/>
              <w:ind w:firstLine="420"/>
              <w:jc w:val="center"/>
              <w:rPr>
                <w:szCs w:val="21"/>
              </w:rPr>
            </w:pPr>
            <w:r>
              <w:t>0.093</w:t>
            </w:r>
          </w:p>
        </w:tc>
      </w:tr>
    </w:tbl>
    <w:p w14:paraId="239F24BE"/>
    <w:p w14:paraId="2B5159C0"/>
    <w:p w14:paraId="6AECF496"/>
    <w:p w14:paraId="1F701688"/>
    <w:p w14:paraId="2A1D1295"/>
    <w:p w14:paraId="385EBA4B"/>
    <w:p w14:paraId="251D92C2"/>
    <w:p w14:paraId="7A93E933"/>
    <w:p w14:paraId="176649BC">
      <w:pPr>
        <w:jc w:val="center"/>
      </w:pPr>
      <w:r>
        <w:rPr>
          <w:rFonts w:eastAsia="Segoe UI"/>
          <w:sz w:val="19"/>
          <w:szCs w:val="19"/>
          <w:shd w:val="clear" w:color="auto" w:fill="FFFFFF"/>
        </w:rPr>
        <w:t>Table 2 (Continued)</w:t>
      </w:r>
    </w:p>
    <w:tbl>
      <w:tblPr>
        <w:tblStyle w:val="15"/>
        <w:tblW w:w="8222" w:type="dxa"/>
        <w:tblInd w:w="0" w:type="dxa"/>
        <w:tblBorders>
          <w:top w:val="none" w:color="auto" w:sz="0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2"/>
        <w:gridCol w:w="3486"/>
        <w:gridCol w:w="1334"/>
      </w:tblGrid>
      <w:tr w14:paraId="02AD0D93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tcBorders>
              <w:top w:val="single" w:color="auto" w:sz="12" w:space="0"/>
              <w:bottom w:val="nil"/>
            </w:tcBorders>
            <w:vAlign w:val="center"/>
          </w:tcPr>
          <w:p w14:paraId="4A275CAE">
            <w:pPr>
              <w:widowControl/>
              <w:jc w:val="left"/>
              <w:rPr>
                <w:szCs w:val="21"/>
              </w:rPr>
            </w:pPr>
            <w:r>
              <w:rPr>
                <w:b/>
                <w:bCs/>
                <w:szCs w:val="21"/>
              </w:rPr>
              <w:t>Distant metastasis-free survival</w:t>
            </w:r>
          </w:p>
        </w:tc>
        <w:tc>
          <w:tcPr>
            <w:tcW w:w="3486" w:type="dxa"/>
            <w:tcBorders>
              <w:top w:val="single" w:color="auto" w:sz="12" w:space="0"/>
              <w:bottom w:val="nil"/>
            </w:tcBorders>
            <w:vAlign w:val="center"/>
          </w:tcPr>
          <w:p w14:paraId="631B5F91">
            <w:pPr>
              <w:widowControl/>
              <w:ind w:firstLine="420"/>
              <w:jc w:val="center"/>
              <w:rPr>
                <w:szCs w:val="21"/>
              </w:rPr>
            </w:pPr>
          </w:p>
        </w:tc>
        <w:tc>
          <w:tcPr>
            <w:tcW w:w="1334" w:type="dxa"/>
            <w:tcBorders>
              <w:top w:val="single" w:color="auto" w:sz="12" w:space="0"/>
              <w:bottom w:val="nil"/>
            </w:tcBorders>
            <w:vAlign w:val="center"/>
          </w:tcPr>
          <w:p w14:paraId="2C2E2E25">
            <w:pPr>
              <w:widowControl/>
              <w:ind w:firstLine="420"/>
              <w:jc w:val="center"/>
              <w:rPr>
                <w:szCs w:val="21"/>
              </w:rPr>
            </w:pPr>
          </w:p>
        </w:tc>
      </w:tr>
      <w:tr w14:paraId="091A1041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tcBorders>
              <w:top w:val="nil"/>
            </w:tcBorders>
            <w:vAlign w:val="center"/>
          </w:tcPr>
          <w:p w14:paraId="43EE627F">
            <w:pPr>
              <w:widowControl/>
              <w:ind w:firstLine="380" w:firstLineChars="200"/>
              <w:jc w:val="left"/>
              <w:rPr>
                <w:b/>
                <w:bCs/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Sex (male vs. female)</w:t>
            </w:r>
          </w:p>
        </w:tc>
        <w:tc>
          <w:tcPr>
            <w:tcW w:w="3486" w:type="dxa"/>
            <w:tcBorders>
              <w:top w:val="nil"/>
            </w:tcBorders>
          </w:tcPr>
          <w:p w14:paraId="2B456E6B">
            <w:pPr>
              <w:widowControl/>
              <w:ind w:firstLine="420"/>
              <w:jc w:val="center"/>
              <w:rPr>
                <w:szCs w:val="21"/>
              </w:rPr>
            </w:pPr>
            <w:r>
              <w:t>0.72 (0.33-1.59)</w:t>
            </w:r>
          </w:p>
        </w:tc>
        <w:tc>
          <w:tcPr>
            <w:tcW w:w="1334" w:type="dxa"/>
            <w:tcBorders>
              <w:top w:val="nil"/>
            </w:tcBorders>
          </w:tcPr>
          <w:p w14:paraId="21A9C5E8">
            <w:pPr>
              <w:widowControl/>
              <w:ind w:firstLine="420"/>
              <w:jc w:val="center"/>
              <w:rPr>
                <w:szCs w:val="21"/>
              </w:rPr>
            </w:pPr>
            <w:r>
              <w:t>0.42</w:t>
            </w:r>
          </w:p>
        </w:tc>
      </w:tr>
      <w:tr w14:paraId="482FA3FB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47EE3F37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Age at diagnosis (&lt;50 vs. ≥50)</w:t>
            </w:r>
          </w:p>
        </w:tc>
        <w:tc>
          <w:tcPr>
            <w:tcW w:w="3486" w:type="dxa"/>
          </w:tcPr>
          <w:p w14:paraId="19FC0443">
            <w:pPr>
              <w:widowControl/>
              <w:ind w:firstLine="420"/>
              <w:jc w:val="center"/>
              <w:rPr>
                <w:szCs w:val="21"/>
              </w:rPr>
            </w:pPr>
            <w:r>
              <w:t>1.08 (0.43-2.7)</w:t>
            </w:r>
          </w:p>
        </w:tc>
        <w:tc>
          <w:tcPr>
            <w:tcW w:w="1334" w:type="dxa"/>
          </w:tcPr>
          <w:p w14:paraId="743C4BAA">
            <w:pPr>
              <w:widowControl/>
              <w:ind w:firstLine="420"/>
              <w:jc w:val="center"/>
              <w:rPr>
                <w:szCs w:val="21"/>
              </w:rPr>
            </w:pPr>
            <w:r>
              <w:t>0.867</w:t>
            </w:r>
          </w:p>
        </w:tc>
      </w:tr>
      <w:tr w14:paraId="2FD60A7E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66B2AB53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Comorbidities (yes vs. no)</w:t>
            </w:r>
          </w:p>
        </w:tc>
        <w:tc>
          <w:tcPr>
            <w:tcW w:w="3486" w:type="dxa"/>
          </w:tcPr>
          <w:p w14:paraId="6F637281">
            <w:pPr>
              <w:widowControl/>
              <w:ind w:firstLine="420"/>
              <w:jc w:val="center"/>
              <w:rPr>
                <w:szCs w:val="21"/>
              </w:rPr>
            </w:pPr>
            <w:r>
              <w:t>0.89 (0.39-2.04)</w:t>
            </w:r>
          </w:p>
        </w:tc>
        <w:tc>
          <w:tcPr>
            <w:tcW w:w="1334" w:type="dxa"/>
          </w:tcPr>
          <w:p w14:paraId="552CB985">
            <w:pPr>
              <w:widowControl/>
              <w:ind w:firstLine="420"/>
              <w:jc w:val="center"/>
              <w:rPr>
                <w:szCs w:val="21"/>
              </w:rPr>
            </w:pPr>
            <w:r>
              <w:t>0.787</w:t>
            </w:r>
          </w:p>
        </w:tc>
      </w:tr>
      <w:tr w14:paraId="5BB8D409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415D622F">
            <w:pPr>
              <w:widowControl/>
              <w:ind w:firstLine="420" w:firstLineChars="200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T </w:t>
            </w:r>
            <w:r>
              <w:rPr>
                <w:rFonts w:eastAsia="楷体"/>
                <w:szCs w:val="21"/>
              </w:rPr>
              <w:t>stage</w:t>
            </w:r>
            <w:r>
              <w:rPr>
                <w:szCs w:val="21"/>
              </w:rPr>
              <w:t xml:space="preserve"> (T1-2 </w:t>
            </w:r>
            <w:r>
              <w:rPr>
                <w:i/>
                <w:iCs/>
                <w:szCs w:val="21"/>
              </w:rPr>
              <w:t>vs</w:t>
            </w:r>
            <w:r>
              <w:rPr>
                <w:szCs w:val="21"/>
              </w:rPr>
              <w:t>. T3-4）</w:t>
            </w:r>
          </w:p>
        </w:tc>
        <w:tc>
          <w:tcPr>
            <w:tcW w:w="3486" w:type="dxa"/>
          </w:tcPr>
          <w:p w14:paraId="368C79D2">
            <w:pPr>
              <w:widowControl/>
              <w:ind w:firstLine="420"/>
              <w:jc w:val="center"/>
              <w:rPr>
                <w:szCs w:val="21"/>
              </w:rPr>
            </w:pPr>
            <w:r>
              <w:t>1.07 (0.45-2.55)</w:t>
            </w:r>
          </w:p>
        </w:tc>
        <w:tc>
          <w:tcPr>
            <w:tcW w:w="1334" w:type="dxa"/>
          </w:tcPr>
          <w:p w14:paraId="462A3179">
            <w:pPr>
              <w:widowControl/>
              <w:ind w:firstLine="420"/>
              <w:jc w:val="center"/>
              <w:rPr>
                <w:szCs w:val="21"/>
              </w:rPr>
            </w:pPr>
            <w:r>
              <w:t>0.878</w:t>
            </w:r>
          </w:p>
        </w:tc>
      </w:tr>
      <w:tr w14:paraId="5CB88298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5CAB3862">
            <w:pPr>
              <w:widowControl/>
              <w:ind w:firstLine="420" w:firstLineChars="200"/>
              <w:jc w:val="left"/>
              <w:rPr>
                <w:szCs w:val="21"/>
                <w:lang w:val="pt-BR"/>
              </w:rPr>
            </w:pPr>
            <w:r>
              <w:rPr>
                <w:szCs w:val="21"/>
                <w:lang w:val="pt-BR"/>
              </w:rPr>
              <w:t xml:space="preserve">N </w:t>
            </w:r>
            <w:r>
              <w:rPr>
                <w:rFonts w:eastAsia="楷体"/>
                <w:szCs w:val="21"/>
                <w:lang w:val="pt-BR"/>
              </w:rPr>
              <w:t>stage</w:t>
            </w:r>
            <w:r>
              <w:rPr>
                <w:szCs w:val="21"/>
                <w:lang w:val="pt-BR"/>
              </w:rPr>
              <w:t xml:space="preserve"> (N0-1 </w:t>
            </w:r>
            <w:r>
              <w:rPr>
                <w:i/>
                <w:iCs/>
                <w:szCs w:val="21"/>
                <w:lang w:val="pt-BR"/>
              </w:rPr>
              <w:t>vs</w:t>
            </w:r>
            <w:r>
              <w:rPr>
                <w:szCs w:val="21"/>
                <w:lang w:val="pt-BR"/>
              </w:rPr>
              <w:t>. N2-3）</w:t>
            </w:r>
          </w:p>
        </w:tc>
        <w:tc>
          <w:tcPr>
            <w:tcW w:w="3486" w:type="dxa"/>
          </w:tcPr>
          <w:p w14:paraId="2F9EDCA6">
            <w:pPr>
              <w:widowControl/>
              <w:ind w:firstLine="420"/>
              <w:jc w:val="center"/>
              <w:rPr>
                <w:szCs w:val="21"/>
              </w:rPr>
            </w:pPr>
            <w:r>
              <w:t>0.54 (0.2-1.42)</w:t>
            </w:r>
          </w:p>
        </w:tc>
        <w:tc>
          <w:tcPr>
            <w:tcW w:w="1334" w:type="dxa"/>
          </w:tcPr>
          <w:p w14:paraId="7C8385FF">
            <w:pPr>
              <w:widowControl/>
              <w:ind w:firstLine="420"/>
              <w:jc w:val="center"/>
              <w:rPr>
                <w:szCs w:val="21"/>
              </w:rPr>
            </w:pPr>
            <w:r>
              <w:t>0.21</w:t>
            </w:r>
          </w:p>
        </w:tc>
      </w:tr>
      <w:tr w14:paraId="53542299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2D76DDE8">
            <w:pPr>
              <w:widowControl/>
              <w:ind w:firstLine="420" w:firstLineChars="200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TNM </w:t>
            </w:r>
            <w:r>
              <w:rPr>
                <w:rFonts w:eastAsia="楷体"/>
                <w:szCs w:val="21"/>
              </w:rPr>
              <w:t>stage</w:t>
            </w:r>
            <w:r>
              <w:rPr>
                <w:szCs w:val="21"/>
              </w:rPr>
              <w:t xml:space="preserve"> (Ⅱ-Ⅲ </w:t>
            </w:r>
            <w:r>
              <w:rPr>
                <w:i/>
                <w:iCs/>
                <w:szCs w:val="21"/>
              </w:rPr>
              <w:t>vs</w:t>
            </w:r>
            <w:r>
              <w:rPr>
                <w:szCs w:val="21"/>
              </w:rPr>
              <w:t xml:space="preserve">. </w:t>
            </w:r>
            <w:r>
              <w:rPr>
                <w:color w:val="000000"/>
                <w:szCs w:val="21"/>
                <w:shd w:val="clear" w:color="auto" w:fill="FFFFFF"/>
              </w:rPr>
              <w:t>Ⅳ</w:t>
            </w:r>
            <w:r>
              <w:rPr>
                <w:szCs w:val="21"/>
              </w:rPr>
              <w:t>a）</w:t>
            </w:r>
          </w:p>
        </w:tc>
        <w:tc>
          <w:tcPr>
            <w:tcW w:w="3486" w:type="dxa"/>
          </w:tcPr>
          <w:p w14:paraId="442BDB35">
            <w:pPr>
              <w:widowControl/>
              <w:ind w:firstLine="422"/>
              <w:jc w:val="center"/>
              <w:rPr>
                <w:szCs w:val="21"/>
              </w:rPr>
            </w:pPr>
            <w:r>
              <w:t>3.35 (1.38-8.1)</w:t>
            </w:r>
          </w:p>
        </w:tc>
        <w:tc>
          <w:tcPr>
            <w:tcW w:w="1334" w:type="dxa"/>
          </w:tcPr>
          <w:p w14:paraId="6185567F">
            <w:pPr>
              <w:widowControl/>
              <w:ind w:firstLine="422"/>
              <w:jc w:val="center"/>
              <w:rPr>
                <w:b/>
                <w:bCs/>
                <w:szCs w:val="21"/>
              </w:rPr>
            </w:pPr>
            <w:r>
              <w:t>0.007</w:t>
            </w:r>
          </w:p>
        </w:tc>
      </w:tr>
      <w:tr w14:paraId="551D71B7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5DC026F7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Virus infection (yes vs. no)</w:t>
            </w:r>
          </w:p>
        </w:tc>
        <w:tc>
          <w:tcPr>
            <w:tcW w:w="3486" w:type="dxa"/>
          </w:tcPr>
          <w:p w14:paraId="2FA3B456">
            <w:pPr>
              <w:widowControl/>
              <w:ind w:firstLine="420"/>
              <w:jc w:val="center"/>
              <w:rPr>
                <w:b/>
                <w:bCs/>
                <w:szCs w:val="21"/>
              </w:rPr>
            </w:pPr>
            <w:r>
              <w:t>0.88 (0.37-2.06)</w:t>
            </w:r>
          </w:p>
        </w:tc>
        <w:tc>
          <w:tcPr>
            <w:tcW w:w="1334" w:type="dxa"/>
          </w:tcPr>
          <w:p w14:paraId="364A2295">
            <w:pPr>
              <w:widowControl/>
              <w:ind w:firstLine="420"/>
              <w:jc w:val="center"/>
              <w:rPr>
                <w:szCs w:val="21"/>
              </w:rPr>
            </w:pPr>
            <w:r>
              <w:t>0.76</w:t>
            </w:r>
          </w:p>
        </w:tc>
      </w:tr>
      <w:tr w14:paraId="098B3B94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65A04D2C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Induction chemotherapy (yes vs. no)</w:t>
            </w:r>
          </w:p>
        </w:tc>
        <w:tc>
          <w:tcPr>
            <w:tcW w:w="3486" w:type="dxa"/>
          </w:tcPr>
          <w:p w14:paraId="51BD8D11">
            <w:pPr>
              <w:widowControl/>
              <w:ind w:firstLine="420"/>
              <w:jc w:val="center"/>
              <w:rPr>
                <w:szCs w:val="21"/>
              </w:rPr>
            </w:pPr>
            <w:r>
              <w:t>0.44 (0.15-1.33)</w:t>
            </w:r>
          </w:p>
        </w:tc>
        <w:tc>
          <w:tcPr>
            <w:tcW w:w="1334" w:type="dxa"/>
          </w:tcPr>
          <w:p w14:paraId="6FD99738">
            <w:pPr>
              <w:widowControl/>
              <w:ind w:firstLine="420"/>
              <w:jc w:val="center"/>
              <w:rPr>
                <w:szCs w:val="21"/>
              </w:rPr>
            </w:pPr>
            <w:r>
              <w:t>0.148</w:t>
            </w:r>
          </w:p>
        </w:tc>
      </w:tr>
      <w:tr w14:paraId="1CC9B283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3D795689">
            <w:pPr>
              <w:widowControl/>
              <w:ind w:firstLine="360" w:firstLineChars="200"/>
              <w:jc w:val="left"/>
              <w:rPr>
                <w:rFonts w:eastAsia="Segoe UI"/>
                <w:sz w:val="18"/>
                <w:szCs w:val="18"/>
                <w:shd w:val="clear" w:color="auto" w:fill="FFFFFF"/>
              </w:rPr>
            </w:pPr>
            <w:r>
              <w:rPr>
                <w:rFonts w:eastAsia="Segoe UI"/>
                <w:sz w:val="18"/>
                <w:szCs w:val="18"/>
                <w:shd w:val="clear" w:color="auto" w:fill="FFFFFF"/>
              </w:rPr>
              <w:t>Concurrent chemotherapy (yes vs. no)</w:t>
            </w:r>
          </w:p>
          <w:p w14:paraId="72F9A154">
            <w:pPr>
              <w:widowControl/>
              <w:shd w:val="clear" w:color="auto" w:fill="FFFFFF"/>
              <w:spacing w:before="144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编辑</w:t>
            </w:r>
          </w:p>
          <w:p w14:paraId="6DAF125E">
            <w:pPr>
              <w:widowControl/>
              <w:shd w:val="clear" w:color="auto" w:fill="FFFFFF"/>
              <w:spacing w:before="144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分享</w:t>
            </w:r>
          </w:p>
          <w:p w14:paraId="70608DEA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诱导化疗和同期化疗有什么区别？</w:t>
            </w:r>
          </w:p>
          <w:p w14:paraId="43314E42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放疗联合同期化疗的英文是什么？</w:t>
            </w:r>
          </w:p>
          <w:p w14:paraId="55940461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根治性化疗</w:t>
            </w:r>
            <w:r>
              <w:rPr>
                <w:rFonts w:eastAsia="var(--s-font-base)"/>
                <w:color w:val="1C1F23"/>
                <w:kern w:val="0"/>
                <w:sz w:val="16"/>
                <w:szCs w:val="16"/>
                <w:shd w:val="clear" w:color="auto" w:fill="FFFFFF"/>
              </w:rPr>
              <w:t xml:space="preserve"> (</w:t>
            </w: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是</w:t>
            </w:r>
            <w:r>
              <w:rPr>
                <w:rFonts w:eastAsia="var(--s-font-base)"/>
                <w:color w:val="1C1F23"/>
                <w:kern w:val="0"/>
                <w:sz w:val="16"/>
                <w:szCs w:val="16"/>
                <w:shd w:val="clear" w:color="auto" w:fill="FFFFFF"/>
              </w:rPr>
              <w:t xml:space="preserve"> vs. </w:t>
            </w: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否）的英文翻译是什么？</w:t>
            </w:r>
          </w:p>
          <w:p w14:paraId="2A78E53E">
            <w:pPr>
              <w:widowControl/>
              <w:shd w:val="clear" w:color="auto" w:fill="FFFFFF"/>
              <w:jc w:val="left"/>
              <w:rPr>
                <w:rFonts w:eastAsia="Segoe UI"/>
                <w:color w:val="1C1F23"/>
                <w:sz w:val="27"/>
                <w:szCs w:val="27"/>
              </w:rPr>
            </w:pPr>
          </w:p>
          <w:p w14:paraId="7AFF337E">
            <w:pPr>
              <w:widowControl/>
              <w:ind w:firstLine="420" w:firstLineChars="200"/>
              <w:jc w:val="left"/>
              <w:rPr>
                <w:szCs w:val="21"/>
              </w:rPr>
            </w:pPr>
          </w:p>
        </w:tc>
        <w:tc>
          <w:tcPr>
            <w:tcW w:w="3486" w:type="dxa"/>
          </w:tcPr>
          <w:p w14:paraId="2B675CEA">
            <w:pPr>
              <w:widowControl/>
              <w:ind w:firstLine="420"/>
              <w:jc w:val="center"/>
              <w:rPr>
                <w:szCs w:val="21"/>
              </w:rPr>
            </w:pPr>
            <w:r>
              <w:t>0.35 (0.16-0.74)</w:t>
            </w:r>
          </w:p>
        </w:tc>
        <w:tc>
          <w:tcPr>
            <w:tcW w:w="1334" w:type="dxa"/>
          </w:tcPr>
          <w:p w14:paraId="37644577">
            <w:pPr>
              <w:widowControl/>
              <w:ind w:firstLine="420"/>
              <w:jc w:val="center"/>
              <w:rPr>
                <w:szCs w:val="21"/>
              </w:rPr>
            </w:pPr>
            <w:r>
              <w:t>0.006</w:t>
            </w:r>
          </w:p>
        </w:tc>
      </w:tr>
      <w:tr w14:paraId="58D9211B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00D1FBA0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Nimotuzumab (yes vs. no)</w:t>
            </w:r>
          </w:p>
        </w:tc>
        <w:tc>
          <w:tcPr>
            <w:tcW w:w="3486" w:type="dxa"/>
          </w:tcPr>
          <w:p w14:paraId="12AEC6CD">
            <w:pPr>
              <w:widowControl/>
              <w:ind w:firstLine="420"/>
              <w:jc w:val="center"/>
              <w:rPr>
                <w:szCs w:val="21"/>
              </w:rPr>
            </w:pPr>
            <w:r>
              <w:t>1.35 (0.6-3.03)</w:t>
            </w:r>
          </w:p>
        </w:tc>
        <w:tc>
          <w:tcPr>
            <w:tcW w:w="1334" w:type="dxa"/>
          </w:tcPr>
          <w:p w14:paraId="560D5740">
            <w:pPr>
              <w:widowControl/>
              <w:ind w:firstLine="420"/>
              <w:jc w:val="center"/>
              <w:rPr>
                <w:szCs w:val="21"/>
              </w:rPr>
            </w:pPr>
            <w:r>
              <w:t>0.465</w:t>
            </w:r>
          </w:p>
        </w:tc>
      </w:tr>
      <w:tr w14:paraId="355A4161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1CD7EBB7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Adjuvant chemotherapy (yes vs. no)</w:t>
            </w:r>
          </w:p>
        </w:tc>
        <w:tc>
          <w:tcPr>
            <w:tcW w:w="3486" w:type="dxa"/>
          </w:tcPr>
          <w:p w14:paraId="227A9C55">
            <w:pPr>
              <w:widowControl/>
              <w:ind w:firstLine="420"/>
              <w:jc w:val="center"/>
              <w:rPr>
                <w:szCs w:val="21"/>
              </w:rPr>
            </w:pPr>
            <w:r>
              <w:t>0.54 (0.19-1.58)</w:t>
            </w:r>
          </w:p>
        </w:tc>
        <w:tc>
          <w:tcPr>
            <w:tcW w:w="1334" w:type="dxa"/>
          </w:tcPr>
          <w:p w14:paraId="54CC1BFB">
            <w:pPr>
              <w:widowControl/>
              <w:ind w:firstLine="420"/>
              <w:jc w:val="center"/>
              <w:rPr>
                <w:szCs w:val="21"/>
              </w:rPr>
            </w:pPr>
            <w:r>
              <w:t>0.264</w:t>
            </w:r>
          </w:p>
        </w:tc>
      </w:tr>
      <w:tr w14:paraId="39FFBAB8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628AEDDE">
            <w:pPr>
              <w:widowControl/>
              <w:jc w:val="left"/>
              <w:rPr>
                <w:szCs w:val="21"/>
              </w:rPr>
            </w:pPr>
            <w:r>
              <w:rPr>
                <w:b/>
                <w:bCs/>
                <w:szCs w:val="21"/>
              </w:rPr>
              <w:t>Loco-regional relapse-free survival</w:t>
            </w:r>
          </w:p>
        </w:tc>
        <w:tc>
          <w:tcPr>
            <w:tcW w:w="3486" w:type="dxa"/>
            <w:vAlign w:val="center"/>
          </w:tcPr>
          <w:p w14:paraId="06D4505E">
            <w:pPr>
              <w:widowControl/>
              <w:ind w:firstLine="420"/>
              <w:rPr>
                <w:szCs w:val="21"/>
              </w:rPr>
            </w:pPr>
          </w:p>
        </w:tc>
        <w:tc>
          <w:tcPr>
            <w:tcW w:w="1334" w:type="dxa"/>
            <w:vAlign w:val="center"/>
          </w:tcPr>
          <w:p w14:paraId="1A1BDD26">
            <w:pPr>
              <w:widowControl/>
              <w:ind w:firstLine="420"/>
              <w:rPr>
                <w:szCs w:val="21"/>
              </w:rPr>
            </w:pPr>
          </w:p>
        </w:tc>
      </w:tr>
      <w:tr w14:paraId="527C36BB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22AAFC5D">
            <w:pPr>
              <w:widowControl/>
              <w:ind w:firstLine="380" w:firstLineChars="200"/>
              <w:jc w:val="left"/>
              <w:rPr>
                <w:b/>
                <w:bCs/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Sex (male vs. female)</w:t>
            </w:r>
          </w:p>
        </w:tc>
        <w:tc>
          <w:tcPr>
            <w:tcW w:w="3486" w:type="dxa"/>
          </w:tcPr>
          <w:p w14:paraId="14A03542">
            <w:pPr>
              <w:widowControl/>
              <w:ind w:firstLine="420"/>
              <w:jc w:val="center"/>
              <w:rPr>
                <w:szCs w:val="21"/>
              </w:rPr>
            </w:pPr>
            <w:r>
              <w:t>1.29 (0.55-3.04)</w:t>
            </w:r>
          </w:p>
        </w:tc>
        <w:tc>
          <w:tcPr>
            <w:tcW w:w="1334" w:type="dxa"/>
          </w:tcPr>
          <w:p w14:paraId="6127E4AA">
            <w:pPr>
              <w:widowControl/>
              <w:ind w:firstLine="420"/>
              <w:jc w:val="center"/>
              <w:rPr>
                <w:szCs w:val="21"/>
              </w:rPr>
            </w:pPr>
            <w:r>
              <w:t>0.558</w:t>
            </w:r>
          </w:p>
        </w:tc>
      </w:tr>
      <w:tr w14:paraId="3E293926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024C9022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Age at diagnosis (&lt;50 vs. ≥50)</w:t>
            </w:r>
          </w:p>
        </w:tc>
        <w:tc>
          <w:tcPr>
            <w:tcW w:w="3486" w:type="dxa"/>
          </w:tcPr>
          <w:p w14:paraId="4E4226EB">
            <w:pPr>
              <w:widowControl/>
              <w:ind w:firstLine="420"/>
              <w:jc w:val="center"/>
              <w:rPr>
                <w:szCs w:val="21"/>
              </w:rPr>
            </w:pPr>
            <w:r>
              <w:t>0.94 (0.25-3.48)</w:t>
            </w:r>
          </w:p>
        </w:tc>
        <w:tc>
          <w:tcPr>
            <w:tcW w:w="1334" w:type="dxa"/>
          </w:tcPr>
          <w:p w14:paraId="5ADBD28C">
            <w:pPr>
              <w:widowControl/>
              <w:ind w:firstLine="420"/>
              <w:jc w:val="center"/>
              <w:rPr>
                <w:szCs w:val="21"/>
              </w:rPr>
            </w:pPr>
            <w:r>
              <w:t>0.922</w:t>
            </w:r>
          </w:p>
        </w:tc>
      </w:tr>
      <w:tr w14:paraId="06E95D2B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4E823D0C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Comorbidities (yes vs. no)</w:t>
            </w:r>
          </w:p>
        </w:tc>
        <w:tc>
          <w:tcPr>
            <w:tcW w:w="3486" w:type="dxa"/>
          </w:tcPr>
          <w:p w14:paraId="756CD1D1">
            <w:pPr>
              <w:widowControl/>
              <w:ind w:firstLine="420"/>
              <w:jc w:val="center"/>
              <w:rPr>
                <w:szCs w:val="21"/>
              </w:rPr>
            </w:pPr>
            <w:r>
              <w:t>1.14 (0.44-3)</w:t>
            </w:r>
          </w:p>
        </w:tc>
        <w:tc>
          <w:tcPr>
            <w:tcW w:w="1334" w:type="dxa"/>
          </w:tcPr>
          <w:p w14:paraId="6ABA44AC">
            <w:pPr>
              <w:widowControl/>
              <w:ind w:firstLine="420"/>
              <w:jc w:val="center"/>
              <w:rPr>
                <w:szCs w:val="21"/>
              </w:rPr>
            </w:pPr>
            <w:r>
              <w:t>0.784</w:t>
            </w:r>
          </w:p>
        </w:tc>
      </w:tr>
      <w:tr w14:paraId="2FC2D101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41A7F690">
            <w:pPr>
              <w:widowControl/>
              <w:ind w:firstLine="420" w:firstLineChars="200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T </w:t>
            </w:r>
            <w:r>
              <w:rPr>
                <w:rFonts w:eastAsia="楷体"/>
                <w:szCs w:val="21"/>
              </w:rPr>
              <w:t>stage</w:t>
            </w:r>
            <w:r>
              <w:rPr>
                <w:szCs w:val="21"/>
              </w:rPr>
              <w:t xml:space="preserve"> (T1-2 </w:t>
            </w:r>
            <w:r>
              <w:rPr>
                <w:i/>
                <w:iCs/>
                <w:szCs w:val="21"/>
              </w:rPr>
              <w:t>vs</w:t>
            </w:r>
            <w:r>
              <w:rPr>
                <w:szCs w:val="21"/>
              </w:rPr>
              <w:t>. T3-4）</w:t>
            </w:r>
          </w:p>
        </w:tc>
        <w:tc>
          <w:tcPr>
            <w:tcW w:w="3486" w:type="dxa"/>
          </w:tcPr>
          <w:p w14:paraId="63AAD823">
            <w:pPr>
              <w:widowControl/>
              <w:ind w:firstLine="420"/>
              <w:jc w:val="center"/>
              <w:rPr>
                <w:szCs w:val="21"/>
              </w:rPr>
            </w:pPr>
            <w:r>
              <w:t>1.36 (0.51-3.6)</w:t>
            </w:r>
          </w:p>
        </w:tc>
        <w:tc>
          <w:tcPr>
            <w:tcW w:w="1334" w:type="dxa"/>
          </w:tcPr>
          <w:p w14:paraId="2C32B126">
            <w:pPr>
              <w:widowControl/>
              <w:ind w:firstLine="420"/>
              <w:jc w:val="center"/>
              <w:rPr>
                <w:szCs w:val="21"/>
              </w:rPr>
            </w:pPr>
            <w:r>
              <w:t>0.535</w:t>
            </w:r>
          </w:p>
        </w:tc>
      </w:tr>
      <w:tr w14:paraId="3E9BC0C5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5FD8D0CE">
            <w:pPr>
              <w:widowControl/>
              <w:ind w:firstLine="420" w:firstLineChars="200"/>
              <w:jc w:val="left"/>
              <w:rPr>
                <w:szCs w:val="21"/>
                <w:lang w:val="pt-BR"/>
              </w:rPr>
            </w:pPr>
            <w:r>
              <w:rPr>
                <w:szCs w:val="21"/>
                <w:lang w:val="pt-BR"/>
              </w:rPr>
              <w:t xml:space="preserve">N </w:t>
            </w:r>
            <w:r>
              <w:rPr>
                <w:rFonts w:eastAsia="楷体"/>
                <w:szCs w:val="21"/>
                <w:lang w:val="pt-BR"/>
              </w:rPr>
              <w:t>stage</w:t>
            </w:r>
            <w:r>
              <w:rPr>
                <w:szCs w:val="21"/>
                <w:lang w:val="pt-BR"/>
              </w:rPr>
              <w:t xml:space="preserve"> (N0-1 </w:t>
            </w:r>
            <w:r>
              <w:rPr>
                <w:i/>
                <w:iCs/>
                <w:szCs w:val="21"/>
                <w:lang w:val="pt-BR"/>
              </w:rPr>
              <w:t>vs</w:t>
            </w:r>
            <w:r>
              <w:rPr>
                <w:szCs w:val="21"/>
                <w:lang w:val="pt-BR"/>
              </w:rPr>
              <w:t>. N2-3）</w:t>
            </w:r>
          </w:p>
        </w:tc>
        <w:tc>
          <w:tcPr>
            <w:tcW w:w="3486" w:type="dxa"/>
          </w:tcPr>
          <w:p w14:paraId="1BCF4694">
            <w:pPr>
              <w:widowControl/>
              <w:ind w:firstLine="422"/>
              <w:jc w:val="center"/>
              <w:rPr>
                <w:szCs w:val="21"/>
              </w:rPr>
            </w:pPr>
            <w:r>
              <w:t>0.95 (0.31-2.9)</w:t>
            </w:r>
          </w:p>
        </w:tc>
        <w:tc>
          <w:tcPr>
            <w:tcW w:w="1334" w:type="dxa"/>
          </w:tcPr>
          <w:p w14:paraId="79D36A23">
            <w:pPr>
              <w:widowControl/>
              <w:ind w:firstLine="422"/>
              <w:jc w:val="center"/>
              <w:rPr>
                <w:b/>
                <w:bCs/>
                <w:szCs w:val="21"/>
              </w:rPr>
            </w:pPr>
            <w:r>
              <w:t>0.934</w:t>
            </w:r>
          </w:p>
        </w:tc>
      </w:tr>
      <w:tr w14:paraId="7905FD04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783F0960">
            <w:pPr>
              <w:widowControl/>
              <w:ind w:firstLine="420" w:firstLineChars="200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TNM </w:t>
            </w:r>
            <w:r>
              <w:rPr>
                <w:rFonts w:eastAsia="楷体"/>
                <w:szCs w:val="21"/>
              </w:rPr>
              <w:t>stage</w:t>
            </w:r>
            <w:r>
              <w:rPr>
                <w:szCs w:val="21"/>
              </w:rPr>
              <w:t xml:space="preserve"> (Ⅱ-Ⅲ </w:t>
            </w:r>
            <w:r>
              <w:rPr>
                <w:i/>
                <w:iCs/>
                <w:szCs w:val="21"/>
              </w:rPr>
              <w:t>vs</w:t>
            </w:r>
            <w:r>
              <w:rPr>
                <w:szCs w:val="21"/>
              </w:rPr>
              <w:t xml:space="preserve">. </w:t>
            </w:r>
            <w:r>
              <w:rPr>
                <w:color w:val="000000"/>
                <w:szCs w:val="21"/>
                <w:shd w:val="clear" w:color="auto" w:fill="FFFFFF"/>
              </w:rPr>
              <w:t>Ⅳ</w:t>
            </w:r>
            <w:r>
              <w:rPr>
                <w:szCs w:val="21"/>
              </w:rPr>
              <w:t>a）</w:t>
            </w:r>
          </w:p>
        </w:tc>
        <w:tc>
          <w:tcPr>
            <w:tcW w:w="3486" w:type="dxa"/>
          </w:tcPr>
          <w:p w14:paraId="2557907A">
            <w:pPr>
              <w:widowControl/>
              <w:autoSpaceDE w:val="0"/>
              <w:autoSpaceDN w:val="0"/>
              <w:ind w:firstLine="420"/>
              <w:jc w:val="center"/>
              <w:rPr>
                <w:b/>
                <w:bCs/>
                <w:szCs w:val="21"/>
              </w:rPr>
            </w:pPr>
            <w:r>
              <w:t>0.94 (0.37-2.39)</w:t>
            </w:r>
          </w:p>
        </w:tc>
        <w:tc>
          <w:tcPr>
            <w:tcW w:w="1334" w:type="dxa"/>
          </w:tcPr>
          <w:p w14:paraId="2B4E61AD">
            <w:pPr>
              <w:widowControl/>
              <w:autoSpaceDE w:val="0"/>
              <w:autoSpaceDN w:val="0"/>
              <w:ind w:firstLine="420"/>
              <w:jc w:val="center"/>
              <w:rPr>
                <w:szCs w:val="21"/>
              </w:rPr>
            </w:pPr>
            <w:r>
              <w:t>0.902</w:t>
            </w:r>
          </w:p>
        </w:tc>
      </w:tr>
      <w:tr w14:paraId="48178B4E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75C8741E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Virus infection (yes vs. no)</w:t>
            </w:r>
          </w:p>
        </w:tc>
        <w:tc>
          <w:tcPr>
            <w:tcW w:w="3486" w:type="dxa"/>
          </w:tcPr>
          <w:p w14:paraId="261B91DF">
            <w:pPr>
              <w:widowControl/>
              <w:autoSpaceDE w:val="0"/>
              <w:autoSpaceDN w:val="0"/>
              <w:ind w:firstLine="420"/>
              <w:jc w:val="center"/>
              <w:rPr>
                <w:szCs w:val="21"/>
              </w:rPr>
            </w:pPr>
            <w:r>
              <w:t>1.84 (0.59-5.72)</w:t>
            </w:r>
          </w:p>
        </w:tc>
        <w:tc>
          <w:tcPr>
            <w:tcW w:w="1334" w:type="dxa"/>
          </w:tcPr>
          <w:p w14:paraId="0AB7CBF1">
            <w:pPr>
              <w:widowControl/>
              <w:autoSpaceDE w:val="0"/>
              <w:autoSpaceDN w:val="0"/>
              <w:ind w:firstLine="420"/>
              <w:jc w:val="center"/>
              <w:rPr>
                <w:szCs w:val="21"/>
              </w:rPr>
            </w:pPr>
            <w:r>
              <w:t>0.293</w:t>
            </w:r>
          </w:p>
        </w:tc>
      </w:tr>
      <w:tr w14:paraId="014EB52C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4A48165D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Induction chemotherapy (yes vs. no)</w:t>
            </w:r>
          </w:p>
        </w:tc>
        <w:tc>
          <w:tcPr>
            <w:tcW w:w="3486" w:type="dxa"/>
          </w:tcPr>
          <w:p w14:paraId="4A8EBE42">
            <w:pPr>
              <w:widowControl/>
              <w:autoSpaceDE w:val="0"/>
              <w:autoSpaceDN w:val="0"/>
              <w:ind w:firstLine="422"/>
              <w:jc w:val="center"/>
              <w:rPr>
                <w:szCs w:val="21"/>
              </w:rPr>
            </w:pPr>
            <w:r>
              <w:t>1.2 (0.25-5.8)</w:t>
            </w:r>
          </w:p>
        </w:tc>
        <w:tc>
          <w:tcPr>
            <w:tcW w:w="1334" w:type="dxa"/>
          </w:tcPr>
          <w:p w14:paraId="6125C6F6">
            <w:pPr>
              <w:widowControl/>
              <w:autoSpaceDE w:val="0"/>
              <w:autoSpaceDN w:val="0"/>
              <w:ind w:firstLine="422"/>
              <w:jc w:val="center"/>
              <w:rPr>
                <w:b/>
                <w:bCs/>
                <w:szCs w:val="21"/>
              </w:rPr>
            </w:pPr>
            <w:r>
              <w:t>0.821</w:t>
            </w:r>
          </w:p>
        </w:tc>
      </w:tr>
      <w:tr w14:paraId="6AB635C6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exact"/>
        </w:trPr>
        <w:tc>
          <w:tcPr>
            <w:tcW w:w="3402" w:type="dxa"/>
            <w:vAlign w:val="center"/>
          </w:tcPr>
          <w:p w14:paraId="4388F861">
            <w:pPr>
              <w:widowControl/>
              <w:ind w:firstLine="360" w:firstLineChars="200"/>
              <w:jc w:val="left"/>
              <w:rPr>
                <w:rFonts w:eastAsia="Segoe UI"/>
                <w:sz w:val="18"/>
                <w:szCs w:val="18"/>
                <w:shd w:val="clear" w:color="auto" w:fill="FFFFFF"/>
              </w:rPr>
            </w:pPr>
            <w:r>
              <w:rPr>
                <w:rFonts w:eastAsia="Segoe UI"/>
                <w:sz w:val="18"/>
                <w:szCs w:val="18"/>
                <w:shd w:val="clear" w:color="auto" w:fill="FFFFFF"/>
              </w:rPr>
              <w:t>Concurrent chemotherapy (yes vs. no)</w:t>
            </w:r>
          </w:p>
          <w:p w14:paraId="78AD7F32">
            <w:pPr>
              <w:widowControl/>
              <w:shd w:val="clear" w:color="auto" w:fill="FFFFFF"/>
              <w:spacing w:before="144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编辑</w:t>
            </w:r>
          </w:p>
          <w:p w14:paraId="32F5A44A">
            <w:pPr>
              <w:widowControl/>
              <w:shd w:val="clear" w:color="auto" w:fill="FFFFFF"/>
              <w:spacing w:before="144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分享</w:t>
            </w:r>
          </w:p>
          <w:p w14:paraId="14AC7FEE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诱导化疗和同期化疗有什么区别？</w:t>
            </w:r>
          </w:p>
          <w:p w14:paraId="38B48728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放疗联合同期化疗的英文是什么？</w:t>
            </w:r>
          </w:p>
          <w:p w14:paraId="00B1DE21">
            <w:pPr>
              <w:widowControl/>
              <w:shd w:val="clear" w:color="auto" w:fill="FFFFFF"/>
              <w:spacing w:before="432"/>
              <w:jc w:val="left"/>
              <w:rPr>
                <w:rFonts w:eastAsia="var(--s-font-base)"/>
                <w:color w:val="1C1F23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根治性化疗</w:t>
            </w:r>
            <w:r>
              <w:rPr>
                <w:rFonts w:eastAsia="var(--s-font-base)"/>
                <w:color w:val="1C1F23"/>
                <w:kern w:val="0"/>
                <w:sz w:val="16"/>
                <w:szCs w:val="16"/>
                <w:shd w:val="clear" w:color="auto" w:fill="FFFFFF"/>
              </w:rPr>
              <w:t xml:space="preserve"> (</w:t>
            </w: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是</w:t>
            </w:r>
            <w:r>
              <w:rPr>
                <w:rFonts w:eastAsia="var(--s-font-base)"/>
                <w:color w:val="1C1F23"/>
                <w:kern w:val="0"/>
                <w:sz w:val="16"/>
                <w:szCs w:val="16"/>
                <w:shd w:val="clear" w:color="auto" w:fill="FFFFFF"/>
              </w:rPr>
              <w:t xml:space="preserve"> vs. </w:t>
            </w:r>
            <w:r>
              <w:rPr>
                <w:rFonts w:hint="eastAsia" w:ascii="宋体" w:hAnsi="宋体" w:cs="宋体"/>
                <w:color w:val="1C1F23"/>
                <w:kern w:val="0"/>
                <w:sz w:val="16"/>
                <w:szCs w:val="16"/>
                <w:shd w:val="clear" w:color="auto" w:fill="FFFFFF"/>
              </w:rPr>
              <w:t>否）的英文翻译是什么？</w:t>
            </w:r>
          </w:p>
          <w:p w14:paraId="42A34E3D">
            <w:pPr>
              <w:widowControl/>
              <w:shd w:val="clear" w:color="auto" w:fill="FFFFFF"/>
              <w:jc w:val="left"/>
              <w:rPr>
                <w:rFonts w:eastAsia="Segoe UI"/>
                <w:color w:val="1C1F23"/>
                <w:sz w:val="27"/>
                <w:szCs w:val="27"/>
              </w:rPr>
            </w:pPr>
          </w:p>
          <w:p w14:paraId="0DFD411F">
            <w:pPr>
              <w:widowControl/>
              <w:ind w:firstLine="420" w:firstLineChars="200"/>
              <w:jc w:val="left"/>
              <w:rPr>
                <w:szCs w:val="21"/>
              </w:rPr>
            </w:pPr>
          </w:p>
        </w:tc>
        <w:tc>
          <w:tcPr>
            <w:tcW w:w="3486" w:type="dxa"/>
          </w:tcPr>
          <w:p w14:paraId="47B801BA">
            <w:pPr>
              <w:widowControl/>
              <w:autoSpaceDE w:val="0"/>
              <w:autoSpaceDN w:val="0"/>
              <w:ind w:firstLine="420"/>
              <w:jc w:val="center"/>
              <w:rPr>
                <w:b/>
                <w:bCs/>
                <w:szCs w:val="21"/>
              </w:rPr>
            </w:pPr>
            <w:r>
              <w:t>0.34 (0.14-0.83)</w:t>
            </w:r>
          </w:p>
        </w:tc>
        <w:tc>
          <w:tcPr>
            <w:tcW w:w="1334" w:type="dxa"/>
          </w:tcPr>
          <w:p w14:paraId="792710A3">
            <w:pPr>
              <w:widowControl/>
              <w:autoSpaceDE w:val="0"/>
              <w:autoSpaceDN w:val="0"/>
              <w:ind w:firstLine="420"/>
              <w:jc w:val="center"/>
              <w:rPr>
                <w:szCs w:val="21"/>
              </w:rPr>
            </w:pPr>
            <w:r>
              <w:t>0.018</w:t>
            </w:r>
          </w:p>
        </w:tc>
      </w:tr>
      <w:tr w14:paraId="5BE9009E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vAlign w:val="center"/>
          </w:tcPr>
          <w:p w14:paraId="6B39D0CF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Nimotuzumab (yes vs. no)</w:t>
            </w:r>
          </w:p>
        </w:tc>
        <w:tc>
          <w:tcPr>
            <w:tcW w:w="3486" w:type="dxa"/>
          </w:tcPr>
          <w:p w14:paraId="240C73E9">
            <w:pPr>
              <w:widowControl/>
              <w:autoSpaceDE w:val="0"/>
              <w:autoSpaceDN w:val="0"/>
              <w:ind w:firstLine="420"/>
              <w:jc w:val="center"/>
              <w:rPr>
                <w:szCs w:val="21"/>
              </w:rPr>
            </w:pPr>
            <w:r>
              <w:t>1.25 (0.49-3.22)</w:t>
            </w:r>
          </w:p>
        </w:tc>
        <w:tc>
          <w:tcPr>
            <w:tcW w:w="1334" w:type="dxa"/>
          </w:tcPr>
          <w:p w14:paraId="0CC77BE7">
            <w:pPr>
              <w:widowControl/>
              <w:autoSpaceDE w:val="0"/>
              <w:autoSpaceDN w:val="0"/>
              <w:ind w:firstLine="420"/>
              <w:jc w:val="center"/>
              <w:rPr>
                <w:sz w:val="20"/>
                <w:szCs w:val="20"/>
              </w:rPr>
            </w:pPr>
            <w:r>
              <w:t>0.641</w:t>
            </w:r>
          </w:p>
        </w:tc>
      </w:tr>
      <w:tr w14:paraId="33B8CA43"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402" w:type="dxa"/>
            <w:tcBorders>
              <w:bottom w:val="single" w:color="000000" w:sz="12" w:space="0"/>
            </w:tcBorders>
            <w:vAlign w:val="center"/>
          </w:tcPr>
          <w:p w14:paraId="14C993FA">
            <w:pPr>
              <w:widowControl/>
              <w:ind w:firstLine="380" w:firstLineChars="200"/>
              <w:jc w:val="left"/>
              <w:rPr>
                <w:szCs w:val="21"/>
              </w:rPr>
            </w:pPr>
            <w:r>
              <w:rPr>
                <w:rFonts w:eastAsia="Segoe UI"/>
                <w:sz w:val="19"/>
                <w:szCs w:val="19"/>
                <w:shd w:val="clear" w:color="auto" w:fill="FFFFFF"/>
              </w:rPr>
              <w:t>Adjuvant chemotherapy (yes vs. no)</w:t>
            </w:r>
          </w:p>
        </w:tc>
        <w:tc>
          <w:tcPr>
            <w:tcW w:w="3486" w:type="dxa"/>
            <w:tcBorders>
              <w:bottom w:val="single" w:color="000000" w:sz="12" w:space="0"/>
            </w:tcBorders>
          </w:tcPr>
          <w:p w14:paraId="143EAAD9">
            <w:pPr>
              <w:widowControl/>
              <w:autoSpaceDE w:val="0"/>
              <w:autoSpaceDN w:val="0"/>
              <w:ind w:firstLine="420"/>
              <w:jc w:val="center"/>
              <w:rPr>
                <w:szCs w:val="21"/>
              </w:rPr>
            </w:pPr>
            <w:r>
              <w:t>0.2 (0.03-1.51)</w:t>
            </w:r>
          </w:p>
        </w:tc>
        <w:tc>
          <w:tcPr>
            <w:tcW w:w="1334" w:type="dxa"/>
            <w:tcBorders>
              <w:bottom w:val="single" w:color="000000" w:sz="12" w:space="0"/>
            </w:tcBorders>
          </w:tcPr>
          <w:p w14:paraId="432D162E">
            <w:pPr>
              <w:widowControl/>
              <w:autoSpaceDE w:val="0"/>
              <w:autoSpaceDN w:val="0"/>
              <w:ind w:firstLine="420"/>
              <w:jc w:val="center"/>
              <w:rPr>
                <w:sz w:val="20"/>
                <w:szCs w:val="20"/>
              </w:rPr>
            </w:pPr>
            <w:r>
              <w:t>0.119</w:t>
            </w:r>
          </w:p>
        </w:tc>
      </w:tr>
    </w:tbl>
    <w:p w14:paraId="5334473A"/>
    <w:p w14:paraId="424493C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Abbreviation::</w:t>
      </w:r>
      <w:r>
        <w:rPr>
          <w:rFonts w:hint="eastAsia"/>
        </w:rPr>
        <w:t>HR</w:t>
      </w:r>
      <w:r>
        <w:rPr>
          <w:rFonts w:hint="eastAsia"/>
          <w:lang w:val="en-US" w:eastAsia="zh-CN"/>
        </w:rPr>
        <w:t>,</w:t>
      </w:r>
      <w:r>
        <w:rPr>
          <w:rFonts w:hint="eastAsia"/>
        </w:rPr>
        <w:t>Hazard Ratio</w:t>
      </w:r>
      <w:r>
        <w:rPr>
          <w:rFonts w:hint="eastAsia"/>
          <w:lang w:val="en-US" w:eastAsia="zh-CN"/>
        </w:rPr>
        <w:t>;</w:t>
      </w:r>
      <w:r>
        <w:rPr>
          <w:rFonts w:hint="eastAsia"/>
        </w:rPr>
        <w:t xml:space="preserve"> CI</w:t>
      </w:r>
      <w:r>
        <w:rPr>
          <w:rFonts w:hint="eastAsia"/>
          <w:lang w:val="en-US" w:eastAsia="zh-CN"/>
        </w:rPr>
        <w:t>,</w:t>
      </w:r>
      <w:r>
        <w:rPr>
          <w:rFonts w:hint="eastAsia"/>
        </w:rPr>
        <w:t>Confidence Interval</w:t>
      </w:r>
      <w:r>
        <w:rPr>
          <w:rFonts w:hint="eastAsia"/>
          <w:lang w:val="en-US" w:eastAsia="zh-CN"/>
        </w:rPr>
        <w:t>.</w:t>
      </w:r>
    </w:p>
    <w:p w14:paraId="179D6293">
      <w:bookmarkStart w:id="0" w:name="_GoBack"/>
      <w:r>
        <w:rPr>
          <w:rFonts w:hint="eastAsia"/>
        </w:rPr>
        <w:t>*</w:t>
      </w:r>
      <w:bookmarkEnd w:id="0"/>
      <w:r>
        <w:rPr>
          <w:rFonts w:hint="eastAsia"/>
        </w:rPr>
        <w:t>Statistically significant.</w:t>
      </w:r>
    </w:p>
    <w:p w14:paraId="0BDB6777"/>
    <w:p w14:paraId="7B1CED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ar(--s-font-base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6443BD"/>
    <w:rsid w:val="00005140"/>
    <w:rsid w:val="00012E61"/>
    <w:rsid w:val="0001660B"/>
    <w:rsid w:val="0003557A"/>
    <w:rsid w:val="00037CB4"/>
    <w:rsid w:val="000862B0"/>
    <w:rsid w:val="00087AD9"/>
    <w:rsid w:val="000A50FB"/>
    <w:rsid w:val="000A77EC"/>
    <w:rsid w:val="000A7E73"/>
    <w:rsid w:val="000C123A"/>
    <w:rsid w:val="000E3E34"/>
    <w:rsid w:val="000F3B2F"/>
    <w:rsid w:val="000F457A"/>
    <w:rsid w:val="001126FB"/>
    <w:rsid w:val="001235C1"/>
    <w:rsid w:val="0014451F"/>
    <w:rsid w:val="00146E88"/>
    <w:rsid w:val="001475E9"/>
    <w:rsid w:val="0015563F"/>
    <w:rsid w:val="00166F18"/>
    <w:rsid w:val="00171564"/>
    <w:rsid w:val="00194463"/>
    <w:rsid w:val="00196203"/>
    <w:rsid w:val="001967D7"/>
    <w:rsid w:val="001A1080"/>
    <w:rsid w:val="001B046F"/>
    <w:rsid w:val="001B148F"/>
    <w:rsid w:val="001B15B8"/>
    <w:rsid w:val="001B1DED"/>
    <w:rsid w:val="001B4417"/>
    <w:rsid w:val="001B7F1C"/>
    <w:rsid w:val="001C49AE"/>
    <w:rsid w:val="001E6066"/>
    <w:rsid w:val="001E6276"/>
    <w:rsid w:val="001E6382"/>
    <w:rsid w:val="00204E2B"/>
    <w:rsid w:val="002060B7"/>
    <w:rsid w:val="00210C46"/>
    <w:rsid w:val="0021234C"/>
    <w:rsid w:val="002228F3"/>
    <w:rsid w:val="00223E0F"/>
    <w:rsid w:val="00227E07"/>
    <w:rsid w:val="00235E6C"/>
    <w:rsid w:val="00236C12"/>
    <w:rsid w:val="002526C0"/>
    <w:rsid w:val="00277EAB"/>
    <w:rsid w:val="00283E25"/>
    <w:rsid w:val="00284124"/>
    <w:rsid w:val="00286197"/>
    <w:rsid w:val="002A4BED"/>
    <w:rsid w:val="002B1FD5"/>
    <w:rsid w:val="002C1586"/>
    <w:rsid w:val="002C761C"/>
    <w:rsid w:val="002D57C3"/>
    <w:rsid w:val="002E11FF"/>
    <w:rsid w:val="002E3F37"/>
    <w:rsid w:val="002F2E44"/>
    <w:rsid w:val="002F3C71"/>
    <w:rsid w:val="00307B72"/>
    <w:rsid w:val="00342BA5"/>
    <w:rsid w:val="00343E7C"/>
    <w:rsid w:val="00385BD6"/>
    <w:rsid w:val="00392727"/>
    <w:rsid w:val="00396D88"/>
    <w:rsid w:val="003A71F6"/>
    <w:rsid w:val="003D244E"/>
    <w:rsid w:val="003F202A"/>
    <w:rsid w:val="00400753"/>
    <w:rsid w:val="004065F0"/>
    <w:rsid w:val="004164E5"/>
    <w:rsid w:val="00422FCC"/>
    <w:rsid w:val="00423637"/>
    <w:rsid w:val="004320CF"/>
    <w:rsid w:val="0045467D"/>
    <w:rsid w:val="00470272"/>
    <w:rsid w:val="004820D2"/>
    <w:rsid w:val="004A0D8B"/>
    <w:rsid w:val="004B322D"/>
    <w:rsid w:val="004C1B04"/>
    <w:rsid w:val="004C6B7A"/>
    <w:rsid w:val="004D2ADD"/>
    <w:rsid w:val="004D4924"/>
    <w:rsid w:val="004D74A8"/>
    <w:rsid w:val="004E3700"/>
    <w:rsid w:val="004E4167"/>
    <w:rsid w:val="005108B1"/>
    <w:rsid w:val="00521E34"/>
    <w:rsid w:val="00522997"/>
    <w:rsid w:val="00530718"/>
    <w:rsid w:val="0053119E"/>
    <w:rsid w:val="00535DD2"/>
    <w:rsid w:val="00536C0E"/>
    <w:rsid w:val="0054219D"/>
    <w:rsid w:val="00543899"/>
    <w:rsid w:val="0055083B"/>
    <w:rsid w:val="00563499"/>
    <w:rsid w:val="00565CD4"/>
    <w:rsid w:val="00565F2D"/>
    <w:rsid w:val="00575E1D"/>
    <w:rsid w:val="00582526"/>
    <w:rsid w:val="005A3706"/>
    <w:rsid w:val="005B0797"/>
    <w:rsid w:val="005B2ADE"/>
    <w:rsid w:val="005C5D2C"/>
    <w:rsid w:val="005D6D08"/>
    <w:rsid w:val="005E1B21"/>
    <w:rsid w:val="005E38CE"/>
    <w:rsid w:val="005E4F47"/>
    <w:rsid w:val="00612CCB"/>
    <w:rsid w:val="00620003"/>
    <w:rsid w:val="00624479"/>
    <w:rsid w:val="00634DA7"/>
    <w:rsid w:val="00635152"/>
    <w:rsid w:val="00642267"/>
    <w:rsid w:val="006443BD"/>
    <w:rsid w:val="006468F9"/>
    <w:rsid w:val="00655C51"/>
    <w:rsid w:val="00663D48"/>
    <w:rsid w:val="00673EAC"/>
    <w:rsid w:val="00681A29"/>
    <w:rsid w:val="00697F0E"/>
    <w:rsid w:val="006B5D38"/>
    <w:rsid w:val="006C1D25"/>
    <w:rsid w:val="006C302C"/>
    <w:rsid w:val="006D0910"/>
    <w:rsid w:val="006E0625"/>
    <w:rsid w:val="006E205F"/>
    <w:rsid w:val="006F1BF6"/>
    <w:rsid w:val="006F33CD"/>
    <w:rsid w:val="006F3C7A"/>
    <w:rsid w:val="007012BA"/>
    <w:rsid w:val="00701388"/>
    <w:rsid w:val="00702E8E"/>
    <w:rsid w:val="007043A9"/>
    <w:rsid w:val="0071147B"/>
    <w:rsid w:val="00712323"/>
    <w:rsid w:val="00721385"/>
    <w:rsid w:val="00721C40"/>
    <w:rsid w:val="00737443"/>
    <w:rsid w:val="00737A1A"/>
    <w:rsid w:val="00744E54"/>
    <w:rsid w:val="00745299"/>
    <w:rsid w:val="00746C29"/>
    <w:rsid w:val="007509E6"/>
    <w:rsid w:val="00763B26"/>
    <w:rsid w:val="00766989"/>
    <w:rsid w:val="00792454"/>
    <w:rsid w:val="00793CC3"/>
    <w:rsid w:val="007A4C41"/>
    <w:rsid w:val="007B3C47"/>
    <w:rsid w:val="007D636A"/>
    <w:rsid w:val="007D659B"/>
    <w:rsid w:val="007D68F7"/>
    <w:rsid w:val="007E63A6"/>
    <w:rsid w:val="007F445F"/>
    <w:rsid w:val="0080277A"/>
    <w:rsid w:val="008124E5"/>
    <w:rsid w:val="0081792A"/>
    <w:rsid w:val="00823786"/>
    <w:rsid w:val="00824A74"/>
    <w:rsid w:val="00825577"/>
    <w:rsid w:val="00835FAE"/>
    <w:rsid w:val="00856B86"/>
    <w:rsid w:val="008602C1"/>
    <w:rsid w:val="00860EB2"/>
    <w:rsid w:val="008634CE"/>
    <w:rsid w:val="00863CB1"/>
    <w:rsid w:val="00871D24"/>
    <w:rsid w:val="00890AE7"/>
    <w:rsid w:val="008A0128"/>
    <w:rsid w:val="008C4008"/>
    <w:rsid w:val="008C6550"/>
    <w:rsid w:val="008D095E"/>
    <w:rsid w:val="008F4556"/>
    <w:rsid w:val="0090171A"/>
    <w:rsid w:val="0090337C"/>
    <w:rsid w:val="00904E3A"/>
    <w:rsid w:val="00907893"/>
    <w:rsid w:val="00907DD4"/>
    <w:rsid w:val="0092012F"/>
    <w:rsid w:val="0092652E"/>
    <w:rsid w:val="0094019A"/>
    <w:rsid w:val="00941004"/>
    <w:rsid w:val="00953456"/>
    <w:rsid w:val="00957846"/>
    <w:rsid w:val="00984025"/>
    <w:rsid w:val="00986782"/>
    <w:rsid w:val="00997983"/>
    <w:rsid w:val="009A4E89"/>
    <w:rsid w:val="009A69FB"/>
    <w:rsid w:val="009B00B9"/>
    <w:rsid w:val="009B49C1"/>
    <w:rsid w:val="009B4D9B"/>
    <w:rsid w:val="009B51A4"/>
    <w:rsid w:val="009D2F2E"/>
    <w:rsid w:val="009E4886"/>
    <w:rsid w:val="009F2140"/>
    <w:rsid w:val="009F348F"/>
    <w:rsid w:val="009F545E"/>
    <w:rsid w:val="009F5662"/>
    <w:rsid w:val="00A0365C"/>
    <w:rsid w:val="00A05219"/>
    <w:rsid w:val="00A23690"/>
    <w:rsid w:val="00A43A75"/>
    <w:rsid w:val="00A572FE"/>
    <w:rsid w:val="00A645AA"/>
    <w:rsid w:val="00A705CC"/>
    <w:rsid w:val="00A72702"/>
    <w:rsid w:val="00A7458D"/>
    <w:rsid w:val="00A9601B"/>
    <w:rsid w:val="00AA6336"/>
    <w:rsid w:val="00AB28A2"/>
    <w:rsid w:val="00AC0AF7"/>
    <w:rsid w:val="00AC23D5"/>
    <w:rsid w:val="00AD1FB0"/>
    <w:rsid w:val="00AD49B1"/>
    <w:rsid w:val="00AD5367"/>
    <w:rsid w:val="00AD79A2"/>
    <w:rsid w:val="00AE6582"/>
    <w:rsid w:val="00AF201A"/>
    <w:rsid w:val="00AF2327"/>
    <w:rsid w:val="00B04324"/>
    <w:rsid w:val="00B06E86"/>
    <w:rsid w:val="00B23AA6"/>
    <w:rsid w:val="00B44870"/>
    <w:rsid w:val="00B6355F"/>
    <w:rsid w:val="00B65331"/>
    <w:rsid w:val="00B717FD"/>
    <w:rsid w:val="00B826EE"/>
    <w:rsid w:val="00B82F25"/>
    <w:rsid w:val="00B92E17"/>
    <w:rsid w:val="00B9427D"/>
    <w:rsid w:val="00B95483"/>
    <w:rsid w:val="00B97FDD"/>
    <w:rsid w:val="00BA6C57"/>
    <w:rsid w:val="00BC1930"/>
    <w:rsid w:val="00BC35E2"/>
    <w:rsid w:val="00BD5D47"/>
    <w:rsid w:val="00BD6F11"/>
    <w:rsid w:val="00BE2043"/>
    <w:rsid w:val="00C027B7"/>
    <w:rsid w:val="00C037C5"/>
    <w:rsid w:val="00C10F89"/>
    <w:rsid w:val="00C204EA"/>
    <w:rsid w:val="00C229A6"/>
    <w:rsid w:val="00C260A4"/>
    <w:rsid w:val="00C349BE"/>
    <w:rsid w:val="00C36BA8"/>
    <w:rsid w:val="00C4672F"/>
    <w:rsid w:val="00C56A58"/>
    <w:rsid w:val="00C64E85"/>
    <w:rsid w:val="00C665A1"/>
    <w:rsid w:val="00C84F6D"/>
    <w:rsid w:val="00C87B10"/>
    <w:rsid w:val="00C93971"/>
    <w:rsid w:val="00CA608E"/>
    <w:rsid w:val="00CB115A"/>
    <w:rsid w:val="00CF0C2C"/>
    <w:rsid w:val="00CF31B8"/>
    <w:rsid w:val="00CF6AFE"/>
    <w:rsid w:val="00D12BE2"/>
    <w:rsid w:val="00D43D9C"/>
    <w:rsid w:val="00D53B37"/>
    <w:rsid w:val="00D5533C"/>
    <w:rsid w:val="00D65BDC"/>
    <w:rsid w:val="00D70C06"/>
    <w:rsid w:val="00D71A93"/>
    <w:rsid w:val="00D9511F"/>
    <w:rsid w:val="00D95952"/>
    <w:rsid w:val="00DA2BA8"/>
    <w:rsid w:val="00DB7D5F"/>
    <w:rsid w:val="00DD3249"/>
    <w:rsid w:val="00DF5E5C"/>
    <w:rsid w:val="00E065A7"/>
    <w:rsid w:val="00E1788C"/>
    <w:rsid w:val="00E365B1"/>
    <w:rsid w:val="00E4001F"/>
    <w:rsid w:val="00E46496"/>
    <w:rsid w:val="00E4760F"/>
    <w:rsid w:val="00E5358D"/>
    <w:rsid w:val="00E57A0F"/>
    <w:rsid w:val="00E66A85"/>
    <w:rsid w:val="00E80B2F"/>
    <w:rsid w:val="00E92A58"/>
    <w:rsid w:val="00E9429E"/>
    <w:rsid w:val="00EB2243"/>
    <w:rsid w:val="00EB3408"/>
    <w:rsid w:val="00EB4FE1"/>
    <w:rsid w:val="00EB5CC7"/>
    <w:rsid w:val="00EB7B67"/>
    <w:rsid w:val="00EC2DDF"/>
    <w:rsid w:val="00EC5EF4"/>
    <w:rsid w:val="00ED6A79"/>
    <w:rsid w:val="00EE0FF0"/>
    <w:rsid w:val="00F034E2"/>
    <w:rsid w:val="00F139CC"/>
    <w:rsid w:val="00F15EE2"/>
    <w:rsid w:val="00F318D9"/>
    <w:rsid w:val="00F33F8D"/>
    <w:rsid w:val="00F41255"/>
    <w:rsid w:val="00F4728D"/>
    <w:rsid w:val="00F51E4A"/>
    <w:rsid w:val="00F71C88"/>
    <w:rsid w:val="00F81970"/>
    <w:rsid w:val="00F953CA"/>
    <w:rsid w:val="00FA172E"/>
    <w:rsid w:val="00FA4845"/>
    <w:rsid w:val="00FC7733"/>
    <w:rsid w:val="00FD2CCE"/>
    <w:rsid w:val="00FD698A"/>
    <w:rsid w:val="00FE378E"/>
    <w:rsid w:val="00FF5E3A"/>
    <w:rsid w:val="00FF7678"/>
    <w:rsid w:val="0C082373"/>
    <w:rsid w:val="0FBA55CD"/>
    <w:rsid w:val="1B817A42"/>
    <w:rsid w:val="1C5A5ECD"/>
    <w:rsid w:val="1E8C6387"/>
    <w:rsid w:val="23DA6CA9"/>
    <w:rsid w:val="2A257690"/>
    <w:rsid w:val="47772C37"/>
    <w:rsid w:val="482B3842"/>
    <w:rsid w:val="5B5269F4"/>
    <w:rsid w:val="60CC7399"/>
    <w:rsid w:val="6AAD2899"/>
    <w:rsid w:val="755D5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2F5496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2F5496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2F5496" w:themeColor="accent1" w:themeShade="BF"/>
      <w:szCs w:val="22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85858" w:themeColor="text1" w:themeTint="A6"/>
      <w:szCs w:val="22"/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85858" w:themeColor="text1" w:themeTint="A6"/>
      <w:szCs w:val="22"/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85858" w:themeColor="text1" w:themeTint="A6"/>
      <w:szCs w:val="22"/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7">
    <w:name w:val="Emphasis"/>
    <w:basedOn w:val="16"/>
    <w:qFormat/>
    <w:uiPriority w:val="20"/>
    <w:rPr>
      <w:i/>
    </w:rPr>
  </w:style>
  <w:style w:type="character" w:customStyle="1" w:styleId="18">
    <w:name w:val="Heading 1 Char"/>
    <w:basedOn w:val="16"/>
    <w:link w:val="2"/>
    <w:qFormat/>
    <w:uiPriority w:val="9"/>
    <w:rPr>
      <w:rFonts w:asciiTheme="majorHAnsi" w:hAnsiTheme="majorHAnsi" w:eastAsiaTheme="majorEastAsia" w:cstheme="majorBidi"/>
      <w:color w:val="2F5496" w:themeColor="accent1" w:themeShade="BF"/>
      <w:sz w:val="48"/>
      <w:szCs w:val="48"/>
    </w:rPr>
  </w:style>
  <w:style w:type="character" w:customStyle="1" w:styleId="19">
    <w:name w:val="Heading 2 Char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customStyle="1" w:styleId="20">
    <w:name w:val="Heading 3 Char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customStyle="1" w:styleId="21">
    <w:name w:val="Heading 4 Char"/>
    <w:basedOn w:val="16"/>
    <w:link w:val="5"/>
    <w:semiHidden/>
    <w:qFormat/>
    <w:uiPriority w:val="9"/>
    <w:rPr>
      <w:rFonts w:cstheme="majorBidi"/>
      <w:color w:val="2F5496" w:themeColor="accent1" w:themeShade="BF"/>
      <w:sz w:val="28"/>
      <w:szCs w:val="28"/>
    </w:rPr>
  </w:style>
  <w:style w:type="character" w:customStyle="1" w:styleId="22">
    <w:name w:val="Heading 5 Char"/>
    <w:basedOn w:val="16"/>
    <w:link w:val="6"/>
    <w:semiHidden/>
    <w:qFormat/>
    <w:uiPriority w:val="9"/>
    <w:rPr>
      <w:rFonts w:cstheme="majorBidi"/>
      <w:color w:val="2F5496" w:themeColor="accent1" w:themeShade="BF"/>
      <w:sz w:val="24"/>
      <w:szCs w:val="24"/>
    </w:rPr>
  </w:style>
  <w:style w:type="character" w:customStyle="1" w:styleId="23">
    <w:name w:val="Heading 6 Char"/>
    <w:basedOn w:val="16"/>
    <w:link w:val="7"/>
    <w:semiHidden/>
    <w:qFormat/>
    <w:uiPriority w:val="9"/>
    <w:rPr>
      <w:rFonts w:cstheme="majorBidi"/>
      <w:b/>
      <w:bCs/>
      <w:color w:val="2F5496" w:themeColor="accent1" w:themeShade="BF"/>
    </w:rPr>
  </w:style>
  <w:style w:type="character" w:customStyle="1" w:styleId="24">
    <w:name w:val="Heading 7 Char"/>
    <w:basedOn w:val="16"/>
    <w:link w:val="8"/>
    <w:semiHidden/>
    <w:qFormat/>
    <w:uiPriority w:val="9"/>
    <w:rPr>
      <w:rFonts w:cstheme="majorBidi"/>
      <w:b/>
      <w:bCs/>
      <w:color w:val="585858" w:themeColor="text1" w:themeTint="A6"/>
    </w:rPr>
  </w:style>
  <w:style w:type="character" w:customStyle="1" w:styleId="25">
    <w:name w:val="Heading 8 Char"/>
    <w:basedOn w:val="16"/>
    <w:link w:val="9"/>
    <w:semiHidden/>
    <w:qFormat/>
    <w:uiPriority w:val="9"/>
    <w:rPr>
      <w:rFonts w:cstheme="majorBidi"/>
      <w:color w:val="585858" w:themeColor="text1" w:themeTint="A6"/>
    </w:rPr>
  </w:style>
  <w:style w:type="character" w:customStyle="1" w:styleId="26">
    <w:name w:val="Heading 9 Char"/>
    <w:basedOn w:val="16"/>
    <w:link w:val="10"/>
    <w:semiHidden/>
    <w:qFormat/>
    <w:uiPriority w:val="9"/>
    <w:rPr>
      <w:rFonts w:eastAsiaTheme="majorEastAsia" w:cstheme="majorBidi"/>
      <w:color w:val="585858" w:themeColor="text1" w:themeTint="A6"/>
    </w:rPr>
  </w:style>
  <w:style w:type="character" w:customStyle="1" w:styleId="27">
    <w:name w:val="Title Char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Subtitle Char"/>
    <w:basedOn w:val="16"/>
    <w:link w:val="13"/>
    <w:qFormat/>
    <w:uiPriority w:val="11"/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rFonts w:asciiTheme="minorHAnsi" w:hAnsiTheme="minorHAnsi" w:eastAsiaTheme="minorEastAsia" w:cstheme="minorBidi"/>
      <w:i/>
      <w:iCs/>
      <w:color w:val="3F3F3F" w:themeColor="text1" w:themeTint="BF"/>
      <w:szCs w:val="22"/>
    </w:rPr>
  </w:style>
  <w:style w:type="character" w:customStyle="1" w:styleId="30">
    <w:name w:val="Quote Char"/>
    <w:basedOn w:val="16"/>
    <w:link w:val="29"/>
    <w:qFormat/>
    <w:uiPriority w:val="29"/>
    <w:rPr>
      <w:i/>
      <w:iCs/>
      <w:color w:val="3F3F3F" w:themeColor="text1" w:themeTint="BF"/>
    </w:rPr>
  </w:style>
  <w:style w:type="paragraph" w:styleId="31">
    <w:name w:val="List Paragraph"/>
    <w:basedOn w:val="1"/>
    <w:qFormat/>
    <w:uiPriority w:val="34"/>
    <w:pPr>
      <w:ind w:left="720"/>
      <w:contextualSpacing/>
    </w:pPr>
    <w:rPr>
      <w:rFonts w:asciiTheme="minorHAnsi" w:hAnsiTheme="minorHAnsi" w:eastAsiaTheme="minorEastAsia" w:cstheme="minorBidi"/>
      <w:szCs w:val="22"/>
    </w:rPr>
  </w:style>
  <w:style w:type="character" w:customStyle="1" w:styleId="32">
    <w:name w:val="明显强调1"/>
    <w:basedOn w:val="16"/>
    <w:qFormat/>
    <w:uiPriority w:val="21"/>
    <w:rPr>
      <w:i/>
      <w:iCs/>
      <w:color w:val="2F5496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2F5496" w:themeColor="accent1" w:themeShade="BF"/>
      <w:szCs w:val="22"/>
    </w:rPr>
  </w:style>
  <w:style w:type="character" w:customStyle="1" w:styleId="34">
    <w:name w:val="Intense Quote Char"/>
    <w:basedOn w:val="16"/>
    <w:link w:val="33"/>
    <w:qFormat/>
    <w:uiPriority w:val="30"/>
    <w:rPr>
      <w:i/>
      <w:iCs/>
      <w:color w:val="2F5496" w:themeColor="accent1" w:themeShade="BF"/>
    </w:rPr>
  </w:style>
  <w:style w:type="character" w:customStyle="1" w:styleId="35">
    <w:name w:val="明显参考1"/>
    <w:basedOn w:val="16"/>
    <w:qFormat/>
    <w:uiPriority w:val="32"/>
    <w:rPr>
      <w:b/>
      <w:bCs/>
      <w:smallCaps/>
      <w:color w:val="2F5496" w:themeColor="accent1" w:themeShade="BF"/>
      <w:spacing w:val="5"/>
    </w:rPr>
  </w:style>
  <w:style w:type="character" w:customStyle="1" w:styleId="36">
    <w:name w:val="Header Char"/>
    <w:basedOn w:val="16"/>
    <w:link w:val="12"/>
    <w:qFormat/>
    <w:uiPriority w:val="99"/>
    <w:rPr>
      <w:sz w:val="18"/>
      <w:szCs w:val="18"/>
    </w:rPr>
  </w:style>
  <w:style w:type="character" w:customStyle="1" w:styleId="37">
    <w:name w:val="Footer Char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1200</Words>
  <Characters>4752</Characters>
  <Lines>385</Lines>
  <Paragraphs>382</Paragraphs>
  <TotalTime>3</TotalTime>
  <ScaleCrop>false</ScaleCrop>
  <LinksUpToDate>false</LinksUpToDate>
  <CharactersWithSpaces>5247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2025-03-14T14:22:00Z</dcterms:created>
  <dc:creator>晓萍 林</dc:creator>
  <cp:lastModifiedBy>湫</cp:lastModifiedBy>
  <dcterms:modified xsi:type="dcterms:W3CDTF">2025-08-02T06:46:11Z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eyJoZGlkIjoiZDZkNWU2ODgwMWM0Yzk2NTg4YTdkMzdlNjZkMjZjZGQiLCJ1c2VySWQiOiIxMjAzMDUwMTE4In0=</vt:lpwstr>
  </property>
  <property fmtid="{D5CDD505-2E9C-101B-9397-08002B2CF9AE}" pid="3" name="KSOProductBuildVer">
    <vt:lpwstr>2052-12.1.0.22215</vt:lpwstr>
  </property>
  <property fmtid="{D5CDD505-2E9C-101B-9397-08002B2CF9AE}" pid="4" name="ICV">
    <vt:lpwstr>D8D82297DA764FBB9697E311BB70F74A_12</vt:lpwstr>
  </property>
</Properties>
</file>