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3860B0">
      <w:pPr>
        <w:pStyle w:val="3"/>
        <w:jc w:val="center"/>
        <w:rPr>
          <w:rFonts w:hint="default" w:ascii="Times New Roman" w:hAnsi="Times New Roman" w:cs="Times New Roman"/>
          <w:color w:val="auto"/>
        </w:rPr>
      </w:pPr>
      <w:r>
        <w:rPr>
          <w:rFonts w:hint="default" w:ascii="Times New Roman" w:hAnsi="Times New Roman" w:eastAsia="宋体" w:cs="Times New Roman"/>
          <w:color w:val="auto"/>
          <w:sz w:val="24"/>
          <w:szCs w:val="24"/>
        </w:rPr>
        <w:t>BCT taxonomy for improving medication adherence (including intervention functions)</w:t>
      </w:r>
    </w:p>
    <w:tbl>
      <w:tblPr>
        <w:tblStyle w:val="33"/>
        <w:tblW w:w="887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8"/>
        <w:gridCol w:w="3328"/>
        <w:gridCol w:w="3290"/>
      </w:tblGrid>
      <w:tr w14:paraId="4F0D33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4F81BD" w:themeColor="accent1" w:sz="6" w:space="0"/>
              <w:left w:val="single" w:color="4F81BD" w:themeColor="accent1" w:sz="6" w:space="0"/>
              <w:bottom w:val="single" w:color="4F81BD" w:themeColor="accent1" w:sz="6" w:space="0"/>
              <w:right w:val="single" w:color="B8CCE4" w:themeColor="accent1" w:themeTint="66" w:sz="6" w:space="0"/>
            </w:tcBorders>
            <w:shd w:val="clear" w:color="auto" w:fill="4F81BD" w:themeFill="accent1"/>
            <w:vAlign w:val="center"/>
          </w:tcPr>
          <w:p w14:paraId="682E3059">
            <w:pPr>
              <w:spacing w:after="0" w:line="240" w:lineRule="auto"/>
              <w:jc w:val="center"/>
              <w:rPr>
                <w:rFonts w:hint="default" w:eastAsia="宋体"/>
                <w:b/>
                <w:bCs/>
                <w:i w:val="0"/>
                <w:color w:val="FFFFFF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i w:val="0"/>
                <w:color w:val="FFFFFF"/>
                <w:lang w:val="en-US" w:eastAsia="zh-CN"/>
              </w:rPr>
              <w:t>BCT（Chinese）</w:t>
            </w:r>
          </w:p>
        </w:tc>
        <w:tc>
          <w:tcPr>
            <w:tcW w:w="3328" w:type="dxa"/>
            <w:tcBorders>
              <w:top w:val="single" w:color="4F81BD" w:themeColor="accent1" w:sz="6" w:space="0"/>
              <w:left w:val="single" w:color="B8CCE4" w:themeColor="accent1" w:themeTint="66" w:sz="6" w:space="0"/>
              <w:bottom w:val="single" w:color="4F81BD" w:themeColor="accent1" w:sz="6" w:space="0"/>
              <w:right w:val="single" w:color="B8CCE4" w:themeColor="accent1" w:themeTint="66" w:sz="6" w:space="0"/>
            </w:tcBorders>
            <w:shd w:val="clear" w:color="auto" w:fill="4F81BD" w:themeFill="accent1"/>
            <w:vAlign w:val="center"/>
          </w:tcPr>
          <w:p w14:paraId="5911E47B">
            <w:pPr>
              <w:spacing w:after="0" w:line="240" w:lineRule="auto"/>
              <w:jc w:val="center"/>
              <w:rPr>
                <w:rFonts w:hint="default" w:eastAsia="宋体"/>
                <w:b/>
                <w:bCs/>
                <w:i w:val="0"/>
                <w:color w:val="FFFFFF"/>
                <w:lang w:val="en-US" w:eastAsia="zh-CN"/>
              </w:rPr>
            </w:pPr>
            <w:r>
              <w:rPr>
                <w:rFonts w:hint="eastAsia" w:eastAsia="宋体"/>
                <w:b/>
                <w:bCs/>
                <w:i w:val="0"/>
                <w:color w:val="FFFFFF"/>
                <w:lang w:val="en-US" w:eastAsia="zh-CN"/>
              </w:rPr>
              <w:t>BCT(English)</w:t>
            </w:r>
          </w:p>
        </w:tc>
        <w:tc>
          <w:tcPr>
            <w:tcW w:w="3290" w:type="dxa"/>
            <w:tcBorders>
              <w:top w:val="single" w:color="4F81BD" w:themeColor="accent1" w:sz="6" w:space="0"/>
              <w:left w:val="single" w:color="B8CCE4" w:themeColor="accent1" w:themeTint="66" w:sz="6" w:space="0"/>
              <w:bottom w:val="single" w:color="4F81BD" w:themeColor="accent1" w:sz="6" w:space="0"/>
              <w:right w:val="single" w:color="4F81BD" w:themeColor="accent1" w:sz="6" w:space="0"/>
            </w:tcBorders>
            <w:shd w:val="clear" w:color="auto" w:fill="4F81BD" w:themeFill="accent1"/>
            <w:vAlign w:val="center"/>
          </w:tcPr>
          <w:p w14:paraId="4F01B825">
            <w:pPr>
              <w:spacing w:after="0" w:line="240" w:lineRule="auto"/>
              <w:jc w:val="center"/>
              <w:rPr>
                <w:b/>
                <w:bCs/>
                <w:i w:val="0"/>
                <w:color w:val="FFFFFF"/>
              </w:rPr>
            </w:pPr>
            <w:r>
              <w:rPr>
                <w:rFonts w:hint="eastAsia"/>
                <w:b/>
                <w:bCs/>
                <w:i w:val="0"/>
                <w:color w:val="FFFFFF"/>
              </w:rPr>
              <w:t>Intervention Functions</w:t>
            </w:r>
          </w:p>
        </w:tc>
      </w:tr>
      <w:tr w14:paraId="1ED8B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4F81BD" w:themeColor="accent1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233FE23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关于健康后果的信息</w:t>
            </w:r>
          </w:p>
        </w:tc>
        <w:tc>
          <w:tcPr>
            <w:tcW w:w="3328" w:type="dxa"/>
            <w:tcBorders>
              <w:top w:val="single" w:color="4F81BD" w:themeColor="accent1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1769FAC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(5.1) Information about health consequences</w:t>
            </w:r>
          </w:p>
        </w:tc>
        <w:tc>
          <w:tcPr>
            <w:tcW w:w="3290" w:type="dxa"/>
            <w:tcBorders>
              <w:top w:val="single" w:color="4F81BD" w:themeColor="accent1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0AEBCBF8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Education, Persuasion</w:t>
            </w:r>
          </w:p>
        </w:tc>
      </w:tr>
      <w:tr w14:paraId="2C622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69A2263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提供健康益处的信息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1DA09D42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(5.6) Information about health benefits</w:t>
            </w:r>
            <w:bookmarkStart w:id="0" w:name="_GoBack"/>
            <w:bookmarkEnd w:id="0"/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61A99A7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Education, Persuasion</w:t>
            </w:r>
          </w:p>
        </w:tc>
      </w:tr>
      <w:tr w14:paraId="1EA66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482C7D3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指导如何执行行为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65F4417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(4.1) Instruction on how to perform the behaviour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5EB2C75B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Education, Training</w:t>
            </w:r>
          </w:p>
        </w:tc>
      </w:tr>
      <w:tr w14:paraId="632D28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6C64D86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信息关于先行事件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75F56784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(4.2) Information about antecedents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241A96B2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Education</w:t>
            </w:r>
          </w:p>
        </w:tc>
      </w:tr>
      <w:tr w14:paraId="289F20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9ACA88A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行动计划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25BB06C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(1.4) Action planning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3C00241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Training, Enablement</w:t>
            </w:r>
          </w:p>
        </w:tc>
      </w:tr>
      <w:tr w14:paraId="0F82B1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0E17A312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设定行为目标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47C0CAE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(1.1) Goal setting (behaviour)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486CE58B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Training, Enablement</w:t>
            </w:r>
          </w:p>
        </w:tc>
      </w:tr>
      <w:tr w14:paraId="5C66C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3F855CC8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回顾行为目标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1DE8EA2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(1.5) Review behaviour goal(s)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2224D2B4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Training, Enablement</w:t>
            </w:r>
          </w:p>
        </w:tc>
      </w:tr>
      <w:tr w14:paraId="05DC75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6DA948A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问题解决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6AA08F2A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(1.2) Problem solving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17C65D5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Training, Enablement</w:t>
            </w:r>
          </w:p>
        </w:tc>
      </w:tr>
      <w:tr w14:paraId="2B724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5944E88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行为契约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6D3E433C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(1.8) Behavioral contract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2281BA4B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Enablement, Persuasion</w:t>
            </w:r>
          </w:p>
        </w:tc>
      </w:tr>
      <w:tr w14:paraId="6522C8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507FFBC1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承诺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53AC6A5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(1.9) Commitment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0C326AD1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Enablement, Persuasion</w:t>
            </w:r>
          </w:p>
        </w:tc>
      </w:tr>
      <w:tr w14:paraId="6D7CBD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6D733EAA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比较利弊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67C1C5C2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(9.2) Pros and cons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46C23E1E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Persuasion, Education</w:t>
            </w:r>
          </w:p>
        </w:tc>
      </w:tr>
      <w:tr w14:paraId="0BAB0A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33A8F12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提示/线索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6EFB050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(7.1) Prompts/cues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70E1DD4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Environmental restructuring, Enablement</w:t>
            </w:r>
          </w:p>
        </w:tc>
      </w:tr>
      <w:tr w14:paraId="1223A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704970A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减少提示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46DC80C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(7.3) Reduce</w:t>
            </w:r>
            <w:r>
              <w:rPr>
                <w:rFonts w:hint="eastAsia" w:eastAsia="宋体"/>
                <w:b w:val="0"/>
                <w:i w:val="0"/>
                <w:color w:val="000000"/>
                <w:lang w:val="en-US" w:eastAsia="zh-CN"/>
              </w:rPr>
              <w:t xml:space="preserve"> </w:t>
            </w:r>
            <w:r>
              <w:rPr>
                <w:b w:val="0"/>
                <w:i w:val="0"/>
                <w:color w:val="000000"/>
              </w:rPr>
              <w:t>prompts/cues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24129891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Environmental restructuring</w:t>
            </w:r>
          </w:p>
        </w:tc>
      </w:tr>
      <w:tr w14:paraId="7A904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2129F83E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重塑物理环境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7464B8AE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(12.1) Restructuring the physical environment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58295AEB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Environmental restructuring</w:t>
            </w:r>
          </w:p>
        </w:tc>
      </w:tr>
      <w:tr w14:paraId="64173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5DEEC8F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重塑社会环境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4C5D8CD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(12.2) Restructuring the social environment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2606771E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Environmental restructuring</w:t>
            </w:r>
          </w:p>
        </w:tc>
      </w:tr>
      <w:tr w14:paraId="262B95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678C047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添加环境对象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38937F5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(12.5) Adding objects to the environment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6EAE9BD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Environmental restructuring</w:t>
            </w:r>
          </w:p>
        </w:tc>
      </w:tr>
      <w:tr w14:paraId="72C9BF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B1109F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行为形成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712A38A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(8.1) Behavioural practice/rehearsal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21D6D97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Training</w:t>
            </w:r>
          </w:p>
        </w:tc>
      </w:tr>
      <w:tr w14:paraId="2736D4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0CA84000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行为替代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617CA1B8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(8.2) Behaviour substitution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448AC35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Training, Enablement</w:t>
            </w:r>
          </w:p>
        </w:tc>
      </w:tr>
      <w:tr w14:paraId="204FE9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75C8F3D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形成习惯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47A915B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(8.3) Habit formation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7C09D96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Training, Enablement</w:t>
            </w:r>
          </w:p>
        </w:tc>
      </w:tr>
      <w:tr w14:paraId="03246E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41A56021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生动展示行为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76EAE96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(6.1) Demonstration of the behaviour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25C30C6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Modelling</w:t>
            </w:r>
          </w:p>
        </w:tc>
      </w:tr>
      <w:tr w14:paraId="2C3613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523D2F74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社会比较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2BC5A33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(6.2) Social comparison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6FEF3C4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Persuasion, Modelling</w:t>
            </w:r>
          </w:p>
        </w:tc>
      </w:tr>
      <w:tr w14:paraId="132573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0E5AA0EC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他人批准信息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785105EC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(6.3) Information about others’ approval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0344CD0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5A09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8B2475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自我监测行为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4A7F93EB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(2.3) Self-monitoring of behaviour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6E20327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Enablement</w:t>
            </w:r>
          </w:p>
        </w:tc>
      </w:tr>
      <w:tr w14:paraId="109DC6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080CAF5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监测行为结果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539F0DDB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(2.7) Feedback on outcome(s) of behaviour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64335DF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Enablement</w:t>
            </w:r>
          </w:p>
        </w:tc>
      </w:tr>
      <w:tr w14:paraId="6354C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50F5D34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反馈行为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3FD2518A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(2.2) Feedback on behaviour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618596B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Enablement</w:t>
            </w:r>
          </w:p>
        </w:tc>
      </w:tr>
      <w:tr w14:paraId="3B9D70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4DFCF56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生物反馈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6840F73E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(2.6) Biofeedback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66C6C814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Enablement</w:t>
            </w:r>
          </w:p>
        </w:tc>
      </w:tr>
      <w:tr w14:paraId="568D4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7D6FBB2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生理/健康监测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7CDA000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(2.5) Monitoring outcome(s) by others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5D3BC13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Enablement</w:t>
            </w:r>
          </w:p>
        </w:tc>
      </w:tr>
      <w:tr w14:paraId="49935C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73BEC114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社会支持（实际的）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12C031B2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(3.2) Social support (practical)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147EBB0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Enablement</w:t>
            </w:r>
          </w:p>
        </w:tc>
      </w:tr>
      <w:tr w14:paraId="2D87B7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7ABC0222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社会支持（非特指）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61E552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(3.1) Social support (unspecified)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244331EE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Enablement</w:t>
            </w:r>
          </w:p>
        </w:tc>
      </w:tr>
      <w:tr w14:paraId="07AB7B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0799ED9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口头能力说服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0E6C62D8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(15.1) Verbal persuasion about capability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707C868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10022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890F72A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心理排练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151E2ED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(15.2) Mental rehearsal of successful performance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2960BC7B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Training</w:t>
            </w:r>
          </w:p>
        </w:tc>
      </w:tr>
      <w:tr w14:paraId="09C61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2205DD1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聚焦过去成功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7C736534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(15.3) Focus on past success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67AECF2B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6E01DE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6A68A94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自我对话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3EF87A5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(15.4) Self-talk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60754BC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5C87C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2E7882A1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身份识别塑造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6322B93B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(13.1) Identification of self as role model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464EBED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Modelling</w:t>
            </w:r>
          </w:p>
        </w:tc>
      </w:tr>
      <w:tr w14:paraId="6D4540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F335224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重构信念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713211C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(13.2) Framing/reframing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1D9BDC38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3178B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7318BDF2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不兼容信念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0B64B28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(13.3) Incompatible beliefs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17DAA64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7CBD0F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5D838CA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重视身份认同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6B7FD77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(13.4) Valued self-identity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1CCE3FA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73BB2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3D5DEC5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行为相关身份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2E2F8F2E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(13.5) Identity associated with changed behaviour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72542AC8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576F0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4D52F73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社会奖励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9DA6C38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(10.4) Social reward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37153000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43E988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712C63EE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自我奖励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25CC365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(10.9) Self-reward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6B156B7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50E20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F4B391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物质奖励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7FBCD44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(10.1) Material incentive (behaviour)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6769051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7E2605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11693F1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社会激励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597F93D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(10.5) Social incentive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27CE021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3F3B3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54A198BA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非特指激励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71DF8E61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(10.6) Non-specific incentive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726062EE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15B0EF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22550B1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自我激励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3A19FCF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(10.7) Self-incentive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5A04DE4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3F93AD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16857F7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行为结果激励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EF4A774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(10.8) Incentive (outcome)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6BC7FBE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12363E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2C32808C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情景特定奖励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4E305BEA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(10.6) Situation-specific reward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45EB09F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698BE0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B44BCF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删除奖励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5D2C8791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(14.9) Reduce reward frequency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13453CC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Coercion</w:t>
            </w:r>
          </w:p>
        </w:tc>
      </w:tr>
      <w:tr w14:paraId="2C261B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3AF043B2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情境代价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336E8A3B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(14.1) Behaviour cost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3F08C33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Coercion</w:t>
            </w:r>
          </w:p>
        </w:tc>
      </w:tr>
      <w:tr w14:paraId="3D4B46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29C024D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惩罚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179395E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(14.2) Punishment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07A2D45D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Coercion</w:t>
            </w:r>
          </w:p>
        </w:tc>
      </w:tr>
      <w:tr w14:paraId="32C70C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18C11392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奖励近似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1848DED3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(14.4) Reward approximation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2B689E2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30C3B8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11BD1EF2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奖励完成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6EAFC5D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(14.5) Rewarding completion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32BF57D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0E1EE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48F75DCA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惩罚移除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53F8C3CE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(14.10) Remove punishment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32C40354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Coercion</w:t>
            </w:r>
          </w:p>
        </w:tc>
      </w:tr>
      <w:tr w14:paraId="4E50CC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1E6F841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身体变化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909383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(12.6) Body changes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27C4AE6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Environmental restructuring</w:t>
            </w:r>
          </w:p>
        </w:tc>
      </w:tr>
      <w:tr w14:paraId="13263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15315D0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想象惩罚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6E1FE2E6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(16.1) Imaginary punishment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7E284D8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3B01E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49AE85EE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想象奖励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3C0FAD7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(16.2) Imaginary reward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13CB846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37D450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5F7E2AB1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替代行为奖励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78F27A9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(14.8) Reward alternative behaviour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739B0CA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562B5D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4D98386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非兼容行为奖励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47020951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(14.7) Reward incompatible behavior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3F8A4772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Incentivisation</w:t>
            </w:r>
          </w:p>
        </w:tc>
      </w:tr>
      <w:tr w14:paraId="644FD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29C0ED74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情绪后果信息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362F3970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(5.6) Information about emotional consequences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2444D509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67A29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034952FC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预期后悔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B8CCE4" w:themeColor="accent1" w:themeTint="66" w:sz="6" w:space="0"/>
            </w:tcBorders>
            <w:shd w:val="clear" w:color="auto" w:fill="FFFFFF"/>
            <w:vAlign w:val="center"/>
          </w:tcPr>
          <w:p w14:paraId="1EACDDA8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(5.5) Anticipated regret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B8CCE4" w:themeColor="accent1" w:themeTint="66" w:sz="6" w:space="0"/>
              <w:right w:val="single" w:color="4F81BD" w:themeColor="accent1" w:sz="6" w:space="0"/>
            </w:tcBorders>
            <w:shd w:val="clear" w:color="auto" w:fill="FFFFFF"/>
            <w:vAlign w:val="center"/>
          </w:tcPr>
          <w:p w14:paraId="2BDFD091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Persuasion</w:t>
            </w:r>
          </w:p>
        </w:tc>
      </w:tr>
      <w:tr w14:paraId="5D393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8" w:type="dxa"/>
            <w:tcBorders>
              <w:top w:val="single" w:color="B8CCE4" w:themeColor="accent1" w:themeTint="66" w:sz="6" w:space="0"/>
              <w:left w:val="single" w:color="4F81BD" w:themeColor="accent1" w:sz="6" w:space="0"/>
              <w:bottom w:val="single" w:color="4F81BD" w:themeColor="accent1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2F57E187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降低负面情绪</w:t>
            </w:r>
          </w:p>
        </w:tc>
        <w:tc>
          <w:tcPr>
            <w:tcW w:w="3328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4F81BD" w:themeColor="accent1" w:sz="6" w:space="0"/>
              <w:right w:val="single" w:color="B8CCE4" w:themeColor="accent1" w:themeTint="66" w:sz="6" w:space="0"/>
            </w:tcBorders>
            <w:shd w:val="clear" w:color="auto" w:fill="EDF2F8" w:themeFill="accent1" w:themeFillTint="19"/>
            <w:vAlign w:val="center"/>
          </w:tcPr>
          <w:p w14:paraId="5EAFA5C5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(11.2) Reduce negative emotions</w:t>
            </w:r>
          </w:p>
        </w:tc>
        <w:tc>
          <w:tcPr>
            <w:tcW w:w="3290" w:type="dxa"/>
            <w:tcBorders>
              <w:top w:val="single" w:color="B8CCE4" w:themeColor="accent1" w:themeTint="66" w:sz="6" w:space="0"/>
              <w:left w:val="single" w:color="B8CCE4" w:themeColor="accent1" w:themeTint="66" w:sz="6" w:space="0"/>
              <w:bottom w:val="single" w:color="4F81BD" w:themeColor="accent1" w:sz="6" w:space="0"/>
              <w:right w:val="single" w:color="4F81BD" w:themeColor="accent1" w:sz="6" w:space="0"/>
            </w:tcBorders>
            <w:shd w:val="clear" w:color="auto" w:fill="EDF2F8" w:themeFill="accent1" w:themeFillTint="19"/>
            <w:vAlign w:val="center"/>
          </w:tcPr>
          <w:p w14:paraId="157251BF">
            <w:pPr>
              <w:spacing w:after="0" w:line="240" w:lineRule="auto"/>
              <w:jc w:val="left"/>
              <w:rPr>
                <w:b w:val="0"/>
                <w:i w:val="0"/>
                <w:color w:val="000000"/>
              </w:rPr>
            </w:pPr>
            <w:r>
              <w:rPr>
                <w:b w:val="0"/>
                <w:i w:val="0"/>
                <w:color w:val="000000"/>
              </w:rPr>
              <w:t>Enablement</w:t>
            </w:r>
          </w:p>
        </w:tc>
      </w:tr>
    </w:tbl>
    <w:p w14:paraId="1ED00BE2"/>
    <w:sectPr>
      <w:pgSz w:w="12240" w:h="15840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  <w:font w:name="ＭＳ 明朝">
    <w:altName w:val="Yu Gothic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Yu Gothic">
    <w:panose1 w:val="020B0400000000000000"/>
    <w:charset w:val="80"/>
    <w:family w:val="auto"/>
    <w:pitch w:val="default"/>
    <w:sig w:usb0="E00002FF" w:usb1="2AC7FDFF" w:usb2="00000016" w:usb3="00000000" w:csb0="2002009F" w:csb1="00000000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ＭＳ 明朝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37572AA"/>
    <w:rsid w:val="117F3330"/>
    <w:rsid w:val="13220D35"/>
    <w:rsid w:val="55792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qFormat="1" w:unhideWhenUsed="0" w:uiPriority="69" w:semiHidden="0" w:name="Medium Grid 3"/>
    <w:lsdException w:qFormat="1" w:unhideWhenUsed="0" w:uiPriority="70" w:semiHidden="0" w:name="Dark List"/>
    <w:lsdException w:qFormat="1" w:unhideWhenUsed="0" w:uiPriority="71" w:semiHidden="0" w:name="Colorful Shading"/>
    <w:lsdException w:qFormat="1"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qFormat="1" w:unhideWhenUsed="0" w:uiPriority="69" w:semiHidden="0" w:name="Medium Grid 3 Accent 1"/>
    <w:lsdException w:qFormat="1" w:unhideWhenUsed="0" w:uiPriority="70" w:semiHidden="0" w:name="Dark List Accent 1"/>
    <w:lsdException w:qFormat="1" w:unhideWhenUsed="0" w:uiPriority="71" w:semiHidden="0" w:name="Colorful Shading Accent 1"/>
    <w:lsdException w:qFormat="1" w:unhideWhenUsed="0" w:uiPriority="72" w:semiHidden="0" w:name="Colorful List Accent 1"/>
    <w:lsdException w:qFormat="1"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qFormat="1" w:unhideWhenUsed="0" w:uiPriority="69" w:semiHidden="0" w:name="Medium Grid 3 Accent 2"/>
    <w:lsdException w:qFormat="1" w:unhideWhenUsed="0" w:uiPriority="70" w:semiHidden="0" w:name="Dark List Accent 2"/>
    <w:lsdException w:qFormat="1" w:unhideWhenUsed="0" w:uiPriority="71" w:semiHidden="0" w:name="Colorful Shading Accent 2"/>
    <w:lsdException w:qFormat="1" w:unhideWhenUsed="0" w:uiPriority="72" w:semiHidden="0" w:name="Colorful List Accent 2"/>
    <w:lsdException w:qFormat="1"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qFormat="1" w:unhideWhenUsed="0" w:uiPriority="68" w:semiHidden="0" w:name="Medium Grid 2 Accent 3"/>
    <w:lsdException w:qFormat="1" w:unhideWhenUsed="0" w:uiPriority="69" w:semiHidden="0" w:name="Medium Grid 3 Accent 3"/>
    <w:lsdException w:qFormat="1" w:unhideWhenUsed="0" w:uiPriority="70" w:semiHidden="0" w:name="Dark List Accent 3"/>
    <w:lsdException w:qFormat="1" w:unhideWhenUsed="0" w:uiPriority="71" w:semiHidden="0" w:name="Colorful Shading Accent 3"/>
    <w:lsdException w:qFormat="1" w:unhideWhenUsed="0" w:uiPriority="72" w:semiHidden="0" w:name="Colorful List Accent 3"/>
    <w:lsdException w:qFormat="1"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qFormat="1" w:unhideWhenUsed="0" w:uiPriority="70" w:semiHidden="0" w:name="Dark List Accent 4"/>
    <w:lsdException w:qFormat="1" w:unhideWhenUsed="0" w:uiPriority="71" w:semiHidden="0" w:name="Colorful Shading Accent 4"/>
    <w:lsdException w:qFormat="1"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qFormat="1" w:unhideWhenUsed="0" w:uiPriority="69" w:semiHidden="0" w:name="Medium Grid 3 Accent 5"/>
    <w:lsdException w:qFormat="1" w:unhideWhenUsed="0" w:uiPriority="70" w:semiHidden="0" w:name="Dark List Accent 5"/>
    <w:lsdException w:unhideWhenUsed="0" w:uiPriority="71" w:semiHidden="0" w:name="Colorful Shading Accent 5"/>
    <w:lsdException w:qFormat="1"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qFormat="1" w:unhideWhenUsed="0" w:uiPriority="69" w:semiHidden="0" w:name="Medium Grid 3 Accent 6"/>
    <w:lsdException w:qFormat="1" w:unhideWhenUsed="0" w:uiPriority="70" w:semiHidden="0" w:name="Dark List Accent 6"/>
    <w:lsdException w:qFormat="1" w:unhideWhenUsed="0" w:uiPriority="71" w:semiHidden="0" w:name="Colorful Shading Accent 6"/>
    <w:lsdException w:qFormat="1" w:unhideWhenUsed="0" w:uiPriority="72" w:semiHidden="0" w:name="Colorful List Accent 6"/>
    <w:lsdException w:qFormat="1"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qFormat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qFormat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qFormat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qFormat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qFormat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qFormat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qFormat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633</Words>
  <Characters>2942</Characters>
  <Lines>0</Lines>
  <Paragraphs>0</Paragraphs>
  <TotalTime>1</TotalTime>
  <ScaleCrop>false</ScaleCrop>
  <LinksUpToDate>false</LinksUpToDate>
  <CharactersWithSpaces>3137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cp:lastModifiedBy>方哭哭</cp:lastModifiedBy>
  <dcterms:modified xsi:type="dcterms:W3CDTF">2025-07-13T08:22:05Z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eyJoZGlkIjoiNTU0ZmIwYTQ3NzlmZGUxZmU3Zjk0M2IyZTNmM2IxNjAiLCJ1c2VySWQiOiIzMTA5Njg4NDYifQ==</vt:lpwstr>
  </property>
  <property fmtid="{D5CDD505-2E9C-101B-9397-08002B2CF9AE}" pid="3" name="KSOProductBuildVer">
    <vt:lpwstr>2052-12.1.0.21915</vt:lpwstr>
  </property>
  <property fmtid="{D5CDD505-2E9C-101B-9397-08002B2CF9AE}" pid="4" name="ICV">
    <vt:lpwstr>09CF2B3E63974D11999FB1EBAA188ABE_12</vt:lpwstr>
  </property>
</Properties>
</file>