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97FE" w14:textId="77777777" w:rsidR="0033362D" w:rsidRDefault="0033362D" w:rsidP="0033362D">
      <w:pPr>
        <w:rPr>
          <w:highlight w:val="magenta"/>
        </w:rPr>
      </w:pPr>
      <w:r>
        <w:t>Supplementary Item 2: Inventory of biodiversity-relevant criteria used in solar suitability analysis-related studies from the United States as of 2023</w:t>
      </w:r>
    </w:p>
    <w:tbl>
      <w:tblPr>
        <w:tblW w:w="9825" w:type="dxa"/>
        <w:tblBorders>
          <w:top w:val="nil"/>
          <w:left w:val="nil"/>
          <w:bottom w:val="nil"/>
          <w:right w:val="nil"/>
          <w:insideH w:val="nil"/>
          <w:insideV w:val="nil"/>
        </w:tblBorders>
        <w:tblLayout w:type="fixed"/>
        <w:tblLook w:val="0600" w:firstRow="0" w:lastRow="0" w:firstColumn="0" w:lastColumn="0" w:noHBand="1" w:noVBand="1"/>
      </w:tblPr>
      <w:tblGrid>
        <w:gridCol w:w="2040"/>
        <w:gridCol w:w="1170"/>
        <w:gridCol w:w="2250"/>
        <w:gridCol w:w="4365"/>
      </w:tblGrid>
      <w:tr w:rsidR="0033362D" w14:paraId="42B31502" w14:textId="77777777" w:rsidTr="00CA690E">
        <w:trPr>
          <w:trHeight w:val="315"/>
        </w:trPr>
        <w:tc>
          <w:tcPr>
            <w:tcW w:w="2040" w:type="dxa"/>
            <w:tcBorders>
              <w:top w:val="single" w:sz="10" w:space="0" w:color="000000"/>
              <w:left w:val="single" w:sz="10" w:space="0" w:color="000000"/>
              <w:bottom w:val="single" w:sz="5" w:space="0" w:color="000000"/>
              <w:right w:val="single" w:sz="5" w:space="0" w:color="CCCCCC"/>
            </w:tcBorders>
            <w:tcMar>
              <w:top w:w="40" w:type="dxa"/>
              <w:left w:w="40" w:type="dxa"/>
              <w:bottom w:w="40" w:type="dxa"/>
              <w:right w:w="40" w:type="dxa"/>
            </w:tcMar>
            <w:vAlign w:val="center"/>
          </w:tcPr>
          <w:p w14:paraId="55F89C6D" w14:textId="77777777" w:rsidR="0033362D" w:rsidRDefault="0033362D" w:rsidP="00CA690E">
            <w:pPr>
              <w:widowControl w:val="0"/>
              <w:jc w:val="center"/>
              <w:rPr>
                <w:sz w:val="20"/>
                <w:szCs w:val="20"/>
              </w:rPr>
            </w:pPr>
            <w:r>
              <w:rPr>
                <w:b/>
                <w:sz w:val="20"/>
                <w:szCs w:val="20"/>
              </w:rPr>
              <w:t>BRC Examined</w:t>
            </w:r>
          </w:p>
        </w:tc>
        <w:tc>
          <w:tcPr>
            <w:tcW w:w="1170" w:type="dxa"/>
            <w:tcBorders>
              <w:top w:val="single" w:sz="10" w:space="0" w:color="000000"/>
              <w:left w:val="single" w:sz="5" w:space="0" w:color="CCCCCC"/>
              <w:bottom w:val="single" w:sz="5" w:space="0" w:color="000000"/>
              <w:right w:val="single" w:sz="5" w:space="0" w:color="CCCCCC"/>
            </w:tcBorders>
            <w:tcMar>
              <w:top w:w="40" w:type="dxa"/>
              <w:left w:w="40" w:type="dxa"/>
              <w:bottom w:w="40" w:type="dxa"/>
              <w:right w:w="40" w:type="dxa"/>
            </w:tcMar>
            <w:vAlign w:val="center"/>
          </w:tcPr>
          <w:p w14:paraId="3D95E16E" w14:textId="77777777" w:rsidR="0033362D" w:rsidRDefault="0033362D" w:rsidP="00CA690E">
            <w:pPr>
              <w:widowControl w:val="0"/>
              <w:jc w:val="center"/>
              <w:rPr>
                <w:sz w:val="20"/>
                <w:szCs w:val="20"/>
              </w:rPr>
            </w:pPr>
            <w:r>
              <w:rPr>
                <w:b/>
                <w:sz w:val="20"/>
                <w:szCs w:val="20"/>
              </w:rPr>
              <w:t>Round Decided</w:t>
            </w:r>
          </w:p>
        </w:tc>
        <w:tc>
          <w:tcPr>
            <w:tcW w:w="2250" w:type="dxa"/>
            <w:tcBorders>
              <w:top w:val="single" w:sz="10" w:space="0" w:color="000000"/>
              <w:left w:val="single" w:sz="5" w:space="0" w:color="CCCCCC"/>
              <w:bottom w:val="single" w:sz="5" w:space="0" w:color="000000"/>
              <w:right w:val="single" w:sz="5" w:space="0" w:color="CCCCCC"/>
            </w:tcBorders>
            <w:tcMar>
              <w:top w:w="40" w:type="dxa"/>
              <w:left w:w="40" w:type="dxa"/>
              <w:bottom w:w="40" w:type="dxa"/>
              <w:right w:w="40" w:type="dxa"/>
            </w:tcMar>
            <w:vAlign w:val="center"/>
          </w:tcPr>
          <w:p w14:paraId="39F61F04" w14:textId="77777777" w:rsidR="0033362D" w:rsidRDefault="0033362D" w:rsidP="00CA690E">
            <w:pPr>
              <w:widowControl w:val="0"/>
              <w:jc w:val="center"/>
              <w:rPr>
                <w:sz w:val="20"/>
                <w:szCs w:val="20"/>
              </w:rPr>
            </w:pPr>
            <w:r>
              <w:rPr>
                <w:b/>
                <w:sz w:val="20"/>
                <w:szCs w:val="20"/>
              </w:rPr>
              <w:t>Data Source</w:t>
            </w:r>
          </w:p>
        </w:tc>
        <w:tc>
          <w:tcPr>
            <w:tcW w:w="4365" w:type="dxa"/>
            <w:tcBorders>
              <w:top w:val="single" w:sz="10" w:space="0" w:color="000000"/>
              <w:left w:val="single" w:sz="5" w:space="0" w:color="CCCCCC"/>
              <w:bottom w:val="single" w:sz="5" w:space="0" w:color="000000"/>
              <w:right w:val="single" w:sz="10" w:space="0" w:color="000000"/>
            </w:tcBorders>
            <w:tcMar>
              <w:top w:w="40" w:type="dxa"/>
              <w:left w:w="40" w:type="dxa"/>
              <w:bottom w:w="40" w:type="dxa"/>
              <w:right w:w="40" w:type="dxa"/>
            </w:tcMar>
            <w:vAlign w:val="center"/>
          </w:tcPr>
          <w:p w14:paraId="32109F11" w14:textId="77777777" w:rsidR="0033362D" w:rsidRDefault="0033362D" w:rsidP="00CA690E">
            <w:pPr>
              <w:widowControl w:val="0"/>
              <w:jc w:val="center"/>
              <w:rPr>
                <w:sz w:val="20"/>
                <w:szCs w:val="20"/>
              </w:rPr>
            </w:pPr>
            <w:r>
              <w:rPr>
                <w:b/>
                <w:sz w:val="20"/>
                <w:szCs w:val="20"/>
              </w:rPr>
              <w:t>Studies</w:t>
            </w:r>
          </w:p>
        </w:tc>
      </w:tr>
      <w:tr w:rsidR="0033362D" w14:paraId="6DF4E978"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B39D2A7" w14:textId="77777777" w:rsidR="0033362D" w:rsidRDefault="0033362D" w:rsidP="00CA690E">
            <w:pPr>
              <w:widowControl w:val="0"/>
              <w:rPr>
                <w:b/>
                <w:sz w:val="20"/>
                <w:szCs w:val="20"/>
              </w:rPr>
            </w:pPr>
            <w:r>
              <w:rPr>
                <w:b/>
                <w:sz w:val="20"/>
                <w:szCs w:val="20"/>
              </w:rPr>
              <w:t>National Parks</w:t>
            </w:r>
          </w:p>
        </w:tc>
        <w:tc>
          <w:tcPr>
            <w:tcW w:w="1170" w:type="dxa"/>
            <w:vMerge w:val="restart"/>
            <w:tcBorders>
              <w:top w:val="single" w:sz="5" w:space="0" w:color="CCCCCC"/>
              <w:left w:val="single" w:sz="5" w:space="0" w:color="CCCCCC"/>
              <w:bottom w:val="single" w:sz="5" w:space="0" w:color="000000"/>
              <w:right w:val="single" w:sz="5" w:space="0" w:color="CCCCCC"/>
            </w:tcBorders>
            <w:tcMar>
              <w:top w:w="40" w:type="dxa"/>
              <w:left w:w="40" w:type="dxa"/>
              <w:bottom w:w="40" w:type="dxa"/>
              <w:right w:w="40" w:type="dxa"/>
            </w:tcMar>
            <w:vAlign w:val="center"/>
          </w:tcPr>
          <w:p w14:paraId="24534436"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96C82B1" w14:textId="77777777" w:rsidR="0033362D" w:rsidRDefault="0033362D" w:rsidP="00CA690E">
            <w:pPr>
              <w:widowControl w:val="0"/>
              <w:rPr>
                <w:sz w:val="20"/>
                <w:szCs w:val="20"/>
              </w:rPr>
            </w:pPr>
            <w:r>
              <w:rPr>
                <w:sz w:val="20"/>
                <w:szCs w:val="20"/>
              </w:rPr>
              <w:t>PADUS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42DE872F" w14:textId="77777777" w:rsidR="0033362D" w:rsidRDefault="0033362D" w:rsidP="00CA690E">
            <w:pPr>
              <w:widowControl w:val="0"/>
              <w:rPr>
                <w:sz w:val="20"/>
                <w:szCs w:val="20"/>
              </w:rPr>
            </w:pPr>
            <w:r>
              <w:rPr>
                <w:sz w:val="20"/>
                <w:szCs w:val="20"/>
              </w:rPr>
              <w:t>Ref. 1, Ref. 3, Ref. 4, Ref. 7, Ref. 9, Ref. 10, Ref. 13</w:t>
            </w:r>
          </w:p>
        </w:tc>
      </w:tr>
      <w:tr w:rsidR="0033362D" w14:paraId="31FF6EC2"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67AD80CD"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06331B02"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719FC9BB" w14:textId="77777777" w:rsidR="0033362D" w:rsidRDefault="0033362D" w:rsidP="00CA690E">
            <w:pPr>
              <w:widowControl w:val="0"/>
              <w:rPr>
                <w:sz w:val="20"/>
                <w:szCs w:val="20"/>
              </w:rPr>
            </w:pPr>
            <w:r>
              <w:rPr>
                <w:sz w:val="20"/>
                <w:szCs w:val="20"/>
              </w:rPr>
              <w:t>State-specific database</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1A0AF902" w14:textId="77777777" w:rsidR="0033362D" w:rsidRDefault="0033362D" w:rsidP="00CA690E">
            <w:pPr>
              <w:widowControl w:val="0"/>
              <w:rPr>
                <w:sz w:val="20"/>
                <w:szCs w:val="20"/>
              </w:rPr>
            </w:pPr>
            <w:r>
              <w:rPr>
                <w:sz w:val="20"/>
                <w:szCs w:val="20"/>
              </w:rPr>
              <w:t>Ref. 5</w:t>
            </w:r>
          </w:p>
        </w:tc>
      </w:tr>
      <w:tr w:rsidR="0033362D" w14:paraId="4BEB2C31"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2F48E8B0"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1B13641C"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51F4342D" w14:textId="77777777" w:rsidR="0033362D" w:rsidRDefault="0033362D" w:rsidP="00CA690E">
            <w:pPr>
              <w:widowControl w:val="0"/>
              <w:rPr>
                <w:sz w:val="20"/>
                <w:szCs w:val="20"/>
              </w:rPr>
            </w:pPr>
            <w:r>
              <w:rPr>
                <w:sz w:val="20"/>
                <w:szCs w:val="20"/>
              </w:rPr>
              <w:t>Solar Programmatic EIS Center</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2082906B" w14:textId="77777777" w:rsidR="0033362D" w:rsidRDefault="0033362D" w:rsidP="00CA690E">
            <w:pPr>
              <w:widowControl w:val="0"/>
              <w:rPr>
                <w:sz w:val="20"/>
                <w:szCs w:val="20"/>
              </w:rPr>
            </w:pPr>
            <w:r>
              <w:rPr>
                <w:sz w:val="20"/>
                <w:szCs w:val="20"/>
              </w:rPr>
              <w:t>Ref. 11</w:t>
            </w:r>
          </w:p>
        </w:tc>
      </w:tr>
      <w:tr w:rsidR="0033362D" w14:paraId="724DB281"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80B2D0B" w14:textId="77777777" w:rsidR="0033362D" w:rsidRDefault="0033362D" w:rsidP="00CA690E">
            <w:pPr>
              <w:widowControl w:val="0"/>
              <w:rPr>
                <w:b/>
                <w:sz w:val="20"/>
                <w:szCs w:val="20"/>
              </w:rPr>
            </w:pPr>
            <w:r>
              <w:rPr>
                <w:b/>
                <w:sz w:val="20"/>
                <w:szCs w:val="20"/>
              </w:rPr>
              <w:t>State Parks</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7FCBBF48"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46762784" w14:textId="77777777" w:rsidR="0033362D" w:rsidRDefault="0033362D" w:rsidP="00CA690E">
            <w:pPr>
              <w:widowControl w:val="0"/>
              <w:rPr>
                <w:sz w:val="20"/>
                <w:szCs w:val="20"/>
              </w:rPr>
            </w:pPr>
            <w:r>
              <w:rPr>
                <w:sz w:val="20"/>
                <w:szCs w:val="20"/>
              </w:rPr>
              <w:t>PADUS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3DD6BE42" w14:textId="77777777" w:rsidR="0033362D" w:rsidRDefault="0033362D" w:rsidP="00CA690E">
            <w:pPr>
              <w:widowControl w:val="0"/>
              <w:rPr>
                <w:sz w:val="20"/>
                <w:szCs w:val="20"/>
              </w:rPr>
            </w:pPr>
            <w:r>
              <w:rPr>
                <w:sz w:val="20"/>
                <w:szCs w:val="20"/>
              </w:rPr>
              <w:t>Ref. 1, Ref. 3, Ref. 4, Ref. 7, Ref. 9, Ref. 10, Ref. 13</w:t>
            </w:r>
          </w:p>
        </w:tc>
      </w:tr>
      <w:tr w:rsidR="0033362D" w14:paraId="233BAA4F"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29C5F879"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2ADA0C4E"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0A16D7B8" w14:textId="77777777" w:rsidR="0033362D" w:rsidRDefault="0033362D" w:rsidP="00CA690E">
            <w:pPr>
              <w:widowControl w:val="0"/>
              <w:rPr>
                <w:sz w:val="20"/>
                <w:szCs w:val="20"/>
              </w:rPr>
            </w:pPr>
            <w:r>
              <w:rPr>
                <w:sz w:val="20"/>
                <w:szCs w:val="20"/>
              </w:rPr>
              <w:t>State-specific database</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295E56FB" w14:textId="77777777" w:rsidR="0033362D" w:rsidRDefault="0033362D" w:rsidP="00CA690E">
            <w:pPr>
              <w:widowControl w:val="0"/>
              <w:rPr>
                <w:sz w:val="20"/>
                <w:szCs w:val="20"/>
              </w:rPr>
            </w:pPr>
            <w:r>
              <w:rPr>
                <w:sz w:val="20"/>
                <w:szCs w:val="20"/>
              </w:rPr>
              <w:t>Ref. 5</w:t>
            </w:r>
          </w:p>
        </w:tc>
      </w:tr>
      <w:tr w:rsidR="0033362D" w14:paraId="738793EF"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3016B58" w14:textId="77777777" w:rsidR="0033362D" w:rsidRDefault="0033362D" w:rsidP="00CA690E">
            <w:pPr>
              <w:widowControl w:val="0"/>
              <w:rPr>
                <w:b/>
                <w:sz w:val="20"/>
                <w:szCs w:val="20"/>
              </w:rPr>
            </w:pPr>
            <w:r>
              <w:rPr>
                <w:b/>
                <w:sz w:val="20"/>
                <w:szCs w:val="20"/>
              </w:rPr>
              <w:t>National Monuments</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287FF639"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5015A7B9" w14:textId="77777777" w:rsidR="0033362D" w:rsidRDefault="0033362D" w:rsidP="00CA690E">
            <w:pPr>
              <w:widowControl w:val="0"/>
              <w:rPr>
                <w:sz w:val="20"/>
                <w:szCs w:val="20"/>
              </w:rPr>
            </w:pPr>
            <w:r>
              <w:rPr>
                <w:sz w:val="20"/>
                <w:szCs w:val="20"/>
              </w:rPr>
              <w:t>PADUS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69D034D4" w14:textId="77777777" w:rsidR="0033362D" w:rsidRDefault="0033362D" w:rsidP="00CA690E">
            <w:pPr>
              <w:widowControl w:val="0"/>
              <w:rPr>
                <w:sz w:val="20"/>
                <w:szCs w:val="20"/>
              </w:rPr>
            </w:pPr>
            <w:r>
              <w:rPr>
                <w:sz w:val="20"/>
                <w:szCs w:val="20"/>
              </w:rPr>
              <w:t>Ref. 1, Ref. 3, Ref. 4, Ref. 7, Ref. 9, Ref. 10, Ref. 13</w:t>
            </w:r>
          </w:p>
        </w:tc>
      </w:tr>
      <w:tr w:rsidR="0033362D" w14:paraId="636F24D3"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33433FBF"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35F1490C"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048C0FDB" w14:textId="77777777" w:rsidR="0033362D" w:rsidRDefault="0033362D" w:rsidP="00CA690E">
            <w:pPr>
              <w:widowControl w:val="0"/>
              <w:rPr>
                <w:sz w:val="20"/>
                <w:szCs w:val="20"/>
              </w:rPr>
            </w:pPr>
            <w:r>
              <w:rPr>
                <w:sz w:val="20"/>
                <w:szCs w:val="20"/>
              </w:rPr>
              <w:t>National Historic Register</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0C48E468" w14:textId="77777777" w:rsidR="0033362D" w:rsidRDefault="0033362D" w:rsidP="00CA690E">
            <w:pPr>
              <w:widowControl w:val="0"/>
              <w:rPr>
                <w:sz w:val="20"/>
                <w:szCs w:val="20"/>
              </w:rPr>
            </w:pPr>
            <w:r>
              <w:rPr>
                <w:sz w:val="20"/>
                <w:szCs w:val="20"/>
              </w:rPr>
              <w:t>Ref. 5</w:t>
            </w:r>
          </w:p>
        </w:tc>
      </w:tr>
      <w:tr w:rsidR="0033362D" w14:paraId="39EAE8A8"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39E49196"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10B206A8"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18B6025F" w14:textId="77777777" w:rsidR="0033362D" w:rsidRDefault="0033362D" w:rsidP="00CA690E">
            <w:pPr>
              <w:widowControl w:val="0"/>
              <w:rPr>
                <w:sz w:val="20"/>
                <w:szCs w:val="20"/>
              </w:rPr>
            </w:pPr>
            <w:r>
              <w:rPr>
                <w:sz w:val="20"/>
                <w:szCs w:val="20"/>
              </w:rPr>
              <w:t>Solar Programmatic EIS Center</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1985B7DA" w14:textId="77777777" w:rsidR="0033362D" w:rsidRDefault="0033362D" w:rsidP="00CA690E">
            <w:pPr>
              <w:widowControl w:val="0"/>
              <w:rPr>
                <w:sz w:val="20"/>
                <w:szCs w:val="20"/>
              </w:rPr>
            </w:pPr>
            <w:r>
              <w:rPr>
                <w:sz w:val="20"/>
                <w:szCs w:val="20"/>
              </w:rPr>
              <w:t>Ref. 11</w:t>
            </w:r>
          </w:p>
        </w:tc>
      </w:tr>
      <w:tr w:rsidR="0033362D" w14:paraId="226E0E9B"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3EC534C" w14:textId="77777777" w:rsidR="0033362D" w:rsidRDefault="0033362D" w:rsidP="00CA690E">
            <w:pPr>
              <w:widowControl w:val="0"/>
              <w:rPr>
                <w:b/>
                <w:sz w:val="20"/>
                <w:szCs w:val="20"/>
              </w:rPr>
            </w:pPr>
            <w:r>
              <w:rPr>
                <w:b/>
                <w:sz w:val="20"/>
                <w:szCs w:val="20"/>
              </w:rPr>
              <w:t>Wilderness Areas</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1C442B0E"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7E348482" w14:textId="77777777" w:rsidR="0033362D" w:rsidRDefault="0033362D" w:rsidP="00CA690E">
            <w:pPr>
              <w:widowControl w:val="0"/>
              <w:rPr>
                <w:sz w:val="20"/>
                <w:szCs w:val="20"/>
              </w:rPr>
            </w:pPr>
            <w:r>
              <w:rPr>
                <w:sz w:val="20"/>
                <w:szCs w:val="20"/>
              </w:rPr>
              <w:t>PADUS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3FCC79EB" w14:textId="77777777" w:rsidR="0033362D" w:rsidRDefault="0033362D" w:rsidP="00CA690E">
            <w:pPr>
              <w:widowControl w:val="0"/>
              <w:rPr>
                <w:sz w:val="20"/>
                <w:szCs w:val="20"/>
              </w:rPr>
            </w:pPr>
            <w:r>
              <w:rPr>
                <w:sz w:val="20"/>
                <w:szCs w:val="20"/>
              </w:rPr>
              <w:t>Ref. 1, Ref. 3, Ref. 4, Ref. 7, Ref. 9, Ref. 10, Ref. 13</w:t>
            </w:r>
          </w:p>
        </w:tc>
      </w:tr>
      <w:tr w:rsidR="0033362D" w14:paraId="137F0C69" w14:textId="77777777" w:rsidTr="00CA690E">
        <w:trPr>
          <w:trHeight w:val="330"/>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733308CD"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07E59F08"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0F12A171" w14:textId="77777777" w:rsidR="0033362D" w:rsidRDefault="0033362D" w:rsidP="00CA690E">
            <w:pPr>
              <w:widowControl w:val="0"/>
              <w:rPr>
                <w:sz w:val="20"/>
                <w:szCs w:val="20"/>
              </w:rPr>
            </w:pPr>
            <w:r>
              <w:rPr>
                <w:sz w:val="22"/>
                <w:szCs w:val="22"/>
              </w:rPr>
              <w:t>BLM Western Solar Plan</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58C833FB" w14:textId="77777777" w:rsidR="0033362D" w:rsidRDefault="0033362D" w:rsidP="00CA690E">
            <w:pPr>
              <w:widowControl w:val="0"/>
              <w:rPr>
                <w:sz w:val="20"/>
                <w:szCs w:val="20"/>
              </w:rPr>
            </w:pPr>
            <w:r>
              <w:rPr>
                <w:sz w:val="20"/>
                <w:szCs w:val="20"/>
              </w:rPr>
              <w:t>Ref. 5</w:t>
            </w:r>
          </w:p>
        </w:tc>
      </w:tr>
      <w:tr w:rsidR="0033362D" w14:paraId="273FB699"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0C0BE506"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3F5DD898"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0E4B08A7" w14:textId="77777777" w:rsidR="0033362D" w:rsidRDefault="0033362D" w:rsidP="00CA690E">
            <w:pPr>
              <w:widowControl w:val="0"/>
              <w:rPr>
                <w:sz w:val="20"/>
                <w:szCs w:val="20"/>
              </w:rPr>
            </w:pPr>
            <w:r>
              <w:rPr>
                <w:sz w:val="20"/>
                <w:szCs w:val="20"/>
              </w:rPr>
              <w:t>Solar Programmatic EIS Center</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6F97A271" w14:textId="77777777" w:rsidR="0033362D" w:rsidRDefault="0033362D" w:rsidP="00CA690E">
            <w:pPr>
              <w:widowControl w:val="0"/>
              <w:rPr>
                <w:sz w:val="20"/>
                <w:szCs w:val="20"/>
              </w:rPr>
            </w:pPr>
            <w:r>
              <w:rPr>
                <w:sz w:val="20"/>
                <w:szCs w:val="20"/>
              </w:rPr>
              <w:t>Ref. 11</w:t>
            </w:r>
          </w:p>
        </w:tc>
      </w:tr>
      <w:tr w:rsidR="0033362D" w14:paraId="782D9D36"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524CD4A3" w14:textId="77777777" w:rsidR="0033362D" w:rsidRDefault="0033362D" w:rsidP="00CA690E">
            <w:pPr>
              <w:widowControl w:val="0"/>
              <w:rPr>
                <w:b/>
                <w:sz w:val="20"/>
                <w:szCs w:val="20"/>
              </w:rPr>
            </w:pPr>
            <w:r>
              <w:rPr>
                <w:b/>
                <w:sz w:val="20"/>
                <w:szCs w:val="20"/>
              </w:rPr>
              <w:t>National Wildlife Refuges</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68864EE0"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038CC32B" w14:textId="77777777" w:rsidR="0033362D" w:rsidRDefault="0033362D" w:rsidP="00CA690E">
            <w:pPr>
              <w:widowControl w:val="0"/>
              <w:rPr>
                <w:sz w:val="20"/>
                <w:szCs w:val="20"/>
              </w:rPr>
            </w:pPr>
            <w:r>
              <w:rPr>
                <w:sz w:val="20"/>
                <w:szCs w:val="20"/>
              </w:rPr>
              <w:t>PADUS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4A27E94A" w14:textId="77777777" w:rsidR="0033362D" w:rsidRDefault="0033362D" w:rsidP="00CA690E">
            <w:pPr>
              <w:widowControl w:val="0"/>
              <w:rPr>
                <w:sz w:val="20"/>
                <w:szCs w:val="20"/>
              </w:rPr>
            </w:pPr>
            <w:r>
              <w:rPr>
                <w:sz w:val="20"/>
                <w:szCs w:val="20"/>
              </w:rPr>
              <w:t>Ref. 1, Ref. 3, Ref. 4, Ref. 7, Ref. 9, Ref. 10, Ref. 13</w:t>
            </w:r>
          </w:p>
        </w:tc>
      </w:tr>
      <w:tr w:rsidR="0033362D" w14:paraId="24CC3053"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08F51EF3"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3EB10D58"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2959C43C" w14:textId="77777777" w:rsidR="0033362D" w:rsidRDefault="0033362D" w:rsidP="00CA690E">
            <w:pPr>
              <w:widowControl w:val="0"/>
              <w:rPr>
                <w:sz w:val="20"/>
                <w:szCs w:val="20"/>
              </w:rPr>
            </w:pPr>
            <w:r>
              <w:rPr>
                <w:sz w:val="20"/>
                <w:szCs w:val="20"/>
              </w:rPr>
              <w:t>Solar Programmatic EIS Center</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73C9EE69" w14:textId="77777777" w:rsidR="0033362D" w:rsidRDefault="0033362D" w:rsidP="00CA690E">
            <w:pPr>
              <w:widowControl w:val="0"/>
              <w:rPr>
                <w:sz w:val="20"/>
                <w:szCs w:val="20"/>
              </w:rPr>
            </w:pPr>
            <w:r>
              <w:rPr>
                <w:sz w:val="20"/>
                <w:szCs w:val="20"/>
              </w:rPr>
              <w:t>Ref. 11</w:t>
            </w:r>
          </w:p>
        </w:tc>
      </w:tr>
      <w:tr w:rsidR="0033362D" w14:paraId="1214DEEE"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866B57F" w14:textId="77777777" w:rsidR="0033362D" w:rsidRDefault="0033362D" w:rsidP="00CA690E">
            <w:pPr>
              <w:widowControl w:val="0"/>
              <w:rPr>
                <w:b/>
                <w:sz w:val="20"/>
                <w:szCs w:val="20"/>
              </w:rPr>
            </w:pPr>
            <w:r>
              <w:rPr>
                <w:b/>
                <w:sz w:val="20"/>
                <w:szCs w:val="20"/>
              </w:rPr>
              <w:t>Conservation Easements</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274D9EB5"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67CE49DD" w14:textId="77777777" w:rsidR="0033362D" w:rsidRDefault="0033362D" w:rsidP="00CA690E">
            <w:pPr>
              <w:widowControl w:val="0"/>
              <w:rPr>
                <w:sz w:val="20"/>
                <w:szCs w:val="20"/>
              </w:rPr>
            </w:pPr>
            <w:r>
              <w:rPr>
                <w:sz w:val="20"/>
                <w:szCs w:val="20"/>
              </w:rPr>
              <w:t>PADUS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6FF48164" w14:textId="77777777" w:rsidR="0033362D" w:rsidRDefault="0033362D" w:rsidP="00CA690E">
            <w:pPr>
              <w:widowControl w:val="0"/>
              <w:rPr>
                <w:sz w:val="20"/>
                <w:szCs w:val="20"/>
              </w:rPr>
            </w:pPr>
            <w:r>
              <w:rPr>
                <w:sz w:val="20"/>
                <w:szCs w:val="20"/>
              </w:rPr>
              <w:t>Ref. 1, Ref. 3, Ref. 4, Ref. 7, Ref. 9, Ref. 10, Ref. 13</w:t>
            </w:r>
          </w:p>
        </w:tc>
      </w:tr>
      <w:tr w:rsidR="0033362D" w14:paraId="303CE08C"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45B8FED7"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651568A7"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015CB3C0" w14:textId="77777777" w:rsidR="0033362D" w:rsidRDefault="0033362D" w:rsidP="00CA690E">
            <w:pPr>
              <w:widowControl w:val="0"/>
              <w:rPr>
                <w:sz w:val="20"/>
                <w:szCs w:val="20"/>
              </w:rPr>
            </w:pPr>
            <w:r>
              <w:rPr>
                <w:sz w:val="20"/>
                <w:szCs w:val="20"/>
              </w:rPr>
              <w:t>National Conservation Easement database</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5C688180" w14:textId="77777777" w:rsidR="0033362D" w:rsidRDefault="0033362D" w:rsidP="00CA690E">
            <w:pPr>
              <w:widowControl w:val="0"/>
              <w:rPr>
                <w:sz w:val="20"/>
                <w:szCs w:val="20"/>
              </w:rPr>
            </w:pPr>
            <w:r>
              <w:rPr>
                <w:sz w:val="20"/>
                <w:szCs w:val="20"/>
              </w:rPr>
              <w:t>Ref. 13</w:t>
            </w:r>
          </w:p>
        </w:tc>
      </w:tr>
      <w:tr w:rsidR="0033362D" w14:paraId="12DA27FF"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2A7F2005" w14:textId="77777777" w:rsidR="0033362D" w:rsidRDefault="0033362D" w:rsidP="00CA690E">
            <w:pPr>
              <w:widowControl w:val="0"/>
              <w:rPr>
                <w:b/>
                <w:sz w:val="20"/>
                <w:szCs w:val="20"/>
              </w:rPr>
            </w:pPr>
            <w:r>
              <w:rPr>
                <w:b/>
                <w:sz w:val="20"/>
                <w:szCs w:val="20"/>
              </w:rPr>
              <w:t>Threatened and Endangered Critical Habitat</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69FC2C64"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0A3FEA99" w14:textId="77777777" w:rsidR="0033362D" w:rsidRDefault="0033362D" w:rsidP="00CA690E">
            <w:pPr>
              <w:widowControl w:val="0"/>
              <w:rPr>
                <w:sz w:val="20"/>
                <w:szCs w:val="20"/>
              </w:rPr>
            </w:pPr>
            <w:r>
              <w:rPr>
                <w:sz w:val="20"/>
                <w:szCs w:val="20"/>
              </w:rPr>
              <w:t>FWS critical habitat database</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5117A322" w14:textId="77777777" w:rsidR="0033362D" w:rsidRDefault="0033362D" w:rsidP="00CA690E">
            <w:pPr>
              <w:widowControl w:val="0"/>
              <w:rPr>
                <w:sz w:val="20"/>
                <w:szCs w:val="20"/>
              </w:rPr>
            </w:pPr>
            <w:r>
              <w:rPr>
                <w:sz w:val="20"/>
                <w:szCs w:val="20"/>
              </w:rPr>
              <w:t>Ref. 4, Ref. 7, Ref. 11</w:t>
            </w:r>
          </w:p>
        </w:tc>
      </w:tr>
      <w:tr w:rsidR="0033362D" w14:paraId="717DE4DD"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563D108A"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7FB07318"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2F3C4E50" w14:textId="77777777" w:rsidR="0033362D" w:rsidRDefault="0033362D" w:rsidP="00CA690E">
            <w:pPr>
              <w:widowControl w:val="0"/>
              <w:rPr>
                <w:sz w:val="20"/>
                <w:szCs w:val="20"/>
              </w:rPr>
            </w:pPr>
            <w:r>
              <w:rPr>
                <w:sz w:val="20"/>
                <w:szCs w:val="20"/>
              </w:rPr>
              <w:t>FWS Environmental Conservation Online System</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379530CC" w14:textId="77777777" w:rsidR="0033362D" w:rsidRDefault="0033362D" w:rsidP="00CA690E">
            <w:pPr>
              <w:widowControl w:val="0"/>
              <w:rPr>
                <w:sz w:val="20"/>
                <w:szCs w:val="20"/>
              </w:rPr>
            </w:pPr>
            <w:r>
              <w:rPr>
                <w:sz w:val="20"/>
                <w:szCs w:val="20"/>
              </w:rPr>
              <w:t>Ref. 9</w:t>
            </w:r>
          </w:p>
        </w:tc>
      </w:tr>
      <w:tr w:rsidR="0033362D" w14:paraId="3966730A"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05C1DB90"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7910DEBA"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173D8759" w14:textId="77777777" w:rsidR="0033362D" w:rsidRDefault="0033362D" w:rsidP="00CA690E">
            <w:pPr>
              <w:widowControl w:val="0"/>
              <w:rPr>
                <w:sz w:val="20"/>
                <w:szCs w:val="20"/>
              </w:rPr>
            </w:pPr>
            <w:r>
              <w:rPr>
                <w:sz w:val="20"/>
                <w:szCs w:val="20"/>
              </w:rPr>
              <w:t>WWWMP</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2E7E2BE3" w14:textId="77777777" w:rsidR="0033362D" w:rsidRDefault="0033362D" w:rsidP="00CA690E">
            <w:pPr>
              <w:widowControl w:val="0"/>
              <w:rPr>
                <w:sz w:val="20"/>
                <w:szCs w:val="20"/>
              </w:rPr>
            </w:pPr>
            <w:r>
              <w:rPr>
                <w:sz w:val="20"/>
                <w:szCs w:val="20"/>
              </w:rPr>
              <w:t>Ref. 13</w:t>
            </w:r>
          </w:p>
        </w:tc>
      </w:tr>
      <w:tr w:rsidR="0033362D" w14:paraId="7F8D7008"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2A581CBA" w14:textId="77777777" w:rsidR="0033362D" w:rsidRDefault="0033362D" w:rsidP="00CA690E">
            <w:pPr>
              <w:widowControl w:val="0"/>
              <w:rPr>
                <w:b/>
                <w:sz w:val="20"/>
                <w:szCs w:val="20"/>
              </w:rPr>
            </w:pPr>
            <w:r>
              <w:rPr>
                <w:b/>
                <w:sz w:val="20"/>
                <w:szCs w:val="20"/>
              </w:rPr>
              <w:t xml:space="preserve">Areas of Critical Environmental </w:t>
            </w:r>
            <w:r>
              <w:rPr>
                <w:b/>
                <w:sz w:val="20"/>
                <w:szCs w:val="20"/>
              </w:rPr>
              <w:lastRenderedPageBreak/>
              <w:t>Concern</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1152DA19" w14:textId="77777777" w:rsidR="0033362D" w:rsidRDefault="0033362D" w:rsidP="00CA690E">
            <w:pPr>
              <w:widowControl w:val="0"/>
              <w:jc w:val="center"/>
              <w:rPr>
                <w:sz w:val="20"/>
                <w:szCs w:val="20"/>
              </w:rPr>
            </w:pPr>
            <w:r>
              <w:rPr>
                <w:sz w:val="20"/>
                <w:szCs w:val="20"/>
              </w:rPr>
              <w:lastRenderedPageBreak/>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3285B259" w14:textId="77777777" w:rsidR="0033362D" w:rsidRDefault="0033362D" w:rsidP="00CA690E">
            <w:pPr>
              <w:widowControl w:val="0"/>
              <w:rPr>
                <w:sz w:val="20"/>
                <w:szCs w:val="20"/>
              </w:rPr>
            </w:pPr>
            <w:r>
              <w:rPr>
                <w:sz w:val="20"/>
                <w:szCs w:val="20"/>
              </w:rPr>
              <w:t>PADUS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4E17BBD3" w14:textId="77777777" w:rsidR="0033362D" w:rsidRDefault="0033362D" w:rsidP="00CA690E">
            <w:pPr>
              <w:widowControl w:val="0"/>
              <w:rPr>
                <w:sz w:val="20"/>
                <w:szCs w:val="20"/>
              </w:rPr>
            </w:pPr>
            <w:r>
              <w:rPr>
                <w:sz w:val="20"/>
                <w:szCs w:val="20"/>
              </w:rPr>
              <w:t>Ref. 1, Ref. 3, Ref. 4, Ref. 7, Ref. 9, Ref. 10, Ref. 13</w:t>
            </w:r>
          </w:p>
        </w:tc>
      </w:tr>
      <w:tr w:rsidR="0033362D" w14:paraId="4CB98207"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700FCFB3"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299FFC57"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79A06840" w14:textId="77777777" w:rsidR="0033362D" w:rsidRDefault="0033362D" w:rsidP="00CA690E">
            <w:pPr>
              <w:widowControl w:val="0"/>
              <w:rPr>
                <w:sz w:val="20"/>
                <w:szCs w:val="20"/>
              </w:rPr>
            </w:pPr>
            <w:r>
              <w:rPr>
                <w:sz w:val="20"/>
                <w:szCs w:val="20"/>
              </w:rPr>
              <w:t>Solar PEIS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19CC4681" w14:textId="77777777" w:rsidR="0033362D" w:rsidRDefault="0033362D" w:rsidP="00CA690E">
            <w:pPr>
              <w:widowControl w:val="0"/>
              <w:rPr>
                <w:sz w:val="20"/>
                <w:szCs w:val="20"/>
              </w:rPr>
            </w:pPr>
            <w:r>
              <w:rPr>
                <w:sz w:val="20"/>
                <w:szCs w:val="20"/>
              </w:rPr>
              <w:t>Ref. 11</w:t>
            </w:r>
          </w:p>
        </w:tc>
      </w:tr>
      <w:tr w:rsidR="0033362D" w14:paraId="3C692CF4"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03BE251B"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30A23921"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5A7662EE" w14:textId="77777777" w:rsidR="0033362D" w:rsidRDefault="0033362D" w:rsidP="00CA690E">
            <w:pPr>
              <w:widowControl w:val="0"/>
              <w:rPr>
                <w:sz w:val="20"/>
                <w:szCs w:val="20"/>
              </w:rPr>
            </w:pPr>
            <w:r>
              <w:rPr>
                <w:sz w:val="20"/>
                <w:szCs w:val="20"/>
              </w:rPr>
              <w:t>WWWMP</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0ABE2A4B" w14:textId="77777777" w:rsidR="0033362D" w:rsidRDefault="0033362D" w:rsidP="00CA690E">
            <w:pPr>
              <w:widowControl w:val="0"/>
              <w:rPr>
                <w:sz w:val="20"/>
                <w:szCs w:val="20"/>
              </w:rPr>
            </w:pPr>
            <w:r>
              <w:rPr>
                <w:sz w:val="20"/>
                <w:szCs w:val="20"/>
              </w:rPr>
              <w:t>Ref. 13</w:t>
            </w:r>
          </w:p>
        </w:tc>
      </w:tr>
      <w:tr w:rsidR="0033362D" w14:paraId="37FBA67B"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29EE5ED7" w14:textId="77777777" w:rsidR="0033362D" w:rsidRDefault="0033362D" w:rsidP="00CA690E">
            <w:pPr>
              <w:widowControl w:val="0"/>
              <w:rPr>
                <w:b/>
                <w:sz w:val="20"/>
                <w:szCs w:val="20"/>
              </w:rPr>
            </w:pPr>
            <w:r>
              <w:rPr>
                <w:b/>
                <w:sz w:val="20"/>
                <w:szCs w:val="20"/>
              </w:rPr>
              <w:t>Habitat Conservation Plan Areas</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38B91B8C"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3062A19A" w14:textId="77777777" w:rsidR="0033362D" w:rsidRDefault="0033362D" w:rsidP="00CA690E">
            <w:pPr>
              <w:widowControl w:val="0"/>
              <w:rPr>
                <w:sz w:val="20"/>
                <w:szCs w:val="20"/>
              </w:rPr>
            </w:pPr>
            <w:r>
              <w:rPr>
                <w:sz w:val="20"/>
                <w:szCs w:val="20"/>
              </w:rPr>
              <w:t>PADUS</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52DE5F52" w14:textId="77777777" w:rsidR="0033362D" w:rsidRDefault="0033362D" w:rsidP="00CA690E">
            <w:pPr>
              <w:widowControl w:val="0"/>
              <w:rPr>
                <w:sz w:val="20"/>
                <w:szCs w:val="20"/>
              </w:rPr>
            </w:pPr>
            <w:r>
              <w:rPr>
                <w:sz w:val="20"/>
                <w:szCs w:val="20"/>
              </w:rPr>
              <w:t>Ref. 1, Ref. 3, Ref. 4, Ref. 7, Ref. 9, Ref. 10, Ref. 13</w:t>
            </w:r>
          </w:p>
        </w:tc>
      </w:tr>
      <w:tr w:rsidR="0033362D" w14:paraId="1154EE3F" w14:textId="77777777" w:rsidTr="00CA690E">
        <w:trPr>
          <w:trHeight w:val="49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4C2E806B"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2F016A81"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645FA456" w14:textId="77777777" w:rsidR="0033362D" w:rsidRDefault="0033362D" w:rsidP="00CA690E">
            <w:pPr>
              <w:widowControl w:val="0"/>
              <w:rPr>
                <w:sz w:val="20"/>
                <w:szCs w:val="20"/>
              </w:rPr>
            </w:pPr>
            <w:r>
              <w:rPr>
                <w:sz w:val="20"/>
                <w:szCs w:val="20"/>
              </w:rPr>
              <w:t>Solar Programmatic EIS Center</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44307067" w14:textId="77777777" w:rsidR="0033362D" w:rsidRDefault="0033362D" w:rsidP="00CA690E">
            <w:pPr>
              <w:widowControl w:val="0"/>
              <w:rPr>
                <w:sz w:val="20"/>
                <w:szCs w:val="20"/>
              </w:rPr>
            </w:pPr>
            <w:r>
              <w:rPr>
                <w:sz w:val="20"/>
                <w:szCs w:val="20"/>
              </w:rPr>
              <w:t>Ref. 11</w:t>
            </w:r>
          </w:p>
        </w:tc>
      </w:tr>
      <w:tr w:rsidR="0033362D" w14:paraId="6DA93C27"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2449DAA" w14:textId="77777777" w:rsidR="0033362D" w:rsidRDefault="0033362D" w:rsidP="00CA690E">
            <w:pPr>
              <w:widowControl w:val="0"/>
              <w:rPr>
                <w:b/>
                <w:sz w:val="20"/>
                <w:szCs w:val="20"/>
              </w:rPr>
            </w:pPr>
            <w:r>
              <w:rPr>
                <w:b/>
                <w:sz w:val="20"/>
                <w:szCs w:val="20"/>
              </w:rPr>
              <w:t>Habitat Management Areas for Threatened and Endangered Species</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1D612DC5" w14:textId="77777777" w:rsidR="0033362D" w:rsidRDefault="0033362D" w:rsidP="00CA690E">
            <w:pPr>
              <w:widowControl w:val="0"/>
              <w:jc w:val="center"/>
              <w:rPr>
                <w:sz w:val="20"/>
                <w:szCs w:val="20"/>
              </w:rPr>
            </w:pPr>
            <w:r>
              <w:rPr>
                <w:sz w:val="20"/>
                <w:szCs w:val="20"/>
              </w:rPr>
              <w:t>1</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34259C16" w14:textId="77777777" w:rsidR="0033362D" w:rsidRDefault="0033362D" w:rsidP="00CA690E">
            <w:pPr>
              <w:widowControl w:val="0"/>
              <w:rPr>
                <w:sz w:val="20"/>
                <w:szCs w:val="20"/>
              </w:rPr>
            </w:pPr>
            <w:r>
              <w:rPr>
                <w:sz w:val="20"/>
                <w:szCs w:val="20"/>
              </w:rPr>
              <w:t>State/region-specific database</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21E1C758" w14:textId="77777777" w:rsidR="0033362D" w:rsidRDefault="0033362D" w:rsidP="00CA690E">
            <w:pPr>
              <w:widowControl w:val="0"/>
              <w:rPr>
                <w:sz w:val="20"/>
                <w:szCs w:val="20"/>
              </w:rPr>
            </w:pPr>
            <w:r>
              <w:rPr>
                <w:sz w:val="20"/>
                <w:szCs w:val="20"/>
              </w:rPr>
              <w:t>Ref. 4</w:t>
            </w:r>
          </w:p>
        </w:tc>
      </w:tr>
      <w:tr w:rsidR="0033362D" w14:paraId="68F9D09F"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1075A56C"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0C57E074"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224A68CE" w14:textId="77777777" w:rsidR="0033362D" w:rsidRDefault="0033362D" w:rsidP="00CA690E">
            <w:pPr>
              <w:widowControl w:val="0"/>
              <w:rPr>
                <w:sz w:val="20"/>
                <w:szCs w:val="20"/>
              </w:rPr>
            </w:pPr>
            <w:r>
              <w:rPr>
                <w:sz w:val="20"/>
                <w:szCs w:val="20"/>
              </w:rPr>
              <w:t>FWS critical habitat database</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1BA37630" w14:textId="77777777" w:rsidR="0033362D" w:rsidRDefault="0033362D" w:rsidP="00CA690E">
            <w:pPr>
              <w:widowControl w:val="0"/>
              <w:rPr>
                <w:sz w:val="20"/>
                <w:szCs w:val="20"/>
              </w:rPr>
            </w:pPr>
            <w:r>
              <w:rPr>
                <w:sz w:val="20"/>
                <w:szCs w:val="20"/>
              </w:rPr>
              <w:t>Ref. 9, Ref. 13</w:t>
            </w:r>
          </w:p>
        </w:tc>
      </w:tr>
      <w:tr w:rsidR="0033362D" w14:paraId="1DE1F377"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52C56503"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79C10A97"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7DC02F46" w14:textId="77777777" w:rsidR="0033362D" w:rsidRDefault="0033362D" w:rsidP="00CA690E">
            <w:pPr>
              <w:widowControl w:val="0"/>
              <w:rPr>
                <w:sz w:val="20"/>
                <w:szCs w:val="20"/>
              </w:rPr>
            </w:pPr>
            <w:r>
              <w:rPr>
                <w:sz w:val="20"/>
                <w:szCs w:val="20"/>
              </w:rPr>
              <w:t>Solar Programmatic EIS Center</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50E28A56" w14:textId="77777777" w:rsidR="0033362D" w:rsidRDefault="0033362D" w:rsidP="00CA690E">
            <w:pPr>
              <w:widowControl w:val="0"/>
              <w:rPr>
                <w:sz w:val="20"/>
                <w:szCs w:val="20"/>
              </w:rPr>
            </w:pPr>
            <w:r>
              <w:rPr>
                <w:sz w:val="20"/>
                <w:szCs w:val="20"/>
              </w:rPr>
              <w:t>Ref. 11</w:t>
            </w:r>
          </w:p>
        </w:tc>
      </w:tr>
      <w:tr w:rsidR="0033362D" w14:paraId="4B5F2D38" w14:textId="77777777" w:rsidTr="00CA690E">
        <w:trPr>
          <w:trHeight w:val="43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0045D721"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125AB7A0"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3D43362A" w14:textId="77777777" w:rsidR="0033362D" w:rsidRDefault="0033362D" w:rsidP="00CA690E">
            <w:pPr>
              <w:widowControl w:val="0"/>
              <w:rPr>
                <w:sz w:val="20"/>
                <w:szCs w:val="20"/>
              </w:rPr>
            </w:pPr>
            <w:r>
              <w:rPr>
                <w:sz w:val="20"/>
                <w:szCs w:val="20"/>
              </w:rPr>
              <w:t>WWWMP</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5681C493" w14:textId="77777777" w:rsidR="0033362D" w:rsidRDefault="0033362D" w:rsidP="00CA690E">
            <w:pPr>
              <w:widowControl w:val="0"/>
              <w:rPr>
                <w:sz w:val="20"/>
                <w:szCs w:val="20"/>
              </w:rPr>
            </w:pPr>
            <w:r>
              <w:rPr>
                <w:sz w:val="20"/>
                <w:szCs w:val="20"/>
              </w:rPr>
              <w:t>Ref. 13</w:t>
            </w:r>
          </w:p>
        </w:tc>
      </w:tr>
      <w:tr w:rsidR="0033362D" w14:paraId="25F3C977" w14:textId="77777777" w:rsidTr="00CA690E">
        <w:trPr>
          <w:trHeight w:val="795"/>
        </w:trPr>
        <w:tc>
          <w:tcPr>
            <w:tcW w:w="2040" w:type="dxa"/>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D5693D0" w14:textId="77777777" w:rsidR="0033362D" w:rsidRDefault="0033362D" w:rsidP="00CA690E">
            <w:pPr>
              <w:widowControl w:val="0"/>
              <w:rPr>
                <w:sz w:val="20"/>
                <w:szCs w:val="20"/>
              </w:rPr>
            </w:pPr>
            <w:r>
              <w:rPr>
                <w:b/>
                <w:sz w:val="20"/>
                <w:szCs w:val="20"/>
              </w:rPr>
              <w:t>Proximity to Important Bird Areas (IBAs)</w:t>
            </w:r>
          </w:p>
        </w:tc>
        <w:tc>
          <w:tcPr>
            <w:tcW w:w="117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1D715D91" w14:textId="77777777" w:rsidR="0033362D" w:rsidRDefault="0033362D" w:rsidP="00CA690E">
            <w:pPr>
              <w:widowControl w:val="0"/>
              <w:jc w:val="center"/>
              <w:rPr>
                <w:sz w:val="20"/>
                <w:szCs w:val="20"/>
              </w:rPr>
            </w:pPr>
            <w:r>
              <w:rPr>
                <w:sz w:val="20"/>
                <w:szCs w:val="20"/>
              </w:rPr>
              <w:t>2</w:t>
            </w: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211F56B3" w14:textId="77777777" w:rsidR="0033362D" w:rsidRDefault="0033362D" w:rsidP="00CA690E">
            <w:pPr>
              <w:widowControl w:val="0"/>
              <w:rPr>
                <w:sz w:val="20"/>
                <w:szCs w:val="20"/>
              </w:rPr>
            </w:pPr>
            <w:r>
              <w:rPr>
                <w:sz w:val="20"/>
                <w:szCs w:val="20"/>
              </w:rPr>
              <w:t>Audubon Important Bird Areas</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4A4DCE65" w14:textId="77777777" w:rsidR="0033362D" w:rsidRDefault="0033362D" w:rsidP="00CA690E">
            <w:pPr>
              <w:widowControl w:val="0"/>
              <w:rPr>
                <w:sz w:val="20"/>
                <w:szCs w:val="20"/>
              </w:rPr>
            </w:pPr>
            <w:r>
              <w:rPr>
                <w:sz w:val="20"/>
                <w:szCs w:val="20"/>
              </w:rPr>
              <w:t>Ref. 4, Ref. 9, Ref. 13</w:t>
            </w:r>
          </w:p>
        </w:tc>
      </w:tr>
      <w:tr w:rsidR="0033362D" w14:paraId="76CC1D3B" w14:textId="77777777" w:rsidTr="00CA690E">
        <w:trPr>
          <w:trHeight w:val="315"/>
        </w:trPr>
        <w:tc>
          <w:tcPr>
            <w:tcW w:w="2040" w:type="dxa"/>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1484ACBB" w14:textId="77777777" w:rsidR="0033362D" w:rsidRDefault="0033362D" w:rsidP="00CA690E">
            <w:pPr>
              <w:widowControl w:val="0"/>
              <w:rPr>
                <w:sz w:val="20"/>
                <w:szCs w:val="20"/>
              </w:rPr>
            </w:pPr>
            <w:r>
              <w:rPr>
                <w:b/>
                <w:sz w:val="20"/>
                <w:szCs w:val="20"/>
              </w:rPr>
              <w:t>Presence of Species of Greatest Conservation Need</w:t>
            </w:r>
          </w:p>
        </w:tc>
        <w:tc>
          <w:tcPr>
            <w:tcW w:w="117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40E334E3" w14:textId="77777777" w:rsidR="0033362D" w:rsidRDefault="0033362D" w:rsidP="00CA690E">
            <w:pPr>
              <w:widowControl w:val="0"/>
              <w:jc w:val="center"/>
              <w:rPr>
                <w:sz w:val="20"/>
                <w:szCs w:val="20"/>
              </w:rPr>
            </w:pPr>
            <w:r>
              <w:rPr>
                <w:sz w:val="20"/>
                <w:szCs w:val="20"/>
              </w:rPr>
              <w:t>2</w:t>
            </w: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6770AFB8" w14:textId="77777777" w:rsidR="0033362D" w:rsidRDefault="0033362D" w:rsidP="00CA690E">
            <w:pPr>
              <w:widowControl w:val="0"/>
              <w:rPr>
                <w:sz w:val="20"/>
                <w:szCs w:val="20"/>
              </w:rPr>
            </w:pPr>
            <w:r>
              <w:rPr>
                <w:sz w:val="20"/>
                <w:szCs w:val="20"/>
              </w:rPr>
              <w:t>State/region-specific database</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69121C14" w14:textId="77777777" w:rsidR="0033362D" w:rsidRDefault="0033362D" w:rsidP="00CA690E">
            <w:pPr>
              <w:widowControl w:val="0"/>
              <w:rPr>
                <w:sz w:val="20"/>
                <w:szCs w:val="20"/>
              </w:rPr>
            </w:pPr>
            <w:r>
              <w:rPr>
                <w:sz w:val="20"/>
                <w:szCs w:val="20"/>
              </w:rPr>
              <w:t>Ref. 4, Ref. 13</w:t>
            </w:r>
          </w:p>
        </w:tc>
      </w:tr>
      <w:tr w:rsidR="0033362D" w14:paraId="0FF6AAE1"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F8A44D7" w14:textId="77777777" w:rsidR="0033362D" w:rsidRDefault="0033362D" w:rsidP="00CA690E">
            <w:pPr>
              <w:widowControl w:val="0"/>
              <w:rPr>
                <w:b/>
                <w:sz w:val="20"/>
                <w:szCs w:val="20"/>
              </w:rPr>
            </w:pPr>
            <w:r>
              <w:rPr>
                <w:b/>
                <w:sz w:val="20"/>
                <w:szCs w:val="20"/>
              </w:rPr>
              <w:t>Presence of Taxa of Interest</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467FAEDE" w14:textId="77777777" w:rsidR="0033362D" w:rsidRDefault="0033362D" w:rsidP="00CA690E">
            <w:pPr>
              <w:widowControl w:val="0"/>
              <w:jc w:val="center"/>
              <w:rPr>
                <w:sz w:val="20"/>
                <w:szCs w:val="20"/>
              </w:rPr>
            </w:pPr>
            <w:r>
              <w:rPr>
                <w:sz w:val="20"/>
                <w:szCs w:val="20"/>
              </w:rPr>
              <w:t>2</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2B644E6B" w14:textId="77777777" w:rsidR="0033362D" w:rsidRDefault="0033362D" w:rsidP="00CA690E">
            <w:pPr>
              <w:widowControl w:val="0"/>
              <w:rPr>
                <w:sz w:val="20"/>
                <w:szCs w:val="20"/>
              </w:rPr>
            </w:pPr>
            <w:r>
              <w:rPr>
                <w:sz w:val="20"/>
                <w:szCs w:val="20"/>
              </w:rPr>
              <w:t>NatureServe</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42213B8F" w14:textId="77777777" w:rsidR="0033362D" w:rsidRDefault="0033362D" w:rsidP="00CA690E">
            <w:pPr>
              <w:widowControl w:val="0"/>
              <w:rPr>
                <w:sz w:val="20"/>
                <w:szCs w:val="20"/>
              </w:rPr>
            </w:pPr>
            <w:r>
              <w:rPr>
                <w:sz w:val="20"/>
                <w:szCs w:val="20"/>
              </w:rPr>
              <w:t>Ref. 4, Ref. 13</w:t>
            </w:r>
          </w:p>
        </w:tc>
      </w:tr>
      <w:tr w:rsidR="0033362D" w14:paraId="62C7F7E3"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0506299F"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58776EDC"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78E4CD4D" w14:textId="77777777" w:rsidR="0033362D" w:rsidRDefault="0033362D" w:rsidP="00CA690E">
            <w:pPr>
              <w:widowControl w:val="0"/>
              <w:rPr>
                <w:sz w:val="20"/>
                <w:szCs w:val="20"/>
              </w:rPr>
            </w:pPr>
            <w:r>
              <w:rPr>
                <w:sz w:val="20"/>
                <w:szCs w:val="20"/>
              </w:rPr>
              <w:t>Solar Programmatic EIS Center</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7CA50BF0" w14:textId="77777777" w:rsidR="0033362D" w:rsidRDefault="0033362D" w:rsidP="00CA690E">
            <w:pPr>
              <w:widowControl w:val="0"/>
              <w:rPr>
                <w:sz w:val="20"/>
                <w:szCs w:val="20"/>
              </w:rPr>
            </w:pPr>
            <w:r>
              <w:rPr>
                <w:sz w:val="20"/>
                <w:szCs w:val="20"/>
              </w:rPr>
              <w:t>Ref. 11</w:t>
            </w:r>
          </w:p>
        </w:tc>
      </w:tr>
      <w:tr w:rsidR="0033362D" w14:paraId="34057107"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2C7DA97D"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6BDBFB12"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713BD97F" w14:textId="77777777" w:rsidR="0033362D" w:rsidRDefault="0033362D" w:rsidP="00CA690E">
            <w:pPr>
              <w:widowControl w:val="0"/>
              <w:rPr>
                <w:sz w:val="20"/>
                <w:szCs w:val="20"/>
              </w:rPr>
            </w:pPr>
            <w:r>
              <w:rPr>
                <w:sz w:val="20"/>
                <w:szCs w:val="20"/>
              </w:rPr>
              <w:t>State/region-specific database</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2013D600" w14:textId="77777777" w:rsidR="0033362D" w:rsidRDefault="0033362D" w:rsidP="00CA690E">
            <w:pPr>
              <w:widowControl w:val="0"/>
              <w:rPr>
                <w:sz w:val="20"/>
                <w:szCs w:val="20"/>
              </w:rPr>
            </w:pPr>
            <w:r>
              <w:rPr>
                <w:sz w:val="20"/>
                <w:szCs w:val="20"/>
              </w:rPr>
              <w:t>Ref. 13</w:t>
            </w:r>
          </w:p>
        </w:tc>
      </w:tr>
      <w:tr w:rsidR="0033362D" w14:paraId="6E420982"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4FCDE7C4" w14:textId="77777777" w:rsidR="0033362D" w:rsidRDefault="0033362D" w:rsidP="00CA690E">
            <w:pPr>
              <w:widowControl w:val="0"/>
              <w:rPr>
                <w:b/>
                <w:sz w:val="20"/>
                <w:szCs w:val="20"/>
              </w:rPr>
            </w:pPr>
            <w:r>
              <w:rPr>
                <w:b/>
                <w:sz w:val="20"/>
                <w:szCs w:val="20"/>
              </w:rPr>
              <w:t>Landscape Intactness</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29413C52" w14:textId="77777777" w:rsidR="0033362D" w:rsidRDefault="0033362D" w:rsidP="00CA690E">
            <w:pPr>
              <w:widowControl w:val="0"/>
              <w:jc w:val="center"/>
              <w:rPr>
                <w:sz w:val="20"/>
                <w:szCs w:val="20"/>
              </w:rPr>
            </w:pPr>
            <w:r>
              <w:rPr>
                <w:sz w:val="20"/>
                <w:szCs w:val="20"/>
              </w:rPr>
              <w:t>2</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46B3E1C4" w14:textId="77777777" w:rsidR="0033362D" w:rsidRDefault="0033362D" w:rsidP="00CA690E">
            <w:pPr>
              <w:widowControl w:val="0"/>
              <w:rPr>
                <w:sz w:val="20"/>
                <w:szCs w:val="20"/>
              </w:rPr>
            </w:pPr>
            <w:r>
              <w:rPr>
                <w:sz w:val="20"/>
                <w:szCs w:val="20"/>
              </w:rPr>
              <w:t>Theobald human modification index (HMI)</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7DE8FD15" w14:textId="77777777" w:rsidR="0033362D" w:rsidRDefault="0033362D" w:rsidP="00CA690E">
            <w:pPr>
              <w:widowControl w:val="0"/>
              <w:rPr>
                <w:sz w:val="20"/>
                <w:szCs w:val="20"/>
              </w:rPr>
            </w:pPr>
            <w:r>
              <w:rPr>
                <w:sz w:val="20"/>
                <w:szCs w:val="20"/>
              </w:rPr>
              <w:t>Ref. 1</w:t>
            </w:r>
          </w:p>
        </w:tc>
      </w:tr>
      <w:tr w:rsidR="0033362D" w14:paraId="7A6447EE"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7673BC3B"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510914F3"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64758F4F" w14:textId="77777777" w:rsidR="0033362D" w:rsidRDefault="0033362D" w:rsidP="00CA690E">
            <w:pPr>
              <w:widowControl w:val="0"/>
              <w:rPr>
                <w:sz w:val="20"/>
                <w:szCs w:val="20"/>
              </w:rPr>
            </w:pPr>
            <w:r>
              <w:rPr>
                <w:sz w:val="20"/>
                <w:szCs w:val="20"/>
              </w:rPr>
              <w:t>The Disappearing West database</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0D07AC29" w14:textId="77777777" w:rsidR="0033362D" w:rsidRDefault="0033362D" w:rsidP="00CA690E">
            <w:pPr>
              <w:widowControl w:val="0"/>
              <w:rPr>
                <w:sz w:val="20"/>
                <w:szCs w:val="20"/>
              </w:rPr>
            </w:pPr>
            <w:r>
              <w:rPr>
                <w:sz w:val="20"/>
                <w:szCs w:val="20"/>
              </w:rPr>
              <w:t>Ref. 4</w:t>
            </w:r>
          </w:p>
        </w:tc>
      </w:tr>
      <w:tr w:rsidR="0033362D" w14:paraId="4DBCDC86"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742867A6"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4D1D449D"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76DE17DE" w14:textId="77777777" w:rsidR="0033362D" w:rsidRDefault="0033362D" w:rsidP="00CA690E">
            <w:pPr>
              <w:widowControl w:val="0"/>
              <w:rPr>
                <w:sz w:val="20"/>
                <w:szCs w:val="20"/>
              </w:rPr>
            </w:pPr>
            <w:r>
              <w:rPr>
                <w:sz w:val="20"/>
                <w:szCs w:val="20"/>
              </w:rPr>
              <w:t>TNC Resilient &amp; Connected Network</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4146A1E0" w14:textId="77777777" w:rsidR="0033362D" w:rsidRDefault="0033362D" w:rsidP="00CA690E">
            <w:pPr>
              <w:widowControl w:val="0"/>
              <w:rPr>
                <w:sz w:val="20"/>
                <w:szCs w:val="20"/>
              </w:rPr>
            </w:pPr>
            <w:r>
              <w:rPr>
                <w:sz w:val="20"/>
                <w:szCs w:val="20"/>
              </w:rPr>
              <w:t>Ref. 13</w:t>
            </w:r>
          </w:p>
        </w:tc>
      </w:tr>
      <w:tr w:rsidR="0033362D" w14:paraId="3DD88E85" w14:textId="77777777" w:rsidTr="00CA690E">
        <w:trPr>
          <w:trHeight w:val="315"/>
        </w:trPr>
        <w:tc>
          <w:tcPr>
            <w:tcW w:w="2040" w:type="dxa"/>
            <w:vMerge w:val="restart"/>
            <w:tcBorders>
              <w:top w:val="single" w:sz="5" w:space="0" w:color="CCCCCC"/>
              <w:left w:val="single" w:sz="10"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6164EBD3" w14:textId="77777777" w:rsidR="0033362D" w:rsidRDefault="0033362D" w:rsidP="00CA690E">
            <w:pPr>
              <w:widowControl w:val="0"/>
              <w:rPr>
                <w:b/>
                <w:sz w:val="20"/>
                <w:szCs w:val="20"/>
              </w:rPr>
            </w:pPr>
            <w:r>
              <w:rPr>
                <w:b/>
                <w:sz w:val="20"/>
                <w:szCs w:val="20"/>
              </w:rPr>
              <w:t>Landscape Connectivity</w:t>
            </w:r>
          </w:p>
        </w:tc>
        <w:tc>
          <w:tcPr>
            <w:tcW w:w="1170" w:type="dxa"/>
            <w:vMerge w:val="restart"/>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77B7F41C" w14:textId="77777777" w:rsidR="0033362D" w:rsidRDefault="0033362D" w:rsidP="00CA690E">
            <w:pPr>
              <w:widowControl w:val="0"/>
              <w:jc w:val="center"/>
              <w:rPr>
                <w:sz w:val="20"/>
                <w:szCs w:val="20"/>
              </w:rPr>
            </w:pPr>
            <w:r>
              <w:rPr>
                <w:sz w:val="20"/>
                <w:szCs w:val="20"/>
              </w:rPr>
              <w:t>3</w:t>
            </w: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671CDD0A" w14:textId="77777777" w:rsidR="0033362D" w:rsidRDefault="0033362D" w:rsidP="00CA690E">
            <w:pPr>
              <w:widowControl w:val="0"/>
              <w:rPr>
                <w:sz w:val="20"/>
                <w:szCs w:val="20"/>
              </w:rPr>
            </w:pPr>
            <w:r>
              <w:rPr>
                <w:sz w:val="20"/>
                <w:szCs w:val="20"/>
              </w:rPr>
              <w:t>WWWMP</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5958C709" w14:textId="77777777" w:rsidR="0033362D" w:rsidRDefault="0033362D" w:rsidP="00CA690E">
            <w:pPr>
              <w:widowControl w:val="0"/>
              <w:rPr>
                <w:sz w:val="20"/>
                <w:szCs w:val="20"/>
              </w:rPr>
            </w:pPr>
            <w:r>
              <w:rPr>
                <w:sz w:val="20"/>
                <w:szCs w:val="20"/>
              </w:rPr>
              <w:t>Ref. 4,</w:t>
            </w:r>
          </w:p>
        </w:tc>
      </w:tr>
      <w:tr w:rsidR="0033362D" w14:paraId="5DE8816F"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37E04D86"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330AD2EA"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414A2E8E" w14:textId="77777777" w:rsidR="0033362D" w:rsidRDefault="0033362D" w:rsidP="00CA690E">
            <w:pPr>
              <w:widowControl w:val="0"/>
              <w:rPr>
                <w:sz w:val="20"/>
                <w:szCs w:val="20"/>
              </w:rPr>
            </w:pPr>
            <w:r>
              <w:rPr>
                <w:sz w:val="20"/>
                <w:szCs w:val="20"/>
              </w:rPr>
              <w:t>BLM Western Solar Plan</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55E8C55E" w14:textId="77777777" w:rsidR="0033362D" w:rsidRDefault="0033362D" w:rsidP="00CA690E">
            <w:pPr>
              <w:widowControl w:val="0"/>
              <w:rPr>
                <w:sz w:val="20"/>
                <w:szCs w:val="20"/>
              </w:rPr>
            </w:pPr>
            <w:r>
              <w:rPr>
                <w:sz w:val="20"/>
                <w:szCs w:val="20"/>
              </w:rPr>
              <w:t>Ref. 5,</w:t>
            </w:r>
          </w:p>
        </w:tc>
      </w:tr>
      <w:tr w:rsidR="0033362D" w14:paraId="27B67C69"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3BBA7ACE"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7C0617DC"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center"/>
          </w:tcPr>
          <w:p w14:paraId="10CE49C3" w14:textId="77777777" w:rsidR="0033362D" w:rsidRDefault="0033362D" w:rsidP="00CA690E">
            <w:pPr>
              <w:widowControl w:val="0"/>
              <w:rPr>
                <w:sz w:val="20"/>
                <w:szCs w:val="20"/>
              </w:rPr>
            </w:pPr>
            <w:r>
              <w:rPr>
                <w:sz w:val="20"/>
                <w:szCs w:val="20"/>
              </w:rPr>
              <w:t>Solar Programmatic EIS Center</w:t>
            </w:r>
          </w:p>
        </w:tc>
        <w:tc>
          <w:tcPr>
            <w:tcW w:w="4365" w:type="dxa"/>
            <w:tcBorders>
              <w:top w:val="single" w:sz="5" w:space="0" w:color="CCCCCC"/>
              <w:left w:val="single" w:sz="5" w:space="0" w:color="CCCCCC"/>
              <w:bottom w:val="single" w:sz="5" w:space="0" w:color="CCCCCC"/>
              <w:right w:val="single" w:sz="10" w:space="0" w:color="000000"/>
            </w:tcBorders>
            <w:shd w:val="clear" w:color="auto" w:fill="auto"/>
            <w:tcMar>
              <w:top w:w="40" w:type="dxa"/>
              <w:left w:w="40" w:type="dxa"/>
              <w:bottom w:w="40" w:type="dxa"/>
              <w:right w:w="40" w:type="dxa"/>
            </w:tcMar>
            <w:vAlign w:val="center"/>
          </w:tcPr>
          <w:p w14:paraId="54F0749D" w14:textId="77777777" w:rsidR="0033362D" w:rsidRDefault="0033362D" w:rsidP="00CA690E">
            <w:pPr>
              <w:widowControl w:val="0"/>
              <w:rPr>
                <w:sz w:val="20"/>
                <w:szCs w:val="20"/>
              </w:rPr>
            </w:pPr>
            <w:r>
              <w:rPr>
                <w:sz w:val="20"/>
                <w:szCs w:val="20"/>
              </w:rPr>
              <w:t>Ref. 11</w:t>
            </w:r>
          </w:p>
        </w:tc>
      </w:tr>
      <w:tr w:rsidR="0033362D" w14:paraId="6605EFF3" w14:textId="77777777" w:rsidTr="00CA690E">
        <w:trPr>
          <w:trHeight w:val="315"/>
        </w:trPr>
        <w:tc>
          <w:tcPr>
            <w:tcW w:w="2040" w:type="dxa"/>
            <w:vMerge/>
            <w:tcBorders>
              <w:top w:val="single" w:sz="5" w:space="0" w:color="CCCCCC"/>
              <w:left w:val="single" w:sz="10" w:space="0" w:color="000000"/>
              <w:bottom w:val="single" w:sz="5" w:space="0" w:color="000000"/>
              <w:right w:val="single" w:sz="5" w:space="0" w:color="000000"/>
            </w:tcBorders>
            <w:shd w:val="clear" w:color="auto" w:fill="auto"/>
            <w:tcMar>
              <w:top w:w="100" w:type="dxa"/>
              <w:left w:w="100" w:type="dxa"/>
              <w:bottom w:w="100" w:type="dxa"/>
              <w:right w:w="100" w:type="dxa"/>
            </w:tcMar>
          </w:tcPr>
          <w:p w14:paraId="1ECF85AA" w14:textId="77777777" w:rsidR="0033362D" w:rsidRDefault="0033362D" w:rsidP="00CA690E">
            <w:pPr>
              <w:widowControl w:val="0"/>
              <w:rPr>
                <w:sz w:val="20"/>
                <w:szCs w:val="20"/>
              </w:rPr>
            </w:pPr>
          </w:p>
        </w:tc>
        <w:tc>
          <w:tcPr>
            <w:tcW w:w="1170" w:type="dxa"/>
            <w:vMerge/>
            <w:tcBorders>
              <w:top w:val="single" w:sz="5" w:space="0" w:color="CCCCCC"/>
              <w:left w:val="single" w:sz="5" w:space="0" w:color="CCCCCC"/>
              <w:bottom w:val="single" w:sz="5" w:space="0" w:color="000000"/>
              <w:right w:val="single" w:sz="5" w:space="0" w:color="CCCCCC"/>
            </w:tcBorders>
            <w:shd w:val="clear" w:color="auto" w:fill="auto"/>
            <w:tcMar>
              <w:top w:w="100" w:type="dxa"/>
              <w:left w:w="100" w:type="dxa"/>
              <w:bottom w:w="100" w:type="dxa"/>
              <w:right w:w="100" w:type="dxa"/>
            </w:tcMar>
          </w:tcPr>
          <w:p w14:paraId="1A47831B" w14:textId="77777777" w:rsidR="0033362D" w:rsidRDefault="0033362D" w:rsidP="00CA690E">
            <w:pPr>
              <w:widowControl w:val="0"/>
              <w:rPr>
                <w:sz w:val="20"/>
                <w:szCs w:val="20"/>
              </w:rPr>
            </w:pPr>
          </w:p>
        </w:tc>
        <w:tc>
          <w:tcPr>
            <w:tcW w:w="225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center"/>
          </w:tcPr>
          <w:p w14:paraId="447D6D10" w14:textId="77777777" w:rsidR="0033362D" w:rsidRDefault="0033362D" w:rsidP="00CA690E">
            <w:pPr>
              <w:widowControl w:val="0"/>
              <w:rPr>
                <w:sz w:val="20"/>
                <w:szCs w:val="20"/>
              </w:rPr>
            </w:pPr>
            <w:r>
              <w:rPr>
                <w:sz w:val="20"/>
                <w:szCs w:val="20"/>
              </w:rPr>
              <w:t>TNC Resilient &amp; Connected Network</w:t>
            </w:r>
          </w:p>
        </w:tc>
        <w:tc>
          <w:tcPr>
            <w:tcW w:w="4365" w:type="dxa"/>
            <w:tcBorders>
              <w:top w:val="single" w:sz="5" w:space="0" w:color="CCCCCC"/>
              <w:left w:val="single" w:sz="5" w:space="0" w:color="CCCCCC"/>
              <w:bottom w:val="single" w:sz="5" w:space="0" w:color="000000"/>
              <w:right w:val="single" w:sz="10" w:space="0" w:color="000000"/>
            </w:tcBorders>
            <w:shd w:val="clear" w:color="auto" w:fill="auto"/>
            <w:tcMar>
              <w:top w:w="40" w:type="dxa"/>
              <w:left w:w="40" w:type="dxa"/>
              <w:bottom w:w="40" w:type="dxa"/>
              <w:right w:w="40" w:type="dxa"/>
            </w:tcMar>
            <w:vAlign w:val="center"/>
          </w:tcPr>
          <w:p w14:paraId="1ACDD8E1" w14:textId="77777777" w:rsidR="0033362D" w:rsidRDefault="0033362D" w:rsidP="00CA690E">
            <w:pPr>
              <w:widowControl w:val="0"/>
              <w:rPr>
                <w:sz w:val="20"/>
                <w:szCs w:val="20"/>
              </w:rPr>
            </w:pPr>
            <w:r>
              <w:rPr>
                <w:sz w:val="20"/>
                <w:szCs w:val="20"/>
              </w:rPr>
              <w:t>Ref. 13</w:t>
            </w:r>
          </w:p>
        </w:tc>
      </w:tr>
      <w:tr w:rsidR="0033362D" w14:paraId="1DF62118" w14:textId="77777777" w:rsidTr="00CA690E">
        <w:trPr>
          <w:trHeight w:val="315"/>
        </w:trPr>
        <w:tc>
          <w:tcPr>
            <w:tcW w:w="2040" w:type="dxa"/>
            <w:tcBorders>
              <w:top w:val="single" w:sz="5" w:space="0" w:color="CCCCCC"/>
              <w:left w:val="single" w:sz="10" w:space="0" w:color="000000"/>
              <w:bottom w:val="single" w:sz="10" w:space="0" w:color="000000"/>
              <w:right w:val="single" w:sz="5" w:space="0" w:color="000000"/>
            </w:tcBorders>
            <w:shd w:val="clear" w:color="auto" w:fill="auto"/>
            <w:tcMar>
              <w:top w:w="40" w:type="dxa"/>
              <w:left w:w="40" w:type="dxa"/>
              <w:bottom w:w="40" w:type="dxa"/>
              <w:right w:w="40" w:type="dxa"/>
            </w:tcMar>
            <w:vAlign w:val="center"/>
          </w:tcPr>
          <w:p w14:paraId="0CD330AC" w14:textId="77777777" w:rsidR="0033362D" w:rsidRDefault="0033362D" w:rsidP="00CA690E">
            <w:pPr>
              <w:widowControl w:val="0"/>
              <w:rPr>
                <w:sz w:val="20"/>
                <w:szCs w:val="20"/>
              </w:rPr>
            </w:pPr>
            <w:r>
              <w:rPr>
                <w:b/>
                <w:sz w:val="20"/>
                <w:szCs w:val="20"/>
              </w:rPr>
              <w:lastRenderedPageBreak/>
              <w:t>Migratory Routes</w:t>
            </w:r>
          </w:p>
        </w:tc>
        <w:tc>
          <w:tcPr>
            <w:tcW w:w="1170" w:type="dxa"/>
            <w:tcBorders>
              <w:top w:val="single" w:sz="5" w:space="0" w:color="CCCCCC"/>
              <w:left w:val="single" w:sz="5" w:space="0" w:color="CCCCCC"/>
              <w:bottom w:val="single" w:sz="10" w:space="0" w:color="000000"/>
              <w:right w:val="single" w:sz="5" w:space="0" w:color="CCCCCC"/>
            </w:tcBorders>
            <w:shd w:val="clear" w:color="auto" w:fill="auto"/>
            <w:tcMar>
              <w:top w:w="40" w:type="dxa"/>
              <w:left w:w="40" w:type="dxa"/>
              <w:bottom w:w="40" w:type="dxa"/>
              <w:right w:w="40" w:type="dxa"/>
            </w:tcMar>
            <w:vAlign w:val="center"/>
          </w:tcPr>
          <w:p w14:paraId="1CFEDF79" w14:textId="77777777" w:rsidR="0033362D" w:rsidRDefault="0033362D" w:rsidP="00CA690E">
            <w:pPr>
              <w:widowControl w:val="0"/>
              <w:jc w:val="center"/>
              <w:rPr>
                <w:sz w:val="20"/>
                <w:szCs w:val="20"/>
              </w:rPr>
            </w:pPr>
            <w:r>
              <w:rPr>
                <w:sz w:val="20"/>
                <w:szCs w:val="20"/>
              </w:rPr>
              <w:t>3</w:t>
            </w:r>
          </w:p>
        </w:tc>
        <w:tc>
          <w:tcPr>
            <w:tcW w:w="2250" w:type="dxa"/>
            <w:tcBorders>
              <w:top w:val="single" w:sz="5" w:space="0" w:color="CCCCCC"/>
              <w:left w:val="single" w:sz="5" w:space="0" w:color="CCCCCC"/>
              <w:bottom w:val="single" w:sz="10" w:space="0" w:color="000000"/>
              <w:right w:val="single" w:sz="5" w:space="0" w:color="CCCCCC"/>
            </w:tcBorders>
            <w:shd w:val="clear" w:color="auto" w:fill="auto"/>
            <w:tcMar>
              <w:top w:w="40" w:type="dxa"/>
              <w:left w:w="40" w:type="dxa"/>
              <w:bottom w:w="40" w:type="dxa"/>
              <w:right w:w="40" w:type="dxa"/>
            </w:tcMar>
            <w:vAlign w:val="center"/>
          </w:tcPr>
          <w:p w14:paraId="78CFE624" w14:textId="77777777" w:rsidR="0033362D" w:rsidRDefault="0033362D" w:rsidP="00CA690E">
            <w:pPr>
              <w:widowControl w:val="0"/>
              <w:rPr>
                <w:sz w:val="20"/>
                <w:szCs w:val="20"/>
              </w:rPr>
            </w:pPr>
            <w:r>
              <w:rPr>
                <w:sz w:val="20"/>
                <w:szCs w:val="20"/>
              </w:rPr>
              <w:t>State/region-specific database</w:t>
            </w:r>
          </w:p>
        </w:tc>
        <w:tc>
          <w:tcPr>
            <w:tcW w:w="4365" w:type="dxa"/>
            <w:tcBorders>
              <w:top w:val="single" w:sz="5" w:space="0" w:color="CCCCCC"/>
              <w:left w:val="single" w:sz="5" w:space="0" w:color="CCCCCC"/>
              <w:bottom w:val="single" w:sz="10" w:space="0" w:color="000000"/>
              <w:right w:val="single" w:sz="10" w:space="0" w:color="000000"/>
            </w:tcBorders>
            <w:shd w:val="clear" w:color="auto" w:fill="auto"/>
            <w:tcMar>
              <w:top w:w="40" w:type="dxa"/>
              <w:left w:w="40" w:type="dxa"/>
              <w:bottom w:w="40" w:type="dxa"/>
              <w:right w:w="40" w:type="dxa"/>
            </w:tcMar>
            <w:vAlign w:val="center"/>
          </w:tcPr>
          <w:p w14:paraId="5ABCF454" w14:textId="77777777" w:rsidR="0033362D" w:rsidRDefault="0033362D" w:rsidP="00CA690E">
            <w:pPr>
              <w:widowControl w:val="0"/>
              <w:rPr>
                <w:sz w:val="20"/>
                <w:szCs w:val="20"/>
              </w:rPr>
            </w:pPr>
            <w:r>
              <w:rPr>
                <w:sz w:val="20"/>
                <w:szCs w:val="20"/>
              </w:rPr>
              <w:t>Ref. 13</w:t>
            </w:r>
          </w:p>
        </w:tc>
      </w:tr>
    </w:tbl>
    <w:p w14:paraId="6FABA30A" w14:textId="066062C0" w:rsidR="00047238" w:rsidRDefault="0033362D">
      <w:r>
        <w:t xml:space="preserve">All consensus core criteria come from rounds 1 and 2. References pertain to the following studies: Ref. 1: Patankar et al. </w:t>
      </w:r>
      <w:r>
        <w:fldChar w:fldCharType="begin"/>
      </w:r>
      <w:r>
        <w:instrText xml:space="preserve"> ADDIN ZOTERO_ITEM CSL_CITATION {"citationID":"hx0v3eZQ","properties":{"formattedCitation":"\\super 37\\nosupersub{}","plainCitation":"37","noteIndex":0},"citationItems":[{"id":593,"uris":["http://zotero.org/users/10922831/items/VH36HPSF"],"itemData":{"id":593,"type":"article-journal","container-title":"Energy and Climate Change","DOI":"10.1016/j.egycc.2023.100107","ISSN":"26662787","journalAbbreviation":"Energy and Climate Change","language":"en","page":"100107","source":"DOI.org (Crossref)","title":"Land use trade-offs in decarbonization of electricity generation in the American West","volume":"4","author":[{"family":"Patankar","given":"Neha"},{"family":"Sarkela-Basset","given":"Xiili"},{"family":"Schivley","given":"Greg"},{"family":"Leslie","given":"Emily"},{"family":"Jenkins","given":"Jesse"}],"issued":{"date-parts":[["2023",12]]}}}],"schema":"https://github.com/citation-style-language/schema/raw/master/csl-citation.json"} </w:instrText>
      </w:r>
      <w:r>
        <w:fldChar w:fldCharType="separate"/>
      </w:r>
      <w:r w:rsidRPr="00E07AF6">
        <w:rPr>
          <w:vertAlign w:val="superscript"/>
          <w:lang w:val="fr-FR"/>
        </w:rPr>
        <w:t>37</w:t>
      </w:r>
      <w:r>
        <w:fldChar w:fldCharType="end"/>
      </w:r>
      <w:r w:rsidRPr="005404F6">
        <w:rPr>
          <w:lang w:val="fr-FR"/>
        </w:rPr>
        <w:t xml:space="preserve">; </w:t>
      </w:r>
      <w:proofErr w:type="spellStart"/>
      <w:r w:rsidRPr="005404F6">
        <w:rPr>
          <w:lang w:val="fr-FR"/>
        </w:rPr>
        <w:t>Ref</w:t>
      </w:r>
      <w:proofErr w:type="spellEnd"/>
      <w:r w:rsidRPr="005404F6">
        <w:rPr>
          <w:lang w:val="fr-FR"/>
        </w:rPr>
        <w:t xml:space="preserve">. 2: </w:t>
      </w:r>
      <w:proofErr w:type="spellStart"/>
      <w:r w:rsidRPr="005404F6">
        <w:rPr>
          <w:lang w:val="fr-FR"/>
        </w:rPr>
        <w:t>Kwak</w:t>
      </w:r>
      <w:proofErr w:type="spellEnd"/>
      <w:r w:rsidRPr="005404F6">
        <w:rPr>
          <w:lang w:val="fr-FR"/>
        </w:rPr>
        <w:t xml:space="preserve"> et al. </w:t>
      </w:r>
      <w:r>
        <w:fldChar w:fldCharType="begin"/>
      </w:r>
      <w:r>
        <w:rPr>
          <w:lang w:val="fr-FR"/>
        </w:rPr>
        <w:instrText xml:space="preserve"> ADDIN ZOTERO_ITEM CSL_CITATION {"citationID":"t31aX46x","properties":{"formattedCitation":"\\super 20\\nosupersub{}","plainCitation":"20","noteIndex":0},"citationItems":[{"id":592,"uris":["http://zotero.org/users/10922831/items/5997SICZ"],"itemData":{"id":592,"type":"article-journal","container-title":"Renewable Energy","DOI":"10.1016/j.renene.2021.05.165","ISSN":"09601481","journalAbbreviation":"Renewable Energy","language":"en","page":"554-567","source":"DOI.org (Crossref)","title":"A large scale multi criteria suitability analysis for identifying solar development potential: A decision support approach for the state of Illinois, USA","title-short":"A large scale multi criteria suitability analysis for identifying solar development potential","volume":"177","author":[{"family":"Kwak","given":"Yoonshin"},{"family":"Deal","given":"Brian"},{"family":"Heavisides","given":"Tom"}],"issued":{"date-parts":[["2021",11]]}}}],"schema":"https://github.com/citation-style-language/schema/raw/master/csl-citation.json"} </w:instrText>
      </w:r>
      <w:r>
        <w:fldChar w:fldCharType="separate"/>
      </w:r>
      <w:r w:rsidRPr="00E07AF6">
        <w:rPr>
          <w:vertAlign w:val="superscript"/>
          <w:lang w:val="fr-FR"/>
        </w:rPr>
        <w:t>20</w:t>
      </w:r>
      <w:r>
        <w:fldChar w:fldCharType="end"/>
      </w:r>
      <w:r w:rsidRPr="00946C89">
        <w:rPr>
          <w:lang w:val="fr-FR"/>
        </w:rPr>
        <w:t xml:space="preserve">; </w:t>
      </w:r>
      <w:proofErr w:type="spellStart"/>
      <w:r w:rsidRPr="00946C89">
        <w:rPr>
          <w:lang w:val="fr-FR"/>
        </w:rPr>
        <w:t>Ref</w:t>
      </w:r>
      <w:proofErr w:type="spellEnd"/>
      <w:r w:rsidRPr="00946C89">
        <w:rPr>
          <w:lang w:val="fr-FR"/>
        </w:rPr>
        <w:t>. 3: Katkar et al.</w:t>
      </w:r>
      <w:r w:rsidRPr="005404F6">
        <w:rPr>
          <w:lang w:val="fr-FR"/>
        </w:rPr>
        <w:t xml:space="preserve"> </w:t>
      </w:r>
      <w:r>
        <w:fldChar w:fldCharType="begin"/>
      </w:r>
      <w:r>
        <w:rPr>
          <w:lang w:val="fr-FR"/>
        </w:rPr>
        <w:instrText xml:space="preserve"> ADDIN ZOTERO_ITEM CSL_CITATION {"citationID":"wOGFCZV9","properties":{"formattedCitation":"\\super 52\\nosupersub{}","plainCitation":"52","noteIndex":0},"citationItems":[{"id":35,"uris":["http://zotero.org/users/10922831/items/TIFCZWUT"],"itemData":{"id":35,"type":"article-journal","abstract":"This study investigates the spatial characteristics of existing utility-scale solar energy (USSE) development in New York State (NYS) and assesses the land-suitability for the future development of USSE needed to achieve the State’s renewable energy goals using GIS-MCDA techniques. Slope, proximity to electric substations, protected lands, and soil quality were used as criteria to develop land suitability scenarios. 40% of present USSE capacity has been developed on agricultural lands, and 84% of identified land suitable for future USSE development (</w:instrText>
      </w:r>
      <w:r>
        <w:rPr>
          <w:rFonts w:ascii="Cambria Math" w:hAnsi="Cambria Math" w:cs="Cambria Math"/>
          <w:lang w:val="fr-FR"/>
        </w:rPr>
        <w:instrText>∼</w:instrText>
      </w:r>
      <w:r>
        <w:rPr>
          <w:lang w:val="fr-FR"/>
        </w:rPr>
        <w:instrText xml:space="preserve">140 GW potential) is agricultural. The USSE potential on non-agricultural land is 22.5 GW – just sufficient to accommodate the development of 21.6 GW, which is the estimated USSE capacity that will be required to achieve NYS’s 2030 goal of 70% renewable electricity. Thus, agricultural lands will be the prime target for future USSE development. Exploring the state-specific synergies for solar-agriculture colocation, preventing the spatially-concentrated development of USSE, and incentivizing the use of unproductive agricultural lands will help mitigate negative impacts of USSE development on agricultural lands.","container-title":"Renewable Energy","DOI":"10.1016/j.renene.2021.03.128","ISSN":"0960-1481","journalAbbreviation":"Renewable Energy","page":"861-875","source":"ScienceDirect","title":"Strategic land use analysis for solar energy development in New York State","volume":"173","author":[{"family":"Katkar","given":"Venktesh V."},{"family":"Sward","given":"Jeffrey A."},{"family":"Worsley","given":"Alex"},{"family":"Zhang","given":"K. Max"}],"issued":{"date-parts":[["2021",8,1]]}}}],"schema":"https://github.com/citation-style-language/schema/raw/master/csl-citation.json"} </w:instrText>
      </w:r>
      <w:r>
        <w:fldChar w:fldCharType="separate"/>
      </w:r>
      <w:r w:rsidRPr="00E07AF6">
        <w:rPr>
          <w:vertAlign w:val="superscript"/>
          <w:lang w:val="fr-FR"/>
        </w:rPr>
        <w:t>52</w:t>
      </w:r>
      <w:r>
        <w:fldChar w:fldCharType="end"/>
      </w:r>
      <w:r w:rsidRPr="00946C89">
        <w:rPr>
          <w:lang w:val="fr-FR"/>
        </w:rPr>
        <w:t xml:space="preserve">; </w:t>
      </w:r>
      <w:proofErr w:type="spellStart"/>
      <w:r w:rsidRPr="00946C89">
        <w:rPr>
          <w:lang w:val="fr-FR"/>
        </w:rPr>
        <w:t>Ref</w:t>
      </w:r>
      <w:proofErr w:type="spellEnd"/>
      <w:r w:rsidRPr="00946C89">
        <w:rPr>
          <w:lang w:val="fr-FR"/>
        </w:rPr>
        <w:t>. 4: Wu et al.</w:t>
      </w:r>
      <w:r w:rsidRPr="005404F6">
        <w:rPr>
          <w:lang w:val="fr-FR"/>
        </w:rPr>
        <w:t xml:space="preserve"> </w:t>
      </w:r>
      <w:r>
        <w:fldChar w:fldCharType="begin"/>
      </w:r>
      <w:r>
        <w:rPr>
          <w:lang w:val="fr-FR"/>
        </w:rPr>
        <w:instrText xml:space="preserve"> ADDIN ZOTERO_ITEM CSL_CITATION {"citationID":"EEgYfujW","properties":{"formattedCitation":"\\super 34\\nosupersub{}","plainCitation":"34","noteIndex":0},"citationItems":[{"id":598,"uris":["http://zotero.org/users/10922831/items/LAKP2BAI"],"itemData":{"id":598,"type":"article-journal","abstract":"A growing number of jurisdictions are passing ambitious clean energy policies. Yet few studies have accounted for natural and agricultural land impacts of low-carbon pathways and how environmental siting constraints affect electricity costs and technology choices. To address this gap, we developed an integrated land-energy planning framework to examine the land use trade-offs of renewable energy development required to achieve ambitious clean energy goals, using the state of Californi</w:instrText>
      </w:r>
      <w:r w:rsidRPr="0033362D">
        <w:rPr>
          <w:lang w:val="en-US"/>
        </w:rPr>
        <w:instrText>a as a case study. Using high-resolution ecological and agricultural datasets for 11 Western U.S. states, we modeled environmentally-constrained onshore wind, solar photovoltaic, and geothermal potential and used an electricity capacity expansion model to build generation portfolios for 2050. Here we show that California can meet its targets, but the technology mix, spatial build-out, and system costs are sensitive to land protections and availability of out-of-state renewable resources. Results suggest that failure to consider land availability in energy planning could increase uncertainties, environmental impacts, and risks in meeting subnational climate targets.","container-tit</w:instrText>
      </w:r>
      <w:r w:rsidRPr="00E07AF6">
        <w:rPr>
          <w:lang w:val="en-US"/>
        </w:rPr>
        <w:instrText xml:space="preserve">le":"Environmental Research Letters","DOI":"10.1088/1748-9326/ab87d1","ISSN":"1748-9326","issue":"7","journalAbbreviation":"Environ. Res. Lett.","language":"en","note":"publisher: IOP Publishing","page":"074044","source":"Institute of Physics","title":"Low-impact land use pathways to deep decarbonization of electricity","volume":"15","author":[{"family":"Wu","given":"Grace C."},{"family":"Leslie","given":"Emily"},{"family":"Sawyerr","given":"Oluwafemi"},{"family":"Cameron","given":"D. Richard"},{"family":"Brand","given":"Erica"},{"family":"Cohen","given":"Brian"},{"family":"Allen","given":"Douglas"},{"family":"Ochoa","given":"Marcela"},{"family":"Olson","given":"Arne"}],"issued":{"date-parts":[["2020",7]]}}}],"schema":"https://github.com/citation-style-language/schema/raw/master/csl-citation.json"} </w:instrText>
      </w:r>
      <w:r>
        <w:fldChar w:fldCharType="separate"/>
      </w:r>
      <w:r w:rsidRPr="00E07AF6">
        <w:rPr>
          <w:vertAlign w:val="superscript"/>
        </w:rPr>
        <w:t>34</w:t>
      </w:r>
      <w:r>
        <w:fldChar w:fldCharType="end"/>
      </w:r>
      <w:r>
        <w:t xml:space="preserve">; Ref. 5: Majumdar and Pasqualetti </w:t>
      </w:r>
      <w:r>
        <w:fldChar w:fldCharType="begin"/>
      </w:r>
      <w:r>
        <w:instrText xml:space="preserve"> ADDIN ZOTERO_ITEM CSL_CITATION {"citationID":"RxppajmX","properties":{"formattedCitation":"\\super 54\\nosupersub{}","plainCitation":"54","noteIndex":0},"citationItems":[{"id":48,"uris":["http://zotero.org/users/10922831/items/NICB2Q3G"],"itemData":{"id":48,"type":"article-journal","abstract":"This paper proposes ‘agrivoltaic’ system development within Phoenix Metropolitan Statistical Area (MSA) with the objective to generate clean energy in the agricultural lands using solar PV (Photovoltaics) systems thus reducing land commitment and also preserving the agricultural land in the process. Phoenix MSA comprises of two of the fastest growing counties in United States. The study finds that with half density panel distribution, private agricultural lands in the APS (Arizona Public Service) service territory can generate about 8 times the current residential energy demand and 3.4 times the current total energy requirements of the residential, commercial and industrial sectors in the MSA. The Indian Reservation land in the SRP (Salt River Project) service territory has the capacity to generate all of the current residential energy requirement. Most of the agricultural land lies within 1 mile of the 230 and 500kV transmission lines and is capable of producing 137.5 and 77.5 million MWh of energy. However, with half density panel distribution, an agricultural land received about 60% of direct sunlight compared to a land with no panels. Farmlands have the capacity to generate energy which is significantly more than that required for crop production. Analysis shows that about 50% of the agricultural land sales would have made up for the price of the sale within 2 years with agrivoltaic systems. The effect of preserving the agricultural land and creating a natural growth boundary on urban growth patterns in the rapidly sprawling Phoenix MSA is left as scope for future studies.","container-title":"Landscape and Urban Planning","DOI":"10.1016/j.landurbplan.2017.10.011","ISSN":"0169-2046","journalAbbreviation":"Landscape and Urban Planning","page":"150-168","source":"ScienceDirect","title":"Dual use of agricultural land: Introducing ‘agrivoltaics’ in Phoenix Metropolitan Statistical Area, USA","title-short":"Dual use of agricultural land","volume":"170","author":[{"family":"Majumdar","given":"Debaleena"},{"family":"Pasqualetti","given":"Martin J."}],"issued":{"date-parts":[["2018",2,1]]}}}],"schema":"https://github.com/citation-style-language/schema/raw/master/csl-citation.json"} </w:instrText>
      </w:r>
      <w:r>
        <w:fldChar w:fldCharType="separate"/>
      </w:r>
      <w:r w:rsidRPr="00E07AF6">
        <w:rPr>
          <w:vertAlign w:val="superscript"/>
        </w:rPr>
        <w:t>54</w:t>
      </w:r>
      <w:r>
        <w:fldChar w:fldCharType="end"/>
      </w:r>
      <w:r>
        <w:t xml:space="preserve">; Ref. 6: Hoffacker et al. </w:t>
      </w:r>
      <w:r>
        <w:fldChar w:fldCharType="begin"/>
      </w:r>
      <w:r>
        <w:instrText xml:space="preserve"> ADDIN ZOTERO_ITEM CSL_CITATION {"citationID":"a7Xc4MqO","properties":{"formattedCitation":"\\super 74\\nosupersub{}","plainCitation":"74","noteIndex":0},"citationItems":[{"id":124,"uris":["http://zotero.org/users/10922831/items/U3TWEMUL"],"itemData":{"id":124,"type":"article-journal","abstract":"Land-cover change from energy development, including solar energy, presents trade-offs for land used for the production of food and the conservation of ecosystems. Solar energy plays a critical role in contributing to the alternative energy mix to mitigate climate change and meet policy milestones; however, the extent that solar energy development on nonconventional surfaces can mitigate land scarcity is understudied. Here, we evaluate the land sparing potential of solar energy development across four nonconventional land-cover types: the built environment, salt-affected land, contaminated land, and water reservoirs (as floatovoltaics), within the Great Central Valley (CV, CA), a globally significant agricultural region where land for food production, urban development, and conservation collide. Furthermore, we calculate the technical potential (TWh year–1) of these land sparing sites and test the degree to which projected electricity needs for the state of California can be met therein. In total, the CV encompasses 15% of CA, 8415 km2 of which was identified as potentially land-sparing for solar energy development. These areas comprise a capacity-based energy potential of at least 17 348 TWh year–1 for photovoltaic (PV) and 2213 TWh year–1 for concentrating solar power (CSP). Accounting for technology efficiencies, this exceeds California’s 2025 projected electricity demands up to 13 and 2 times for PV and CSP, respectively. Our study underscores the potential of strategic renewable energy siting to mitigate environmental trade-offs typically coupled with energy sprawl in agricultural landscapes.","container-title":"Environmental Science &amp; Technology","DOI":"10.1021/acs.est.7b05110","ISSN":"0013-936X","issue":"24","journalAbbreviation":"Environ. Sci. Technol.","note":"publisher: American Chemical Society","page":"14472-14482","source":"ACS Publications","title":"Land-Sparing Opportunities for Solar Energy Development in Agricultural Landscapes: A Case Study of the Great Central Valley, CA, United States","title-short":"Land-Sparing Opportunities for Solar Energy Development in Agricultural Landscapes","volume":"51","author":[{"family":"Hoffacker","given":"Madison K."},{"family":"Allen","given":"Michael F."},{"family":"Hernandez","given":"Rebecca R."}],"issued":{"date-parts":[["2017",12,19]]}}}],"schema":"https://github.com/citation-style-language/schema/raw/master/csl-citation.json"} </w:instrText>
      </w:r>
      <w:r>
        <w:fldChar w:fldCharType="separate"/>
      </w:r>
      <w:r w:rsidRPr="005C5C58">
        <w:rPr>
          <w:vertAlign w:val="superscript"/>
        </w:rPr>
        <w:t>74</w:t>
      </w:r>
      <w:r>
        <w:fldChar w:fldCharType="end"/>
      </w:r>
      <w:r>
        <w:t xml:space="preserve">; Ref. 7: Hernandez et al. </w:t>
      </w:r>
      <w:r>
        <w:fldChar w:fldCharType="begin"/>
      </w:r>
      <w:r>
        <w:instrText xml:space="preserve"> ADDIN ZOTERO_ITEM CSL_CITATION {"citationID":"wAkN0dxj","properties":{"formattedCitation":"\\super 38\\nosupersub{}","plainCitation":"38","noteIndex":0},"citationItems":[{"id":12,"uris":["http://zotero.org/users/10922831/items/52EIZ773"],"itemData":{"id":12,"type":"article-journal","abstract":"Significance\n            Decisions humans make about how much land to use, where, and for what end use, can inform innovation and policies directing sustainable pathways of land use for energy. Using the state of California (United States) as a model system, our study shows that the majority of utility-scale solar energy (USSE) installations are sited in natural environments, namely shrublands and scrublands, and agricultural land cover types, and near (&lt;10 km) protected areas. “Compatible” (≤15%) USSE installations are sited in developed areas, whereas “Incompatible” installations (19%) are classified as such owing to, predominantly, lengthier distances to existing transmission. Our results suggest a dynamic landscape where land for energy, food, and conservation goals overlap and where environmental cobenefit opportunities should be explored.\n          , \n            \n              Decisions determining the use of land for energy are of exigent concern as land scarcity, the need for ecosystem services, and demands for energy generation have concomitantly increased globally. Utility-scale solar energy (USSE) [i.e., ≥1 megawatt (MW)] development requires large quantities of space and land; however, studies quantifying the effect of USSE on land cover change and protected areas are limited. We assessed siting impacts of &gt;160 USSE installations by technology type [photovoltaic (PV) vs. concentrating solar power (CSP)], area (in square kilometers), and capacity (in MW) within the global solar hot spot of the state of California (United States). Additionally, we used the Carnegie Energy and Environmental Compatibility model, a multiple criteria model, to quantify each installation according to environmental and technical compatibility. Last, we evaluated installations according to their proximity to protected areas, including inventoried roadless areas, endangered and threatened species habitat, and federally protected areas. We found</w:instrText>
      </w:r>
      <w:r w:rsidRPr="00E07AF6">
        <w:rPr>
          <w:lang w:val="fr-FR"/>
        </w:rPr>
        <w:instrText xml:space="preserve"> the plurality of USSE (6,995 MW) in California is sited in shrublands and scrublands, comprising 375 km\n              2\n              of land cover change. Twenty-eight percent of USSE installations are located in croplands and pastures, comprising 155 km\n              2\n              of change. Less than 15% of USSE installations are sited in “Compatible” areas. The majority of “Incompatible” USSE power plants are sited far from existing transmission infrastructure, and all USSE installations average at most 7 and 5 km from protected areas, for PV and CSP, respectively. Where energy, food, and conservation goals intersect, environmental compatibility can be achieved when resource opportunities, constraints, and trade-offs are integrated into siting decisions.","container-title":"Proceedings of the National Academy of Sciences","DOI":"10.1073/pnas.1517656112","ISSN":"0027-8424, 1091-6490","issue":"44","journalAbbreviation":"Proc. Natl. Acad. Sci. U.S.A.","language":"en","page":"13579-13584","source":"DOI.org (Crossref)","title":"Solar energy development impacts on land cover change and protected areas","volume":"112","author":[{"family":"Hernandez","given":"Rebecca R."},{"family":"Hoffacker","given":"Madison K."},{"family":"Murphy-Mariscal","given":"Michelle L."},{"family":"Wu","given":"Grace C."},{"family":"Allen","given":"Michael F."}],"issued":{"date-parts":[["2015",11,3]]}}}],"schema":"https://github.com/citation-style-language/schema/raw/master/csl-citation.json"} </w:instrText>
      </w:r>
      <w:r>
        <w:fldChar w:fldCharType="separate"/>
      </w:r>
      <w:r w:rsidRPr="00E07AF6">
        <w:rPr>
          <w:vertAlign w:val="superscript"/>
          <w:lang w:val="fr-FR"/>
        </w:rPr>
        <w:t>38</w:t>
      </w:r>
      <w:r>
        <w:fldChar w:fldCharType="end"/>
      </w:r>
      <w:r w:rsidRPr="005404F6">
        <w:rPr>
          <w:lang w:val="fr-FR"/>
        </w:rPr>
        <w:t xml:space="preserve">; </w:t>
      </w:r>
      <w:proofErr w:type="spellStart"/>
      <w:r w:rsidRPr="005404F6">
        <w:rPr>
          <w:lang w:val="fr-FR"/>
        </w:rPr>
        <w:t>Ref</w:t>
      </w:r>
      <w:proofErr w:type="spellEnd"/>
      <w:r w:rsidRPr="005404F6">
        <w:rPr>
          <w:lang w:val="fr-FR"/>
        </w:rPr>
        <w:t xml:space="preserve">. 8: Brewer et al. </w:t>
      </w:r>
      <w:r>
        <w:fldChar w:fldCharType="begin"/>
      </w:r>
      <w:r>
        <w:rPr>
          <w:lang w:val="fr-FR"/>
        </w:rPr>
        <w:instrText xml:space="preserve"> ADDIN ZOTERO_ITEM CSL_CITATION {"citationID":"Jxr4Ixvb","properties":{"formattedCitation":"\\super 35\\nosupersub{}","plainCitation":"35","noteIndex":0},"citationItems":[{"id":33,"uris":["http://zotero.org/users/10922831/items/QZ7JVGFL"],"itemData":{"id":33,"type":"article-journal","abstract":"Determining socially acceptable and economically viable locations for utility-scale solar projects is a costly process that depends on many technical, economic, environmental and social factors. This paper presents a GIS-based multi-criteria solar project siting study conducted in the southwestern United States with a unique social preference component. Proximity raster layers were derived from features including roads, power lines, and rivers then overlain with 10 × 10 m raster terrain datasets including slope and potential irradiance to produce a high resolution map showing solar energy potential from “poor” to “excellent” for high potential counties across the southwestern United States. Similar maps were produced by adding social acceptance data collected from a series of surveys showing the potential public resistance to development that can be expected in areas of high solar energy suitability. Applying social preferences to the model significantly reduced the amount of suitable area in each of the selected study areas. The methods demonstrated are expected to help reduce time, money, and resources currently allocated toward finding and assessing areas of high solar power suitability.","container-title":"Renewable Energy","DOI":"10.1016/j.renene.2015.04.017","ISSN":"0960-1481","journalAbbreviation":"Renewable Energy","page":"825-836","source":"ScienceDirect","title":"Using GIS analytics and social preference data to evaluate utility-scale solar power site suitability","volume":"81","author":[{"family":"Brewer","given":"Justin"},{"family":"Ames","given":"Daniel P."},{"family":"Solan","given":"David"},{"family":"Lee","given":"Randy"},{"family":"Carlisle","given":"Juliet"}],"issued":{"date-parts":[["2015",9,1]]}}}],"schema":"https://github.com/citation-style-language/schema/raw/master/csl-citation.json"} </w:instrText>
      </w:r>
      <w:r>
        <w:fldChar w:fldCharType="separate"/>
      </w:r>
      <w:r w:rsidRPr="00E07AF6">
        <w:rPr>
          <w:vertAlign w:val="superscript"/>
          <w:lang w:val="fr-FR"/>
        </w:rPr>
        <w:t>35</w:t>
      </w:r>
      <w:r>
        <w:fldChar w:fldCharType="end"/>
      </w:r>
      <w:r w:rsidRPr="005404F6">
        <w:rPr>
          <w:lang w:val="fr-FR"/>
        </w:rPr>
        <w:t xml:space="preserve">; </w:t>
      </w:r>
      <w:proofErr w:type="spellStart"/>
      <w:r w:rsidRPr="005404F6">
        <w:rPr>
          <w:lang w:val="fr-FR"/>
        </w:rPr>
        <w:t>Ref</w:t>
      </w:r>
      <w:proofErr w:type="spellEnd"/>
      <w:r w:rsidRPr="005404F6">
        <w:rPr>
          <w:lang w:val="fr-FR"/>
        </w:rPr>
        <w:t xml:space="preserve">. 9: Wu et al. </w:t>
      </w:r>
      <w:r>
        <w:fldChar w:fldCharType="begin"/>
      </w:r>
      <w:r>
        <w:rPr>
          <w:lang w:val="fr-FR"/>
        </w:rPr>
        <w:instrText xml:space="preserve"> ADDIN ZOTERO_ITEM CSL_CITATION {"citationID":"CDXD06Gj","properties":{"formattedCitation":"\\super 53\\nosupersub{}","plainCitation":"53","noteIndex":0},"citationItems":[{"id":17,"uris":["http://zotero.org/users/10922831/items/WQILYNMF"],"itemData":{"id":17,"type":"article-journal","container-title":"Environmental Science &amp; Technology","DOI":"10.1021/es502979v","ISSN":"0013-936X, 1520-5851","issue":"4","journalAbbreviation":"Environ. Sci. Technol.","language":"en","page":"2013-2021","source":"DOI.org (Crossref)","title":"Incorporating Land-Use Requirements and Environmental Constraints in Low-Carbon Electricity Planning for California","volume":"49","author":[{"family":"Wu","given":"Grace C."},{"family":"Torn","given":"Margaret S."},{"family":"Williams","given":"James H."}],"issued":{"date-parts":[["2015",2,17]]}}}],"schema":"https://github.com/citation-style-language/schema/raw/master/csl-citation.json"} </w:instrText>
      </w:r>
      <w:r>
        <w:fldChar w:fldCharType="separate"/>
      </w:r>
      <w:r w:rsidRPr="00E07AF6">
        <w:rPr>
          <w:vertAlign w:val="superscript"/>
          <w:lang w:val="fr-FR"/>
        </w:rPr>
        <w:t>53</w:t>
      </w:r>
      <w:r>
        <w:fldChar w:fldCharType="end"/>
      </w:r>
      <w:r w:rsidRPr="00946C89">
        <w:rPr>
          <w:lang w:val="fr-FR"/>
        </w:rPr>
        <w:t xml:space="preserve">; </w:t>
      </w:r>
      <w:proofErr w:type="spellStart"/>
      <w:r w:rsidRPr="00946C89">
        <w:rPr>
          <w:lang w:val="fr-FR"/>
        </w:rPr>
        <w:t>Ref</w:t>
      </w:r>
      <w:proofErr w:type="spellEnd"/>
      <w:r w:rsidRPr="00946C89">
        <w:rPr>
          <w:lang w:val="fr-FR"/>
        </w:rPr>
        <w:t>. 10: Ti</w:t>
      </w:r>
      <w:r>
        <w:rPr>
          <w:lang w:val="fr-FR"/>
        </w:rPr>
        <w:t>sza</w:t>
      </w:r>
      <w:r w:rsidRPr="00946C89">
        <w:rPr>
          <w:lang w:val="fr-FR"/>
        </w:rPr>
        <w:t xml:space="preserve"> et al.</w:t>
      </w:r>
      <w:r>
        <w:rPr>
          <w:lang w:val="fr-FR"/>
        </w:rPr>
        <w:t xml:space="preserve"> </w:t>
      </w:r>
      <w:r>
        <w:rPr>
          <w:lang w:val="fr-FR"/>
        </w:rPr>
        <w:fldChar w:fldCharType="begin"/>
      </w:r>
      <w:r>
        <w:rPr>
          <w:lang w:val="fr-FR"/>
        </w:rPr>
        <w:instrText xml:space="preserve"> ADDIN ZOTERO_ITEM CSL_CITATION {"citationID":"ZKAz3yVF","properties":{"formattedCitation":"\\super 75\\nosupersub{}","plainCitation":"75","noteIndex":0},"citationItems":[{"id":590,"uris":["http://zotero.org/users/10922831/items/PBMJHYG8"],"itemData":{"id":590,"type":"paper-conference","container-title":"2014 IEEE 40th Photovoltaic Specialist Conference (PVSC)","DOI":"10.1109/PVSC.2014.6925083","event-place":"Denver, CO, USA","event-title":"2014 IEEE 40th Photovoltaic Specialists Conference (PVSC)","ISBN":"978-1-4799-4398-2","page":"1001-1004","publisher":"IEEE","publisher-place":"Denver, CO, USA","source":"DOI.org (Crossref)","title":"GIS based analysis for photovoltaic deployment in the Southeast US","URL":"http://ieeexplore.ieee.org/document/6925083/","author":[{"family":"Tisza","given":"Kata"},{"family":"Brame","given":"Scott"},{"family":"Anctil","given":"Annick"}],"accessed":{"date-parts":[["2024",11,15]]},"issued":{"date-parts":[["2014",6]]}}}],"schema":"https://github.com/citation-style-language/schema/raw/master/csl-citation.json"} </w:instrText>
      </w:r>
      <w:r>
        <w:rPr>
          <w:lang w:val="fr-FR"/>
        </w:rPr>
        <w:fldChar w:fldCharType="separate"/>
      </w:r>
      <w:r w:rsidRPr="00561934">
        <w:rPr>
          <w:vertAlign w:val="superscript"/>
          <w:lang w:val="fr-FR"/>
        </w:rPr>
        <w:t>75</w:t>
      </w:r>
      <w:r>
        <w:rPr>
          <w:lang w:val="fr-FR"/>
        </w:rPr>
        <w:fldChar w:fldCharType="end"/>
      </w:r>
      <w:r w:rsidRPr="00946C89">
        <w:rPr>
          <w:lang w:val="fr-FR"/>
        </w:rPr>
        <w:t xml:space="preserve">; </w:t>
      </w:r>
      <w:proofErr w:type="spellStart"/>
      <w:r w:rsidRPr="00946C89">
        <w:rPr>
          <w:lang w:val="fr-FR"/>
        </w:rPr>
        <w:t>Ref</w:t>
      </w:r>
      <w:proofErr w:type="spellEnd"/>
      <w:r w:rsidRPr="00946C89">
        <w:rPr>
          <w:lang w:val="fr-FR"/>
        </w:rPr>
        <w:t xml:space="preserve">. 11: </w:t>
      </w:r>
      <w:proofErr w:type="spellStart"/>
      <w:r w:rsidRPr="00946C89">
        <w:rPr>
          <w:lang w:val="fr-FR"/>
        </w:rPr>
        <w:t>Stoms</w:t>
      </w:r>
      <w:proofErr w:type="spellEnd"/>
      <w:r w:rsidRPr="00946C89">
        <w:rPr>
          <w:lang w:val="fr-FR"/>
        </w:rPr>
        <w:t xml:space="preserve"> et al.</w:t>
      </w:r>
      <w:r w:rsidRPr="005404F6">
        <w:rPr>
          <w:lang w:val="fr-FR"/>
        </w:rPr>
        <w:t xml:space="preserve"> </w:t>
      </w:r>
      <w:r>
        <w:fldChar w:fldCharType="begin"/>
      </w:r>
      <w:r>
        <w:rPr>
          <w:lang w:val="fr-FR"/>
        </w:rPr>
        <w:instrText xml:space="preserve"> ADDIN ZOTERO_ITEM CSL_CITATION {"citationID":"nN5FpNys","properties":{"formattedCitation":"\\super 76\\nosupersub{}","plainCitation":"76","noteIndex":0},"citationItems":[{"id":36,"uris":["http://zotero.org/users/10922831/items/E3X7N4W6"],"itemData":{"id":36,"type":"article-journal","abstract":"After solar and other renewable energy developers select generally suitable sites for exploration, they frequently encounter conflict over biodiversity conservation values that were not factored into the initial suitability rating methods. This paper presents a spatial multicriteria analysis method for modeling risk of conflict with biological resources and applies the model in the California deserts where such conflicts are rapidly rising. The premise of the model is that the least conflict will occur on sites that are the most ecologically degraded with low conservation value and that would engender low off-site impacts when connecting to existing transmission infrastructure. Model results suggest sufficient compatible land exists in flat, non-urban areas to meet state solar energy targets of 8.7 GW of installed capacity in the California deserts for 2040. The model is a promising tool to fill the gap between site suitability analysis for renewable energy and regional biodiversity conservation planning to identify areas where rapid impact assessment and permitting will generate the least regrets.","container-title":"Renewable Energy","DOI":"10.1016/j.renene.2013.01.055","ISSN":"0960-1481","journalAbbreviation":"Renewable Energy","page":"289-298","source":"ScienceDirect","title":"Siting solar energy development to minimize biological impacts","volume":"57","author":[{"family":"Stoms","given":"David M."},{"family":"Dashiell","given":"Stephanie L."},{"family":"Davis","given":"Frank W."}],"issued":{"date-parts":[["2013",9,1]]}}}],"schema":"https://github.com/citation-style-language/schema/raw/master/csl-citation.json"} </w:instrText>
      </w:r>
      <w:r>
        <w:fldChar w:fldCharType="separate"/>
      </w:r>
      <w:r w:rsidRPr="00561934">
        <w:rPr>
          <w:vertAlign w:val="superscript"/>
          <w:lang w:val="fr-FR"/>
        </w:rPr>
        <w:t>76</w:t>
      </w:r>
      <w:r>
        <w:fldChar w:fldCharType="end"/>
      </w:r>
      <w:r w:rsidRPr="00946C89">
        <w:rPr>
          <w:lang w:val="fr-FR"/>
        </w:rPr>
        <w:t xml:space="preserve">; </w:t>
      </w:r>
      <w:proofErr w:type="spellStart"/>
      <w:r w:rsidRPr="00946C89">
        <w:rPr>
          <w:lang w:val="fr-FR"/>
        </w:rPr>
        <w:t>Ref</w:t>
      </w:r>
      <w:proofErr w:type="spellEnd"/>
      <w:r w:rsidRPr="00946C89">
        <w:rPr>
          <w:lang w:val="fr-FR"/>
        </w:rPr>
        <w:t xml:space="preserve">. 12: </w:t>
      </w:r>
      <w:proofErr w:type="spellStart"/>
      <w:r w:rsidRPr="00946C89">
        <w:rPr>
          <w:lang w:val="fr-FR"/>
        </w:rPr>
        <w:t>Hott</w:t>
      </w:r>
      <w:proofErr w:type="spellEnd"/>
      <w:r w:rsidRPr="00946C89">
        <w:rPr>
          <w:lang w:val="fr-FR"/>
        </w:rPr>
        <w:t xml:space="preserve"> et al.</w:t>
      </w:r>
      <w:r w:rsidRPr="005404F6">
        <w:rPr>
          <w:lang w:val="fr-FR"/>
        </w:rPr>
        <w:t xml:space="preserve"> </w:t>
      </w:r>
      <w:r>
        <w:fldChar w:fldCharType="begin"/>
      </w:r>
      <w:r>
        <w:rPr>
          <w:lang w:val="fr-FR"/>
        </w:rPr>
        <w:instrText xml:space="preserve"> ADDIN ZOTERO_ITEM CSL_CITATION {"citationID":"bnYfonDu","properties":{"formattedCitation":"\\super 36\\nosupersub{}","plainCitation":"36","noteIndex":0},"citationItems":[{"id":589,"uris":["http://zotero.org/users/10922831/items/IWHH9HYP"],"itemData":{"id":589,"type":"book","title":"GIS-based Spatial Analysis For Large-Scale Solar Power And Transmission Line Issues: Case Study Of Wyoming, U.S.","author":[{"family":"Hott","given":"Rebecca"},{"family":"Santini","given":"Ron"},{"family":"Brownson","given":"Jeffrey"}],"issued":{"date-parts":[["2012",5,13]]}}}],"schema":"https://github.com/citation-style-language/schema/raw/master/csl-citation.json"} </w:instrText>
      </w:r>
      <w:r>
        <w:fldChar w:fldCharType="separate"/>
      </w:r>
      <w:r w:rsidRPr="00E07AF6">
        <w:rPr>
          <w:vertAlign w:val="superscript"/>
          <w:lang w:val="fr-FR"/>
        </w:rPr>
        <w:t>36</w:t>
      </w:r>
      <w:r>
        <w:fldChar w:fldCharType="end"/>
      </w:r>
      <w:r w:rsidRPr="001455A4">
        <w:rPr>
          <w:lang w:val="fr-FR"/>
        </w:rPr>
        <w:t xml:space="preserve">; </w:t>
      </w:r>
      <w:proofErr w:type="spellStart"/>
      <w:r w:rsidRPr="001455A4">
        <w:rPr>
          <w:lang w:val="fr-FR"/>
        </w:rPr>
        <w:t>Ref</w:t>
      </w:r>
      <w:proofErr w:type="spellEnd"/>
      <w:r w:rsidRPr="001455A4">
        <w:rPr>
          <w:lang w:val="fr-FR"/>
        </w:rPr>
        <w:t xml:space="preserve"> 13: Wu et. </w:t>
      </w:r>
      <w:proofErr w:type="gramStart"/>
      <w:r w:rsidRPr="001455A4">
        <w:rPr>
          <w:lang w:val="fr-FR"/>
        </w:rPr>
        <w:t>al</w:t>
      </w:r>
      <w:proofErr w:type="gramEnd"/>
      <w:r w:rsidRPr="001455A4">
        <w:rPr>
          <w:lang w:val="fr-FR"/>
        </w:rPr>
        <w:t xml:space="preserve">. </w:t>
      </w:r>
      <w:r>
        <w:fldChar w:fldCharType="begin"/>
      </w:r>
      <w:r>
        <w:rPr>
          <w:lang w:val="fr-FR"/>
        </w:rPr>
        <w:instrText xml:space="preserve"> ADDIN ZOTERO_ITEM CSL_CITATION {"citationID":"qAJ3RMPm","properties":{"formattedCitation":"\\super 33\\nosupersub{}","plainCitation":"33","noteIndex":0},"citationItems":[{"id":1517,"uris":["http://zotero.org/users/10922831/items/3U8LJL7B"],"itemData":{"id":1517,"type":"article-journal","abstract":"The scale and pace of energy infrastructure development required to achieve net-zero greenhouse gas (GHG) emissions are unprecedented, yet our understanding of how to minimize its potential impacts on land and ocean use and natural resources is inadequate. Using high-resolution energy and land-use modeling, we developed spatially explicit scenarios for reaching an economy-wide net-zero GHG target in the western United States by 2050. We found that among net-zero policy cases that vary the rate of transportation and building electrification and use of fossil fuels, nuclear generation, and biomass, the “High Electrification” case, which utilizes electricity generation the most efficiently, had the lowest total land and ocean area requirements (84,000 to 105,000 km2 vs. 88,100 to 158,000 km2 across all other cases). Different levels of land and ocean use protections were applied to d</w:instrText>
      </w:r>
      <w:r w:rsidRPr="0033362D">
        <w:rPr>
          <w:lang w:val="fr-FR"/>
        </w:rPr>
        <w:instrText>etermine their effect on siting, environmental and social impacts, and energy costs. Meeting the net-zero target with stronger land and ocean use protections did not significantly alter the share of different energy generation technologies and only increased system costs by 3%, but decreased additiona</w:instrText>
      </w:r>
      <w:r w:rsidRPr="00A35C26">
        <w:rPr>
          <w:lang w:val="en-US"/>
        </w:rPr>
        <w:instrText xml:space="preserve">l interstate transmission capacity by 20%. Yet, failure to avoid development in areas with high conservation value is likely to result in substantial habitat loss.","container-title":"Proceedings of the National Academy of Sciences","DOI":"10.1073/pnas.2204098120","issue":"4","note":"publisher: Proceedings of the National Academy of Sciences","page":"e2204098120","source":"pnas.org (Atypon)","title":"Minimizing habitat conflicts in meeting net-zero energy targets in the western United States","volume":"120","author":[{"family":"Wu","given":"Grace C."},{"family":"Jones","given":"Ryan A."},{"family":"Leslie","given":"Emily"},{"family":"Williams","given":"James H."},{"family":"Pascale","given":"Andrew"},{"family":"Brand","given":"Erica"},{"family":"Parker","given":"Sophie S."},{"family":"Cohen","given":"Brian S."},{"family":"Fargione","given":"Joseph E."},{"family":"Souder","given":"Julia"},{"family":"Batres","given":"Maya"},{"family":"Gleason","given":"Mary G."},{"family":"Schindel","given":"Michael H."},{"family":"Stanley","given":"Charlotte K."}],"issued":{"date-parts":[["2023",1,24]]}}}],"schema":"https://github.com/citation-style-language/schema/raw/master/csl-citation.json"} </w:instrText>
      </w:r>
      <w:r>
        <w:fldChar w:fldCharType="separate"/>
      </w:r>
      <w:r w:rsidRPr="00E07AF6">
        <w:rPr>
          <w:vertAlign w:val="superscript"/>
        </w:rPr>
        <w:t>33</w:t>
      </w:r>
      <w:r>
        <w:fldChar w:fldCharType="end"/>
      </w:r>
      <w:r w:rsidRPr="00E07AF6">
        <w:rPr>
          <w:lang w:val="en-US"/>
        </w:rPr>
        <w:t>.</w:t>
      </w:r>
    </w:p>
    <w:sectPr w:rsidR="00047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F4"/>
    <w:rsid w:val="00047238"/>
    <w:rsid w:val="000644F4"/>
    <w:rsid w:val="0018003F"/>
    <w:rsid w:val="0033362D"/>
    <w:rsid w:val="00CB627D"/>
    <w:rsid w:val="00E7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398B"/>
  <w15:chartTrackingRefBased/>
  <w15:docId w15:val="{6739B769-B79D-4F25-A418-C2A2C9B7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2D"/>
    <w:pPr>
      <w:spacing w:after="0" w:line="276" w:lineRule="auto"/>
    </w:pPr>
    <w:rPr>
      <w:rFonts w:ascii="Times" w:eastAsia="Times" w:hAnsi="Times" w:cs="Times"/>
      <w:kern w:val="0"/>
      <w:lang w:val="en"/>
      <w14:ligatures w14:val="none"/>
    </w:rPr>
  </w:style>
  <w:style w:type="paragraph" w:styleId="Heading1">
    <w:name w:val="heading 1"/>
    <w:basedOn w:val="Normal"/>
    <w:next w:val="Normal"/>
    <w:link w:val="Heading1Char"/>
    <w:uiPriority w:val="9"/>
    <w:qFormat/>
    <w:rsid w:val="00064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F4"/>
    <w:rPr>
      <w:rFonts w:eastAsiaTheme="majorEastAsia" w:cstheme="majorBidi"/>
      <w:color w:val="272727" w:themeColor="text1" w:themeTint="D8"/>
    </w:rPr>
  </w:style>
  <w:style w:type="paragraph" w:styleId="Title">
    <w:name w:val="Title"/>
    <w:basedOn w:val="Normal"/>
    <w:next w:val="Normal"/>
    <w:link w:val="TitleChar"/>
    <w:uiPriority w:val="10"/>
    <w:qFormat/>
    <w:rsid w:val="00064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F4"/>
    <w:pPr>
      <w:spacing w:before="160"/>
      <w:jc w:val="center"/>
    </w:pPr>
    <w:rPr>
      <w:i/>
      <w:iCs/>
      <w:color w:val="404040" w:themeColor="text1" w:themeTint="BF"/>
    </w:rPr>
  </w:style>
  <w:style w:type="character" w:customStyle="1" w:styleId="QuoteChar">
    <w:name w:val="Quote Char"/>
    <w:basedOn w:val="DefaultParagraphFont"/>
    <w:link w:val="Quote"/>
    <w:uiPriority w:val="29"/>
    <w:rsid w:val="000644F4"/>
    <w:rPr>
      <w:i/>
      <w:iCs/>
      <w:color w:val="404040" w:themeColor="text1" w:themeTint="BF"/>
    </w:rPr>
  </w:style>
  <w:style w:type="paragraph" w:styleId="ListParagraph">
    <w:name w:val="List Paragraph"/>
    <w:basedOn w:val="Normal"/>
    <w:uiPriority w:val="34"/>
    <w:qFormat/>
    <w:rsid w:val="000644F4"/>
    <w:pPr>
      <w:ind w:left="720"/>
      <w:contextualSpacing/>
    </w:pPr>
  </w:style>
  <w:style w:type="character" w:styleId="IntenseEmphasis">
    <w:name w:val="Intense Emphasis"/>
    <w:basedOn w:val="DefaultParagraphFont"/>
    <w:uiPriority w:val="21"/>
    <w:qFormat/>
    <w:rsid w:val="000644F4"/>
    <w:rPr>
      <w:i/>
      <w:iCs/>
      <w:color w:val="0F4761" w:themeColor="accent1" w:themeShade="BF"/>
    </w:rPr>
  </w:style>
  <w:style w:type="paragraph" w:styleId="IntenseQuote">
    <w:name w:val="Intense Quote"/>
    <w:basedOn w:val="Normal"/>
    <w:next w:val="Normal"/>
    <w:link w:val="IntenseQuoteChar"/>
    <w:uiPriority w:val="30"/>
    <w:qFormat/>
    <w:rsid w:val="00064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F4"/>
    <w:rPr>
      <w:i/>
      <w:iCs/>
      <w:color w:val="0F4761" w:themeColor="accent1" w:themeShade="BF"/>
    </w:rPr>
  </w:style>
  <w:style w:type="character" w:styleId="IntenseReference">
    <w:name w:val="Intense Reference"/>
    <w:basedOn w:val="DefaultParagraphFont"/>
    <w:uiPriority w:val="32"/>
    <w:qFormat/>
    <w:rsid w:val="000644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4122</Words>
  <Characters>23497</Characters>
  <Application>Microsoft Office Word</Application>
  <DocSecurity>0</DocSecurity>
  <Lines>195</Lines>
  <Paragraphs>55</Paragraphs>
  <ScaleCrop>false</ScaleCrop>
  <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Condon</dc:creator>
  <cp:keywords/>
  <dc:description/>
  <cp:lastModifiedBy>Daphne Condon</cp:lastModifiedBy>
  <cp:revision>2</cp:revision>
  <dcterms:created xsi:type="dcterms:W3CDTF">2025-08-21T20:48:00Z</dcterms:created>
  <dcterms:modified xsi:type="dcterms:W3CDTF">2025-08-21T20:48:00Z</dcterms:modified>
</cp:coreProperties>
</file>