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ACF1F" w14:textId="77777777" w:rsidR="00D02739" w:rsidRPr="008F7C63" w:rsidRDefault="00D02739" w:rsidP="00D02739">
      <w:pPr>
        <w:rPr>
          <w:rFonts w:ascii="Arial" w:hAnsi="Arial" w:cs="Arial"/>
          <w:b/>
          <w:bCs/>
          <w:sz w:val="24"/>
          <w:szCs w:val="24"/>
        </w:rPr>
      </w:pPr>
      <w:r w:rsidRPr="008F7C63">
        <w:rPr>
          <w:rFonts w:ascii="Arial" w:hAnsi="Arial" w:cs="Arial"/>
          <w:b/>
          <w:bCs/>
          <w:sz w:val="24"/>
          <w:szCs w:val="24"/>
        </w:rPr>
        <w:t xml:space="preserve">Supplemental Figure legend </w:t>
      </w:r>
    </w:p>
    <w:p w14:paraId="4BE8C9C7" w14:textId="77777777" w:rsidR="00D02739" w:rsidRPr="008F7C63" w:rsidRDefault="00D02739" w:rsidP="00D0273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7C63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upplementary figure </w:t>
      </w:r>
      <w:r w:rsidRPr="008F7C63"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8F7C6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 xml:space="preserve">Representative GIMM recordings from vehicle and irinotecan treatment.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Red arrows indicate contractions under Kreb’s perfusion (left) and blue arrows represent contractions during 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 xml:space="preserve">Acetylcholine perfusion </w:t>
      </w:r>
      <w:r>
        <w:rPr>
          <w:rFonts w:ascii="Arial" w:eastAsia="Times New Roman" w:hAnsi="Arial" w:cs="Arial"/>
          <w:color w:val="000000"/>
          <w:sz w:val="24"/>
          <w:szCs w:val="24"/>
        </w:rPr>
        <w:t>(right).</w:t>
      </w:r>
    </w:p>
    <w:p w14:paraId="3C91B840" w14:textId="77777777" w:rsidR="00D02739" w:rsidRPr="008F7C63" w:rsidRDefault="00D02739" w:rsidP="00D0273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3D564ABD" w14:textId="77777777" w:rsidR="00D02739" w:rsidRDefault="00D02739" w:rsidP="00D0273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7C63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upplementary figure 2.</w:t>
      </w:r>
      <w:r w:rsidRPr="008F7C6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>Repeated administration of 15 mg/kg loperamide</w:t>
      </w:r>
      <w:r>
        <w:rPr>
          <w:rFonts w:ascii="Arial" w:eastAsia="Times New Roman" w:hAnsi="Arial" w:cs="Arial"/>
          <w:color w:val="000000"/>
          <w:sz w:val="24"/>
          <w:szCs w:val="24"/>
        </w:rPr>
        <w:t>(n=10), Atropine 5mg/kg (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>n=5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), or 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 xml:space="preserve">Mecamylamine </w:t>
      </w:r>
      <w:r>
        <w:rPr>
          <w:rFonts w:ascii="Arial" w:eastAsia="Times New Roman" w:hAnsi="Arial" w:cs="Arial"/>
          <w:color w:val="000000"/>
          <w:sz w:val="24"/>
          <w:szCs w:val="24"/>
        </w:rPr>
        <w:t>3mg/kg (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>n=5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) </w:t>
      </w:r>
      <w:r w:rsidRPr="008F7C63">
        <w:rPr>
          <w:rFonts w:ascii="Arial" w:eastAsia="Times New Roman" w:hAnsi="Arial" w:cs="Arial"/>
          <w:color w:val="000000"/>
          <w:sz w:val="24"/>
          <w:szCs w:val="24"/>
        </w:rPr>
        <w:t>improves irinotecan induced reductions in body weight increases time to maximal reduction in body weight.</w:t>
      </w:r>
    </w:p>
    <w:p w14:paraId="327E062F" w14:textId="77777777" w:rsidR="00D02739" w:rsidRPr="00D6776A" w:rsidRDefault="00D02739" w:rsidP="00D02739">
      <w:pPr>
        <w:pStyle w:val="NormalWeb"/>
        <w:tabs>
          <w:tab w:val="left" w:pos="2252"/>
        </w:tabs>
        <w:spacing w:before="240" w:beforeAutospacing="0" w:after="240" w:afterAutospacing="0"/>
        <w:rPr>
          <w:rFonts w:ascii="Arial" w:hAnsi="Arial" w:cs="Arial"/>
        </w:rPr>
      </w:pPr>
      <w:r w:rsidRPr="008F7C63">
        <w:rPr>
          <w:rFonts w:ascii="Arial" w:hAnsi="Arial" w:cs="Arial"/>
          <w:b/>
          <w:bCs/>
          <w:color w:val="000000"/>
        </w:rPr>
        <w:t>S</w:t>
      </w:r>
      <w:r>
        <w:rPr>
          <w:rFonts w:ascii="Arial" w:hAnsi="Arial" w:cs="Arial"/>
          <w:b/>
          <w:bCs/>
          <w:color w:val="000000"/>
        </w:rPr>
        <w:t xml:space="preserve">upplementary figure 3. </w:t>
      </w:r>
      <w:r>
        <w:rPr>
          <w:rFonts w:ascii="Arial" w:hAnsi="Arial" w:cs="Arial"/>
          <w:color w:val="000000"/>
        </w:rPr>
        <w:t xml:space="preserve">Relative abundance of </w:t>
      </w:r>
      <w:r w:rsidRPr="00D6776A">
        <w:rPr>
          <w:rFonts w:ascii="Arial" w:hAnsi="Arial" w:cs="Arial"/>
          <w:color w:val="000000"/>
        </w:rPr>
        <w:t>Desulfovibrio sp910575755</w:t>
      </w:r>
      <w:r>
        <w:rPr>
          <w:rFonts w:ascii="Arial" w:hAnsi="Arial" w:cs="Arial"/>
          <w:color w:val="000000"/>
        </w:rPr>
        <w:t xml:space="preserve"> in treatment groups reveals significant increase in abundance in irinotecan treatment groups relative to vehicle control (Wilcoxon rank sum test, z=-2.19, * p&lt;0.05)</w:t>
      </w:r>
    </w:p>
    <w:p w14:paraId="63B9A883" w14:textId="49070BFA" w:rsidR="00D02739" w:rsidRDefault="00D02739">
      <w:pPr>
        <w:spacing w:line="278" w:lineRule="auto"/>
      </w:pPr>
      <w:r>
        <w:br w:type="page"/>
      </w:r>
    </w:p>
    <w:p w14:paraId="314D4B14" w14:textId="77777777" w:rsidR="00D02739" w:rsidRDefault="00D02739" w:rsidP="00D02739">
      <w:r>
        <w:rPr>
          <w:noProof/>
        </w:rPr>
        <w:lastRenderedPageBreak/>
        <w:drawing>
          <wp:inline distT="0" distB="0" distL="0" distR="0" wp14:anchorId="491B6B37" wp14:editId="6C47BAA3">
            <wp:extent cx="5934075" cy="3343275"/>
            <wp:effectExtent l="0" t="0" r="9525" b="9525"/>
            <wp:docPr id="15" name="Picture 15" descr="Several different types of buildin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Several different types of buildin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60FA2" w14:textId="77777777" w:rsidR="00D02739" w:rsidRDefault="00D02739" w:rsidP="00D02739">
      <w:r>
        <w:rPr>
          <w:noProof/>
        </w:rPr>
        <w:drawing>
          <wp:inline distT="0" distB="0" distL="0" distR="0" wp14:anchorId="0F1B8D10" wp14:editId="16CFE472">
            <wp:extent cx="5934075" cy="3343275"/>
            <wp:effectExtent l="0" t="0" r="9525" b="9525"/>
            <wp:docPr id="16" name="Picture 16" descr="A graph showing the results of a change in bodyweigh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showing the results of a change in bodyweigh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2C419" w14:textId="77777777" w:rsidR="00D02739" w:rsidRDefault="00D02739" w:rsidP="00D02739"/>
    <w:p w14:paraId="47B9AB81" w14:textId="77777777" w:rsidR="00D02739" w:rsidRDefault="00D02739" w:rsidP="00D02739"/>
    <w:p w14:paraId="38F54516" w14:textId="77777777" w:rsidR="00D02739" w:rsidRDefault="00D02739" w:rsidP="00D02739"/>
    <w:p w14:paraId="346832F0" w14:textId="77777777" w:rsidR="00D02739" w:rsidRDefault="00D02739" w:rsidP="00D02739"/>
    <w:p w14:paraId="1C76E1C7" w14:textId="77777777" w:rsidR="00D02739" w:rsidRDefault="00D02739" w:rsidP="00D02739"/>
    <w:p w14:paraId="17C058CD" w14:textId="77777777" w:rsidR="00D02739" w:rsidRDefault="00D02739" w:rsidP="00D02739">
      <w:r>
        <w:rPr>
          <w:noProof/>
        </w:rPr>
        <w:drawing>
          <wp:inline distT="0" distB="0" distL="0" distR="0" wp14:anchorId="17B947E1" wp14:editId="407BAC2D">
            <wp:extent cx="5934075" cy="3343275"/>
            <wp:effectExtent l="0" t="0" r="9525" b="9525"/>
            <wp:docPr id="17" name="Picture 17" descr="A graph showing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showing different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344A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739"/>
    <w:rsid w:val="003C2EF4"/>
    <w:rsid w:val="00446799"/>
    <w:rsid w:val="006A7E07"/>
    <w:rsid w:val="00701021"/>
    <w:rsid w:val="00B74216"/>
    <w:rsid w:val="00CF095D"/>
    <w:rsid w:val="00D02739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E1798"/>
  <w15:chartTrackingRefBased/>
  <w15:docId w15:val="{9F8F5805-7D8C-4EAA-8C0B-2B887B880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73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7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7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7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7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7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7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7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7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7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7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7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7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7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7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7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7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7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7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7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27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7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27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73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27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73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27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7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7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73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02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</Words>
  <Characters>640</Characters>
  <Application>Microsoft Office Word</Application>
  <DocSecurity>0</DocSecurity>
  <Lines>5</Lines>
  <Paragraphs>1</Paragraphs>
  <ScaleCrop>false</ScaleCrop>
  <Company>Springer Nature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2025-08-26T08:04:00Z</dcterms:created>
  <dcterms:modified xsi:type="dcterms:W3CDTF">2025-08-26T08:04:00Z</dcterms:modified>
</cp:coreProperties>
</file>