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B0629" w14:textId="77777777" w:rsidR="004146C6" w:rsidRDefault="004146C6" w:rsidP="004146C6">
      <w:pPr>
        <w:widowControl/>
        <w:spacing w:line="360" w:lineRule="auto"/>
        <w:ind w:firstLineChars="0" w:firstLine="480"/>
        <w:rPr>
          <w:rFonts w:ascii="Times New Roman" w:eastAsia="SimSun" w:hAnsi="Times New Roman" w:cs="Times New Roman"/>
          <w:sz w:val="32"/>
          <w:szCs w:val="32"/>
          <w14:ligatures w14:val="none"/>
        </w:rPr>
      </w:pPr>
      <w:r>
        <w:rPr>
          <w:rFonts w:ascii="Times New Roman" w:eastAsia="SimSun" w:hAnsi="Times New Roman" w:cs="Times New Roman" w:hint="eastAsia"/>
          <w:sz w:val="32"/>
          <w:szCs w:val="32"/>
          <w14:ligatures w14:val="none"/>
        </w:rPr>
        <w:t>Appendix</w:t>
      </w:r>
    </w:p>
    <w:tbl>
      <w:tblPr>
        <w:tblStyle w:val="TableGrid"/>
        <w:tblW w:w="5000" w:type="pct"/>
        <w:jc w:val="center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08"/>
        <w:gridCol w:w="1464"/>
        <w:gridCol w:w="2926"/>
        <w:gridCol w:w="3362"/>
      </w:tblGrid>
      <w:tr w:rsidR="004146C6" w14:paraId="3A5847BA" w14:textId="77777777" w:rsidTr="00DB4BC8">
        <w:trPr>
          <w:trHeight w:val="170"/>
          <w:jc w:val="center"/>
        </w:trPr>
        <w:tc>
          <w:tcPr>
            <w:tcW w:w="859" w:type="pct"/>
            <w:shd w:val="clear" w:color="auto" w:fill="FFFFFF"/>
            <w:vAlign w:val="center"/>
          </w:tcPr>
          <w:p w14:paraId="77F8296F" w14:textId="77777777" w:rsidR="004146C6" w:rsidRDefault="004146C6" w:rsidP="00DB4BC8">
            <w:pPr>
              <w:ind w:firstLineChars="0" w:firstLine="0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Variable type</w:t>
            </w:r>
          </w:p>
        </w:tc>
        <w:tc>
          <w:tcPr>
            <w:tcW w:w="782" w:type="pct"/>
            <w:shd w:val="clear" w:color="auto" w:fill="FFFFFF"/>
            <w:vAlign w:val="center"/>
          </w:tcPr>
          <w:p w14:paraId="065A7FAA" w14:textId="77777777" w:rsidR="004146C6" w:rsidRDefault="004146C6" w:rsidP="00DB4BC8">
            <w:pPr>
              <w:ind w:firstLine="400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Variable</w:t>
            </w:r>
          </w:p>
        </w:tc>
        <w:tc>
          <w:tcPr>
            <w:tcW w:w="1563" w:type="pct"/>
            <w:shd w:val="clear" w:color="auto" w:fill="FFFFFF"/>
            <w:vAlign w:val="center"/>
          </w:tcPr>
          <w:p w14:paraId="58E04571" w14:textId="77777777" w:rsidR="004146C6" w:rsidRDefault="004146C6" w:rsidP="00DB4BC8">
            <w:pPr>
              <w:ind w:firstLine="40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  <w:lang w:eastAsia="zh-Hans"/>
              </w:rPr>
              <w:t>Variable explanation</w:t>
            </w:r>
          </w:p>
        </w:tc>
        <w:tc>
          <w:tcPr>
            <w:tcW w:w="1796" w:type="pct"/>
            <w:shd w:val="clear" w:color="auto" w:fill="FFFFFF"/>
            <w:vAlign w:val="center"/>
          </w:tcPr>
          <w:p w14:paraId="2ED4F218" w14:textId="77777777" w:rsidR="004146C6" w:rsidRDefault="004146C6" w:rsidP="00DB4BC8">
            <w:pPr>
              <w:ind w:firstLine="40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Variable description</w:t>
            </w:r>
          </w:p>
        </w:tc>
      </w:tr>
      <w:tr w:rsidR="004146C6" w14:paraId="5E4DC137" w14:textId="77777777" w:rsidTr="00DB4BC8">
        <w:trPr>
          <w:trHeight w:val="170"/>
          <w:jc w:val="center"/>
        </w:trPr>
        <w:tc>
          <w:tcPr>
            <w:tcW w:w="859" w:type="pct"/>
            <w:vMerge w:val="restart"/>
            <w:shd w:val="clear" w:color="auto" w:fill="FFFFFF"/>
            <w:vAlign w:val="center"/>
          </w:tcPr>
          <w:p w14:paraId="67C48F92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The explained variables</w:t>
            </w:r>
          </w:p>
        </w:tc>
        <w:tc>
          <w:tcPr>
            <w:tcW w:w="782" w:type="pct"/>
            <w:shd w:val="clear" w:color="auto" w:fill="FFFFFF"/>
            <w:vAlign w:val="center"/>
          </w:tcPr>
          <w:p w14:paraId="7AC4CE8B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bookmarkStart w:id="0" w:name="OLE_LINK12"/>
            <w:r>
              <w:rPr>
                <w:rFonts w:eastAsia="SimSun" w:hint="eastAsia"/>
                <w:sz w:val="20"/>
                <w:szCs w:val="21"/>
              </w:rPr>
              <w:t>GTE</w:t>
            </w:r>
            <w:bookmarkEnd w:id="0"/>
          </w:p>
        </w:tc>
        <w:tc>
          <w:tcPr>
            <w:tcW w:w="1563" w:type="pct"/>
            <w:shd w:val="clear" w:color="auto" w:fill="FFFFFF"/>
            <w:vAlign w:val="center"/>
          </w:tcPr>
          <w:p w14:paraId="6B34AA06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Green R&amp;D efficiency</w:t>
            </w:r>
          </w:p>
        </w:tc>
        <w:tc>
          <w:tcPr>
            <w:tcW w:w="1796" w:type="pct"/>
            <w:vMerge w:val="restart"/>
            <w:shd w:val="clear" w:color="auto" w:fill="FFFFFF"/>
            <w:vAlign w:val="center"/>
          </w:tcPr>
          <w:p w14:paraId="5E6B8803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DEA-SBM model calculation</w:t>
            </w:r>
          </w:p>
        </w:tc>
      </w:tr>
      <w:tr w:rsidR="004146C6" w14:paraId="05721A00" w14:textId="77777777" w:rsidTr="00DB4BC8">
        <w:trPr>
          <w:trHeight w:val="170"/>
          <w:jc w:val="center"/>
        </w:trPr>
        <w:tc>
          <w:tcPr>
            <w:tcW w:w="859" w:type="pct"/>
            <w:vMerge/>
            <w:shd w:val="clear" w:color="auto" w:fill="FFFFFF"/>
            <w:vAlign w:val="center"/>
          </w:tcPr>
          <w:p w14:paraId="67FA4AEC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</w:p>
        </w:tc>
        <w:tc>
          <w:tcPr>
            <w:tcW w:w="782" w:type="pct"/>
            <w:shd w:val="clear" w:color="auto" w:fill="FFFFFF"/>
            <w:vAlign w:val="center"/>
          </w:tcPr>
          <w:p w14:paraId="081927D0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GAE</w:t>
            </w:r>
          </w:p>
        </w:tc>
        <w:tc>
          <w:tcPr>
            <w:tcW w:w="1563" w:type="pct"/>
            <w:shd w:val="clear" w:color="auto" w:fill="FFFFFF"/>
            <w:vAlign w:val="center"/>
          </w:tcPr>
          <w:p w14:paraId="48191581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The efficiency of green technology transfer</w:t>
            </w:r>
          </w:p>
        </w:tc>
        <w:tc>
          <w:tcPr>
            <w:tcW w:w="1796" w:type="pct"/>
            <w:vMerge/>
            <w:shd w:val="clear" w:color="auto" w:fill="FFFFFF"/>
            <w:vAlign w:val="center"/>
          </w:tcPr>
          <w:p w14:paraId="055ABF86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</w:p>
        </w:tc>
      </w:tr>
      <w:tr w:rsidR="004146C6" w14:paraId="79756F75" w14:textId="77777777" w:rsidTr="00DB4BC8">
        <w:trPr>
          <w:trHeight w:val="170"/>
          <w:jc w:val="center"/>
        </w:trPr>
        <w:tc>
          <w:tcPr>
            <w:tcW w:w="859" w:type="pct"/>
            <w:shd w:val="clear" w:color="auto" w:fill="FFFFFF"/>
            <w:vAlign w:val="center"/>
          </w:tcPr>
          <w:p w14:paraId="055C2CD3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Core explanatory variable</w:t>
            </w:r>
          </w:p>
        </w:tc>
        <w:tc>
          <w:tcPr>
            <w:tcW w:w="782" w:type="pct"/>
            <w:shd w:val="clear" w:color="auto" w:fill="FFFFFF"/>
            <w:vAlign w:val="center"/>
          </w:tcPr>
          <w:p w14:paraId="3C303E52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inter</w:t>
            </w:r>
          </w:p>
        </w:tc>
        <w:tc>
          <w:tcPr>
            <w:tcW w:w="1563" w:type="pct"/>
            <w:shd w:val="clear" w:color="auto" w:fill="FFFFFF"/>
            <w:vAlign w:val="center"/>
          </w:tcPr>
          <w:p w14:paraId="21D394F3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Policies for the new generation of artificial intelligence pilot zones</w:t>
            </w:r>
          </w:p>
        </w:tc>
        <w:tc>
          <w:tcPr>
            <w:tcW w:w="1796" w:type="pct"/>
            <w:shd w:val="clear" w:color="auto" w:fill="FFFFFF"/>
            <w:vAlign w:val="center"/>
          </w:tcPr>
          <w:p w14:paraId="4D05FADB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The year when a region implements the pilot policy for the new generation of artificial intelligence experimental zones and subsequent years is counted as 1; otherwise, it is counted as 0</w:t>
            </w:r>
          </w:p>
        </w:tc>
      </w:tr>
      <w:tr w:rsidR="004146C6" w14:paraId="1E3F57D7" w14:textId="77777777" w:rsidTr="00DB4BC8">
        <w:trPr>
          <w:trHeight w:val="170"/>
          <w:jc w:val="center"/>
        </w:trPr>
        <w:tc>
          <w:tcPr>
            <w:tcW w:w="859" w:type="pct"/>
            <w:vMerge w:val="restart"/>
            <w:shd w:val="clear" w:color="auto" w:fill="FFFFFF"/>
            <w:vAlign w:val="center"/>
          </w:tcPr>
          <w:p w14:paraId="2941DBC8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Mediating variables</w:t>
            </w:r>
          </w:p>
        </w:tc>
        <w:tc>
          <w:tcPr>
            <w:tcW w:w="782" w:type="pct"/>
            <w:shd w:val="clear" w:color="auto" w:fill="FFFFFF"/>
            <w:vAlign w:val="center"/>
          </w:tcPr>
          <w:p w14:paraId="5E99604B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WW</w:t>
            </w:r>
          </w:p>
        </w:tc>
        <w:tc>
          <w:tcPr>
            <w:tcW w:w="1563" w:type="pct"/>
            <w:shd w:val="clear" w:color="auto" w:fill="FFFFFF"/>
            <w:vAlign w:val="center"/>
          </w:tcPr>
          <w:p w14:paraId="3D1018E1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Financing constraints</w:t>
            </w:r>
          </w:p>
        </w:tc>
        <w:tc>
          <w:tcPr>
            <w:tcW w:w="1796" w:type="pct"/>
            <w:shd w:val="clear" w:color="auto" w:fill="FFFFFF"/>
            <w:vAlign w:val="center"/>
          </w:tcPr>
          <w:p w14:paraId="2D973E57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WW index</w:t>
            </w:r>
          </w:p>
        </w:tc>
      </w:tr>
      <w:tr w:rsidR="004146C6" w14:paraId="73A9B44F" w14:textId="77777777" w:rsidTr="00DB4BC8">
        <w:trPr>
          <w:trHeight w:val="170"/>
          <w:jc w:val="center"/>
        </w:trPr>
        <w:tc>
          <w:tcPr>
            <w:tcW w:w="859" w:type="pct"/>
            <w:vMerge/>
            <w:shd w:val="clear" w:color="auto" w:fill="FFFFFF"/>
            <w:vAlign w:val="center"/>
          </w:tcPr>
          <w:p w14:paraId="7F198A79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</w:p>
        </w:tc>
        <w:tc>
          <w:tcPr>
            <w:tcW w:w="782" w:type="pct"/>
            <w:shd w:val="clear" w:color="auto" w:fill="FFFFFF"/>
            <w:vAlign w:val="center"/>
          </w:tcPr>
          <w:p w14:paraId="11E24D14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Analyst</w:t>
            </w:r>
          </w:p>
        </w:tc>
        <w:tc>
          <w:tcPr>
            <w:tcW w:w="1563" w:type="pct"/>
            <w:shd w:val="clear" w:color="auto" w:fill="FFFFFF"/>
            <w:vAlign w:val="center"/>
          </w:tcPr>
          <w:p w14:paraId="31B3BB54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Analyst attention</w:t>
            </w:r>
          </w:p>
        </w:tc>
        <w:tc>
          <w:tcPr>
            <w:tcW w:w="1796" w:type="pct"/>
            <w:shd w:val="clear" w:color="auto" w:fill="FFFFFF"/>
            <w:vAlign w:val="center"/>
          </w:tcPr>
          <w:p w14:paraId="57264ECB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ln (1+ number of analysts)</w:t>
            </w:r>
          </w:p>
        </w:tc>
      </w:tr>
      <w:tr w:rsidR="004146C6" w14:paraId="29696600" w14:textId="77777777" w:rsidTr="00DB4BC8">
        <w:trPr>
          <w:trHeight w:val="170"/>
          <w:jc w:val="center"/>
        </w:trPr>
        <w:tc>
          <w:tcPr>
            <w:tcW w:w="859" w:type="pct"/>
            <w:vMerge/>
            <w:shd w:val="clear" w:color="auto" w:fill="FFFFFF"/>
            <w:vAlign w:val="center"/>
          </w:tcPr>
          <w:p w14:paraId="5077307C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</w:p>
        </w:tc>
        <w:tc>
          <w:tcPr>
            <w:tcW w:w="782" w:type="pct"/>
            <w:shd w:val="clear" w:color="auto" w:fill="FFFFFF"/>
            <w:vAlign w:val="center"/>
          </w:tcPr>
          <w:p w14:paraId="078BF392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Media</w:t>
            </w:r>
          </w:p>
        </w:tc>
        <w:tc>
          <w:tcPr>
            <w:tcW w:w="1563" w:type="pct"/>
            <w:shd w:val="clear" w:color="auto" w:fill="FFFFFF"/>
            <w:vAlign w:val="center"/>
          </w:tcPr>
          <w:p w14:paraId="1F0BD872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Media attention</w:t>
            </w:r>
          </w:p>
        </w:tc>
        <w:tc>
          <w:tcPr>
            <w:tcW w:w="1796" w:type="pct"/>
            <w:shd w:val="clear" w:color="auto" w:fill="FFFFFF"/>
            <w:vAlign w:val="center"/>
          </w:tcPr>
          <w:p w14:paraId="247B4DEE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Ln (Number of media reports +1</w:t>
            </w:r>
          </w:p>
        </w:tc>
      </w:tr>
      <w:tr w:rsidR="004146C6" w14:paraId="6F243962" w14:textId="77777777" w:rsidTr="00DB4BC8">
        <w:trPr>
          <w:trHeight w:val="170"/>
          <w:jc w:val="center"/>
        </w:trPr>
        <w:tc>
          <w:tcPr>
            <w:tcW w:w="859" w:type="pct"/>
            <w:vMerge w:val="restart"/>
            <w:shd w:val="clear" w:color="auto" w:fill="FFFFFF"/>
            <w:vAlign w:val="center"/>
          </w:tcPr>
          <w:p w14:paraId="4B7ACCDD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Moderating variables</w:t>
            </w:r>
          </w:p>
        </w:tc>
        <w:tc>
          <w:tcPr>
            <w:tcW w:w="782" w:type="pct"/>
            <w:shd w:val="clear" w:color="auto" w:fill="FFFFFF"/>
          </w:tcPr>
          <w:p w14:paraId="41122356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PEC</w:t>
            </w:r>
          </w:p>
        </w:tc>
        <w:tc>
          <w:tcPr>
            <w:tcW w:w="1563" w:type="pct"/>
            <w:shd w:val="clear" w:color="auto" w:fill="FFFFFF"/>
          </w:tcPr>
          <w:p w14:paraId="6FE2670B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Public concern about the environment</w:t>
            </w:r>
          </w:p>
        </w:tc>
        <w:tc>
          <w:tcPr>
            <w:tcW w:w="1796" w:type="pct"/>
            <w:shd w:val="clear" w:color="auto" w:fill="FFFFFF"/>
          </w:tcPr>
          <w:p w14:paraId="5B97F1CD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Baidu's search index for smog</w:t>
            </w:r>
          </w:p>
        </w:tc>
      </w:tr>
      <w:tr w:rsidR="004146C6" w14:paraId="52C745EA" w14:textId="77777777" w:rsidTr="00DB4BC8">
        <w:trPr>
          <w:trHeight w:val="170"/>
          <w:jc w:val="center"/>
        </w:trPr>
        <w:tc>
          <w:tcPr>
            <w:tcW w:w="859" w:type="pct"/>
            <w:vMerge/>
            <w:shd w:val="clear" w:color="auto" w:fill="FFFFFF"/>
            <w:vAlign w:val="center"/>
          </w:tcPr>
          <w:p w14:paraId="5BBA64BA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</w:p>
        </w:tc>
        <w:tc>
          <w:tcPr>
            <w:tcW w:w="782" w:type="pct"/>
            <w:shd w:val="clear" w:color="auto" w:fill="FFFFFF"/>
          </w:tcPr>
          <w:p w14:paraId="18B724CA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TRANS</w:t>
            </w:r>
          </w:p>
        </w:tc>
        <w:tc>
          <w:tcPr>
            <w:tcW w:w="1563" w:type="pct"/>
            <w:shd w:val="clear" w:color="auto" w:fill="FFFFFF"/>
          </w:tcPr>
          <w:p w14:paraId="450B1E77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Enterprise information transparency</w:t>
            </w:r>
          </w:p>
        </w:tc>
        <w:tc>
          <w:tcPr>
            <w:tcW w:w="1796" w:type="pct"/>
            <w:shd w:val="clear" w:color="auto" w:fill="FFFFFF"/>
          </w:tcPr>
          <w:p w14:paraId="569CA733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The earnings aggressiveness and earnings smoothness are adopted as the measurement indicators of information transparency</w:t>
            </w:r>
          </w:p>
        </w:tc>
      </w:tr>
      <w:tr w:rsidR="004146C6" w14:paraId="7E33DC61" w14:textId="77777777" w:rsidTr="00DB4BC8">
        <w:trPr>
          <w:trHeight w:val="170"/>
          <w:jc w:val="center"/>
        </w:trPr>
        <w:tc>
          <w:tcPr>
            <w:tcW w:w="859" w:type="pct"/>
            <w:vMerge/>
            <w:shd w:val="clear" w:color="auto" w:fill="FFFFFF"/>
            <w:vAlign w:val="center"/>
          </w:tcPr>
          <w:p w14:paraId="41D1FB8C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</w:p>
        </w:tc>
        <w:tc>
          <w:tcPr>
            <w:tcW w:w="782" w:type="pct"/>
            <w:shd w:val="clear" w:color="auto" w:fill="FFFFFF"/>
          </w:tcPr>
          <w:p w14:paraId="2FAC0606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HC</w:t>
            </w:r>
          </w:p>
        </w:tc>
        <w:tc>
          <w:tcPr>
            <w:tcW w:w="1563" w:type="pct"/>
            <w:shd w:val="clear" w:color="auto" w:fill="FFFFFF"/>
          </w:tcPr>
          <w:p w14:paraId="756FD7B0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Human capital level</w:t>
            </w:r>
          </w:p>
        </w:tc>
        <w:tc>
          <w:tcPr>
            <w:tcW w:w="1796" w:type="pct"/>
            <w:shd w:val="clear" w:color="auto" w:fill="FFFFFF"/>
          </w:tcPr>
          <w:p w14:paraId="5EB26E07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The number of personnel/employees with a university degree or above</w:t>
            </w:r>
          </w:p>
        </w:tc>
      </w:tr>
      <w:tr w:rsidR="004146C6" w14:paraId="7C6B9422" w14:textId="77777777" w:rsidTr="00DB4BC8">
        <w:trPr>
          <w:trHeight w:val="170"/>
          <w:jc w:val="center"/>
        </w:trPr>
        <w:tc>
          <w:tcPr>
            <w:tcW w:w="859" w:type="pct"/>
            <w:vMerge w:val="restart"/>
            <w:shd w:val="clear" w:color="auto" w:fill="FFFFFF"/>
            <w:vAlign w:val="center"/>
          </w:tcPr>
          <w:p w14:paraId="269A6D46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Control variables</w:t>
            </w:r>
          </w:p>
        </w:tc>
        <w:tc>
          <w:tcPr>
            <w:tcW w:w="782" w:type="pct"/>
            <w:shd w:val="clear" w:color="auto" w:fill="FFFFFF"/>
          </w:tcPr>
          <w:p w14:paraId="0D5EEFF9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SIZE</w:t>
            </w:r>
          </w:p>
        </w:tc>
        <w:tc>
          <w:tcPr>
            <w:tcW w:w="1563" w:type="pct"/>
            <w:shd w:val="clear" w:color="auto" w:fill="FFFFFF"/>
          </w:tcPr>
          <w:p w14:paraId="0E28D942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Company scale</w:t>
            </w:r>
          </w:p>
        </w:tc>
        <w:tc>
          <w:tcPr>
            <w:tcW w:w="1796" w:type="pct"/>
            <w:shd w:val="clear" w:color="auto" w:fill="FFFFFF"/>
          </w:tcPr>
          <w:p w14:paraId="50237C7C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Ln(Total Assets of the Enterprise at the end of the Year)</w:t>
            </w:r>
          </w:p>
        </w:tc>
      </w:tr>
      <w:tr w:rsidR="004146C6" w14:paraId="764FD0D4" w14:textId="77777777" w:rsidTr="00DB4BC8">
        <w:trPr>
          <w:trHeight w:val="170"/>
          <w:jc w:val="center"/>
        </w:trPr>
        <w:tc>
          <w:tcPr>
            <w:tcW w:w="859" w:type="pct"/>
            <w:vMerge/>
            <w:shd w:val="clear" w:color="auto" w:fill="FFFFFF"/>
            <w:vAlign w:val="center"/>
          </w:tcPr>
          <w:p w14:paraId="461EDC8E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bookmarkStart w:id="1" w:name="_Hlk193316884"/>
          </w:p>
        </w:tc>
        <w:tc>
          <w:tcPr>
            <w:tcW w:w="782" w:type="pct"/>
            <w:shd w:val="clear" w:color="auto" w:fill="FFFFFF"/>
          </w:tcPr>
          <w:p w14:paraId="29000556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TOP</w:t>
            </w:r>
          </w:p>
        </w:tc>
        <w:tc>
          <w:tcPr>
            <w:tcW w:w="1563" w:type="pct"/>
            <w:shd w:val="clear" w:color="auto" w:fill="FFFFFF"/>
          </w:tcPr>
          <w:p w14:paraId="00D96E3E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The shareholding ratio of the largest shareholder</w:t>
            </w:r>
          </w:p>
        </w:tc>
        <w:tc>
          <w:tcPr>
            <w:tcW w:w="1796" w:type="pct"/>
            <w:shd w:val="clear" w:color="auto" w:fill="FFFFFF"/>
          </w:tcPr>
          <w:p w14:paraId="3066E444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The shareholding ratio of the largest shareholder/the total share capital of the company</w:t>
            </w:r>
          </w:p>
        </w:tc>
      </w:tr>
      <w:bookmarkEnd w:id="1"/>
      <w:tr w:rsidR="004146C6" w14:paraId="05C54126" w14:textId="77777777" w:rsidTr="00DB4BC8">
        <w:trPr>
          <w:trHeight w:val="170"/>
          <w:jc w:val="center"/>
        </w:trPr>
        <w:tc>
          <w:tcPr>
            <w:tcW w:w="859" w:type="pct"/>
            <w:vMerge/>
            <w:shd w:val="clear" w:color="auto" w:fill="FFFFFF"/>
            <w:vAlign w:val="center"/>
          </w:tcPr>
          <w:p w14:paraId="6F0B4F55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</w:p>
        </w:tc>
        <w:tc>
          <w:tcPr>
            <w:tcW w:w="782" w:type="pct"/>
            <w:shd w:val="clear" w:color="auto" w:fill="FFFFFF"/>
          </w:tcPr>
          <w:p w14:paraId="1FEF7148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LEV</w:t>
            </w:r>
          </w:p>
        </w:tc>
        <w:tc>
          <w:tcPr>
            <w:tcW w:w="1563" w:type="pct"/>
            <w:shd w:val="clear" w:color="auto" w:fill="FFFFFF"/>
          </w:tcPr>
          <w:p w14:paraId="3FD9A54F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Asset-liability ratio</w:t>
            </w:r>
          </w:p>
        </w:tc>
        <w:tc>
          <w:tcPr>
            <w:tcW w:w="1796" w:type="pct"/>
            <w:shd w:val="clear" w:color="auto" w:fill="FFFFFF"/>
          </w:tcPr>
          <w:p w14:paraId="1BA78C7C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The presentation of the total liabilities/total assets at the end of the year of an enterprise</w:t>
            </w:r>
          </w:p>
        </w:tc>
      </w:tr>
      <w:tr w:rsidR="004146C6" w14:paraId="4BA36D36" w14:textId="77777777" w:rsidTr="00DB4BC8">
        <w:trPr>
          <w:trHeight w:val="170"/>
          <w:jc w:val="center"/>
        </w:trPr>
        <w:tc>
          <w:tcPr>
            <w:tcW w:w="859" w:type="pct"/>
            <w:vMerge/>
            <w:shd w:val="clear" w:color="auto" w:fill="FFFFFF"/>
            <w:vAlign w:val="center"/>
          </w:tcPr>
          <w:p w14:paraId="7B6108F2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</w:p>
        </w:tc>
        <w:tc>
          <w:tcPr>
            <w:tcW w:w="782" w:type="pct"/>
            <w:shd w:val="clear" w:color="auto" w:fill="FFFFFF"/>
          </w:tcPr>
          <w:p w14:paraId="54A12A51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ROA</w:t>
            </w:r>
          </w:p>
        </w:tc>
        <w:tc>
          <w:tcPr>
            <w:tcW w:w="1563" w:type="pct"/>
            <w:shd w:val="clear" w:color="auto" w:fill="FFFFFF"/>
          </w:tcPr>
          <w:p w14:paraId="45E14FC0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Profit rate on total assets</w:t>
            </w:r>
          </w:p>
        </w:tc>
        <w:tc>
          <w:tcPr>
            <w:tcW w:w="1796" w:type="pct"/>
            <w:shd w:val="clear" w:color="auto" w:fill="FFFFFF"/>
          </w:tcPr>
          <w:p w14:paraId="6FBD48EC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Net profit/total assets</w:t>
            </w:r>
          </w:p>
        </w:tc>
      </w:tr>
      <w:tr w:rsidR="004146C6" w14:paraId="2609CC70" w14:textId="77777777" w:rsidTr="00DB4BC8">
        <w:trPr>
          <w:trHeight w:val="170"/>
          <w:jc w:val="center"/>
        </w:trPr>
        <w:tc>
          <w:tcPr>
            <w:tcW w:w="859" w:type="pct"/>
            <w:vMerge/>
            <w:shd w:val="clear" w:color="auto" w:fill="FFFFFF"/>
            <w:vAlign w:val="center"/>
          </w:tcPr>
          <w:p w14:paraId="57A1849C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</w:p>
        </w:tc>
        <w:tc>
          <w:tcPr>
            <w:tcW w:w="782" w:type="pct"/>
            <w:shd w:val="clear" w:color="auto" w:fill="FFFFFF"/>
          </w:tcPr>
          <w:p w14:paraId="6A694643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AGE</w:t>
            </w:r>
          </w:p>
        </w:tc>
        <w:tc>
          <w:tcPr>
            <w:tcW w:w="1563" w:type="pct"/>
            <w:shd w:val="clear" w:color="auto" w:fill="FFFFFF"/>
          </w:tcPr>
          <w:p w14:paraId="63B96043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Enterprise age</w:t>
            </w:r>
          </w:p>
        </w:tc>
        <w:tc>
          <w:tcPr>
            <w:tcW w:w="1796" w:type="pct"/>
            <w:shd w:val="clear" w:color="auto" w:fill="FFFFFF"/>
          </w:tcPr>
          <w:p w14:paraId="59AEE811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Ln (1+ equals the year of the current year minus the year of the company's establishment)</w:t>
            </w:r>
          </w:p>
        </w:tc>
      </w:tr>
      <w:tr w:rsidR="004146C6" w14:paraId="4D031ACC" w14:textId="77777777" w:rsidTr="00DB4BC8">
        <w:trPr>
          <w:trHeight w:val="170"/>
          <w:jc w:val="center"/>
        </w:trPr>
        <w:tc>
          <w:tcPr>
            <w:tcW w:w="859" w:type="pct"/>
            <w:vMerge/>
            <w:shd w:val="clear" w:color="auto" w:fill="FFFFFF"/>
            <w:vAlign w:val="center"/>
          </w:tcPr>
          <w:p w14:paraId="60F4AC9E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</w:p>
        </w:tc>
        <w:tc>
          <w:tcPr>
            <w:tcW w:w="782" w:type="pct"/>
            <w:shd w:val="clear" w:color="auto" w:fill="FFFFFF"/>
          </w:tcPr>
          <w:p w14:paraId="258F11A0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CASH</w:t>
            </w:r>
          </w:p>
        </w:tc>
        <w:tc>
          <w:tcPr>
            <w:tcW w:w="1563" w:type="pct"/>
            <w:shd w:val="clear" w:color="auto" w:fill="FFFFFF"/>
          </w:tcPr>
          <w:p w14:paraId="7CA3F400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Cash holdings</w:t>
            </w:r>
          </w:p>
        </w:tc>
        <w:tc>
          <w:tcPr>
            <w:tcW w:w="1796" w:type="pct"/>
            <w:shd w:val="clear" w:color="auto" w:fill="FFFFFF"/>
          </w:tcPr>
          <w:p w14:paraId="38D48BC7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Net cash flows from operating activities of the enterprise/total assets</w:t>
            </w:r>
          </w:p>
        </w:tc>
      </w:tr>
      <w:tr w:rsidR="004146C6" w14:paraId="48FEE1E0" w14:textId="77777777" w:rsidTr="00DB4BC8">
        <w:trPr>
          <w:trHeight w:val="170"/>
          <w:jc w:val="center"/>
        </w:trPr>
        <w:tc>
          <w:tcPr>
            <w:tcW w:w="859" w:type="pct"/>
            <w:vMerge/>
            <w:shd w:val="clear" w:color="auto" w:fill="FFFFFF"/>
            <w:vAlign w:val="center"/>
          </w:tcPr>
          <w:p w14:paraId="0B27E538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</w:p>
        </w:tc>
        <w:tc>
          <w:tcPr>
            <w:tcW w:w="782" w:type="pct"/>
            <w:shd w:val="clear" w:color="auto" w:fill="FFFFFF"/>
          </w:tcPr>
          <w:p w14:paraId="14915868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GDP</w:t>
            </w:r>
          </w:p>
        </w:tc>
        <w:tc>
          <w:tcPr>
            <w:tcW w:w="1563" w:type="pct"/>
            <w:shd w:val="clear" w:color="auto" w:fill="FFFFFF"/>
          </w:tcPr>
          <w:p w14:paraId="26F95710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The level of urban economic development</w:t>
            </w:r>
          </w:p>
        </w:tc>
        <w:tc>
          <w:tcPr>
            <w:tcW w:w="1796" w:type="pct"/>
            <w:shd w:val="clear" w:color="auto" w:fill="FFFFFF"/>
          </w:tcPr>
          <w:p w14:paraId="468DCD04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Ln (Urban GDP)</w:t>
            </w:r>
          </w:p>
        </w:tc>
      </w:tr>
      <w:tr w:rsidR="004146C6" w14:paraId="59E44A39" w14:textId="77777777" w:rsidTr="00DB4BC8">
        <w:trPr>
          <w:trHeight w:val="170"/>
          <w:jc w:val="center"/>
        </w:trPr>
        <w:tc>
          <w:tcPr>
            <w:tcW w:w="859" w:type="pct"/>
            <w:vMerge/>
            <w:shd w:val="clear" w:color="auto" w:fill="FFFFFF"/>
            <w:vAlign w:val="center"/>
          </w:tcPr>
          <w:p w14:paraId="752C3CE4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</w:p>
        </w:tc>
        <w:tc>
          <w:tcPr>
            <w:tcW w:w="782" w:type="pct"/>
            <w:shd w:val="clear" w:color="auto" w:fill="FFFFFF"/>
          </w:tcPr>
          <w:p w14:paraId="3D28F3F5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bookmarkStart w:id="2" w:name="OLE_LINK15"/>
            <w:r>
              <w:rPr>
                <w:rFonts w:eastAsia="SimSun" w:hint="eastAsia"/>
                <w:sz w:val="20"/>
                <w:szCs w:val="21"/>
              </w:rPr>
              <w:t>IS</w:t>
            </w:r>
            <w:bookmarkEnd w:id="2"/>
          </w:p>
        </w:tc>
        <w:tc>
          <w:tcPr>
            <w:tcW w:w="1563" w:type="pct"/>
            <w:shd w:val="clear" w:color="auto" w:fill="FFFFFF"/>
          </w:tcPr>
          <w:p w14:paraId="6723E507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Regional industrial upgrading</w:t>
            </w:r>
          </w:p>
        </w:tc>
        <w:tc>
          <w:tcPr>
            <w:tcW w:w="1796" w:type="pct"/>
            <w:shd w:val="clear" w:color="auto" w:fill="FFFFFF"/>
          </w:tcPr>
          <w:p w14:paraId="67163461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Added value of the tertiary industry/added value of the secondary industry in the region</w:t>
            </w:r>
          </w:p>
        </w:tc>
      </w:tr>
      <w:tr w:rsidR="004146C6" w14:paraId="7E492C67" w14:textId="77777777" w:rsidTr="00DB4BC8">
        <w:trPr>
          <w:trHeight w:val="170"/>
          <w:jc w:val="center"/>
        </w:trPr>
        <w:tc>
          <w:tcPr>
            <w:tcW w:w="859" w:type="pct"/>
            <w:vMerge/>
            <w:shd w:val="clear" w:color="auto" w:fill="FFFFFF"/>
            <w:vAlign w:val="center"/>
          </w:tcPr>
          <w:p w14:paraId="26005682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</w:p>
        </w:tc>
        <w:tc>
          <w:tcPr>
            <w:tcW w:w="782" w:type="pct"/>
            <w:shd w:val="clear" w:color="auto" w:fill="FFFFFF"/>
          </w:tcPr>
          <w:p w14:paraId="76037EFB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DUAL</w:t>
            </w:r>
          </w:p>
        </w:tc>
        <w:tc>
          <w:tcPr>
            <w:tcW w:w="1563" w:type="pct"/>
            <w:shd w:val="clear" w:color="auto" w:fill="FFFFFF"/>
          </w:tcPr>
          <w:p w14:paraId="7F2B6781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duality</w:t>
            </w:r>
          </w:p>
        </w:tc>
        <w:tc>
          <w:tcPr>
            <w:tcW w:w="1796" w:type="pct"/>
            <w:shd w:val="clear" w:color="auto" w:fill="FFFFFF"/>
          </w:tcPr>
          <w:p w14:paraId="3F2EB7AD" w14:textId="77777777" w:rsidR="004146C6" w:rsidRDefault="004146C6" w:rsidP="00DB4BC8">
            <w:pPr>
              <w:ind w:firstLineChars="0" w:firstLine="0"/>
              <w:jc w:val="center"/>
              <w:rPr>
                <w:rFonts w:eastAsia="SimSun"/>
                <w:sz w:val="20"/>
                <w:szCs w:val="21"/>
              </w:rPr>
            </w:pPr>
            <w:r>
              <w:rPr>
                <w:rFonts w:eastAsia="SimSun" w:hint="eastAsia"/>
                <w:sz w:val="20"/>
                <w:szCs w:val="21"/>
              </w:rPr>
              <w:t>If the chairman and general manager of an enterprise are the same person, it is 1; otherwise, it is 0</w:t>
            </w:r>
          </w:p>
        </w:tc>
      </w:tr>
    </w:tbl>
    <w:p w14:paraId="58397356" w14:textId="77777777" w:rsidR="004146C6" w:rsidRDefault="004146C6" w:rsidP="004146C6">
      <w:pPr>
        <w:ind w:firstLine="562"/>
        <w:rPr>
          <w:b/>
          <w:bCs/>
          <w:sz w:val="28"/>
          <w:szCs w:val="28"/>
        </w:rPr>
      </w:pPr>
    </w:p>
    <w:p w14:paraId="2F0A9744" w14:textId="77777777" w:rsidR="004146C6" w:rsidRDefault="004146C6" w:rsidP="004146C6">
      <w:pPr>
        <w:ind w:firstLine="562"/>
        <w:rPr>
          <w:b/>
          <w:bCs/>
          <w:sz w:val="28"/>
          <w:szCs w:val="28"/>
        </w:rPr>
      </w:pPr>
    </w:p>
    <w:p w14:paraId="4459CA32" w14:textId="77777777" w:rsidR="004146C6" w:rsidRDefault="004146C6" w:rsidP="004146C6">
      <w:pPr>
        <w:ind w:firstLine="562"/>
        <w:rPr>
          <w:b/>
          <w:bCs/>
          <w:sz w:val="28"/>
          <w:szCs w:val="28"/>
        </w:rPr>
      </w:pPr>
    </w:p>
    <w:p w14:paraId="43AEA65F" w14:textId="77777777" w:rsidR="004146C6" w:rsidRDefault="004146C6" w:rsidP="004146C6">
      <w:pPr>
        <w:ind w:firstLine="562"/>
        <w:rPr>
          <w:b/>
          <w:bCs/>
          <w:sz w:val="28"/>
          <w:szCs w:val="28"/>
        </w:rPr>
      </w:pPr>
    </w:p>
    <w:p w14:paraId="1E316BEC" w14:textId="77777777" w:rsidR="004146C6" w:rsidRDefault="004146C6" w:rsidP="004146C6">
      <w:pPr>
        <w:ind w:firstLine="562"/>
        <w:rPr>
          <w:b/>
          <w:bCs/>
          <w:sz w:val="28"/>
          <w:szCs w:val="28"/>
        </w:rPr>
      </w:pPr>
    </w:p>
    <w:p w14:paraId="6905F54E" w14:textId="77777777" w:rsidR="004146C6" w:rsidRDefault="004146C6" w:rsidP="004146C6">
      <w:pPr>
        <w:ind w:firstLine="562"/>
        <w:rPr>
          <w:b/>
          <w:bCs/>
          <w:sz w:val="28"/>
          <w:szCs w:val="28"/>
        </w:rPr>
      </w:pPr>
    </w:p>
    <w:p w14:paraId="24A0907F" w14:textId="77777777" w:rsidR="004146C6" w:rsidRDefault="004146C6" w:rsidP="004146C6">
      <w:pPr>
        <w:ind w:firstLine="562"/>
        <w:rPr>
          <w:b/>
          <w:bCs/>
          <w:sz w:val="28"/>
          <w:szCs w:val="28"/>
        </w:rPr>
      </w:pPr>
    </w:p>
    <w:p w14:paraId="3ED425D6" w14:textId="77777777" w:rsidR="004146C6" w:rsidRDefault="004146C6" w:rsidP="004146C6">
      <w:pPr>
        <w:ind w:firstLine="562"/>
        <w:rPr>
          <w:b/>
          <w:bCs/>
          <w:sz w:val="28"/>
          <w:szCs w:val="28"/>
        </w:rPr>
      </w:pPr>
    </w:p>
    <w:p w14:paraId="5ADAB8F3" w14:textId="77777777" w:rsidR="00DE6AE2" w:rsidRDefault="00DE6AE2">
      <w:pPr>
        <w:ind w:firstLine="440"/>
      </w:pP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6C6"/>
    <w:rsid w:val="00195413"/>
    <w:rsid w:val="003D0186"/>
    <w:rsid w:val="004146C6"/>
    <w:rsid w:val="007278E4"/>
    <w:rsid w:val="008C1DF0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57B69"/>
  <w15:chartTrackingRefBased/>
  <w15:docId w15:val="{FA86D7B6-2261-4446-AC23-AFF2D8E60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46C6"/>
    <w:pPr>
      <w:widowControl w:val="0"/>
      <w:spacing w:after="0" w:line="240" w:lineRule="auto"/>
      <w:ind w:firstLineChars="200" w:firstLine="200"/>
      <w:jc w:val="both"/>
    </w:pPr>
    <w:rPr>
      <w:rFonts w:eastAsiaTheme="minorEastAsia"/>
      <w:sz w:val="22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46C6"/>
    <w:pPr>
      <w:keepNext/>
      <w:keepLines/>
      <w:widowControl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46C6"/>
    <w:pPr>
      <w:keepNext/>
      <w:keepLines/>
      <w:widowControl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46C6"/>
    <w:pPr>
      <w:keepNext/>
      <w:keepLines/>
      <w:widowControl/>
      <w:spacing w:before="160" w:after="80" w:line="278" w:lineRule="auto"/>
      <w:ind w:firstLineChars="0" w:firstLine="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46C6"/>
    <w:pPr>
      <w:keepNext/>
      <w:keepLines/>
      <w:widowControl/>
      <w:spacing w:before="80" w:after="40" w:line="278" w:lineRule="auto"/>
      <w:ind w:firstLineChars="0" w:firstLine="0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46C6"/>
    <w:pPr>
      <w:keepNext/>
      <w:keepLines/>
      <w:widowControl/>
      <w:spacing w:before="80" w:after="40" w:line="278" w:lineRule="auto"/>
      <w:ind w:firstLineChars="0" w:firstLine="0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46C6"/>
    <w:pPr>
      <w:keepNext/>
      <w:keepLines/>
      <w:widowControl/>
      <w:spacing w:before="40" w:line="278" w:lineRule="auto"/>
      <w:ind w:firstLineChars="0" w:firstLine="0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46C6"/>
    <w:pPr>
      <w:keepNext/>
      <w:keepLines/>
      <w:widowControl/>
      <w:spacing w:before="40" w:line="278" w:lineRule="auto"/>
      <w:ind w:firstLineChars="0" w:firstLine="0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46C6"/>
    <w:pPr>
      <w:keepNext/>
      <w:keepLines/>
      <w:widowControl/>
      <w:spacing w:line="278" w:lineRule="auto"/>
      <w:ind w:firstLineChars="0" w:firstLine="0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46C6"/>
    <w:pPr>
      <w:keepNext/>
      <w:keepLines/>
      <w:widowControl/>
      <w:spacing w:line="278" w:lineRule="auto"/>
      <w:ind w:firstLineChars="0" w:firstLine="0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46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46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46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46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46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46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46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46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46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46C6"/>
    <w:pPr>
      <w:widowControl/>
      <w:spacing w:after="80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4146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46C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4146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46C6"/>
    <w:pPr>
      <w:widowControl/>
      <w:spacing w:before="160" w:after="160" w:line="278" w:lineRule="auto"/>
      <w:ind w:firstLineChars="0" w:firstLine="0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4146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46C6"/>
    <w:pPr>
      <w:widowControl/>
      <w:spacing w:after="160" w:line="278" w:lineRule="auto"/>
      <w:ind w:left="720" w:firstLineChars="0" w:firstLine="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4146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46C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46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46C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qFormat/>
    <w:rsid w:val="004146C6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272</Words>
  <Characters>1676</Characters>
  <Application>Microsoft Office Word</Application>
  <DocSecurity>0</DocSecurity>
  <Lines>67</Lines>
  <Paragraphs>47</Paragraphs>
  <ScaleCrop>false</ScaleCrop>
  <Company>Springer Nature</Company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2025-10-09T05:10:00Z</dcterms:created>
  <dcterms:modified xsi:type="dcterms:W3CDTF">2025-10-09T05:10:00Z</dcterms:modified>
</cp:coreProperties>
</file>