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3D46" w14:textId="0F6C1AFC" w:rsidR="00B2798C" w:rsidRPr="0004523A" w:rsidRDefault="2E18EE02" w:rsidP="00B2798C">
      <w:pPr>
        <w:suppressLineNumbers/>
        <w:spacing w:after="200"/>
        <w:jc w:val="both"/>
        <w:rPr>
          <w:rFonts w:ascii="Arial" w:eastAsia="Arial" w:hAnsi="Arial" w:cs="Arial"/>
          <w:b/>
          <w:bCs/>
          <w:sz w:val="36"/>
          <w:szCs w:val="36"/>
          <w:lang w:val="en-GB"/>
        </w:rPr>
      </w:pPr>
      <w:r w:rsidRPr="00082ADF">
        <w:rPr>
          <w:rFonts w:ascii="Arial" w:eastAsia="Arial" w:hAnsi="Arial" w:cs="Arial"/>
          <w:b/>
          <w:bCs/>
          <w:sz w:val="36"/>
          <w:szCs w:val="36"/>
          <w:lang w:val="en-GB"/>
        </w:rPr>
        <w:t>Supplementary Material:</w:t>
      </w:r>
      <w:r w:rsidRPr="004C5575">
        <w:rPr>
          <w:rFonts w:ascii="Arial" w:eastAsia="Arial" w:hAnsi="Arial" w:cs="Arial"/>
          <w:b/>
          <w:bCs/>
          <w:lang w:val="en-GB"/>
        </w:rPr>
        <w:t xml:space="preserve"> </w:t>
      </w:r>
      <w:r w:rsidR="00C37F10" w:rsidRPr="00C37F10">
        <w:rPr>
          <w:rFonts w:ascii="Arial" w:eastAsia="Arial" w:hAnsi="Arial" w:cs="Arial"/>
          <w:b/>
          <w:bCs/>
          <w:sz w:val="36"/>
          <w:szCs w:val="36"/>
          <w:lang w:val="en-GB"/>
        </w:rPr>
        <w:t xml:space="preserve">Functional </w:t>
      </w:r>
      <w:r w:rsidR="005070CB">
        <w:rPr>
          <w:rFonts w:ascii="Arial" w:eastAsia="Arial" w:hAnsi="Arial" w:cs="Arial"/>
          <w:b/>
          <w:bCs/>
          <w:sz w:val="36"/>
          <w:szCs w:val="36"/>
          <w:lang w:val="en-GB"/>
        </w:rPr>
        <w:t>m</w:t>
      </w:r>
      <w:r w:rsidR="00C37F10" w:rsidRPr="00C37F10">
        <w:rPr>
          <w:rFonts w:ascii="Arial" w:eastAsia="Arial" w:hAnsi="Arial" w:cs="Arial"/>
          <w:b/>
          <w:bCs/>
          <w:sz w:val="36"/>
          <w:szCs w:val="36"/>
          <w:lang w:val="en-GB"/>
        </w:rPr>
        <w:t xml:space="preserve">icrobiome </w:t>
      </w:r>
      <w:r w:rsidR="005070CB">
        <w:rPr>
          <w:rFonts w:ascii="Arial" w:eastAsia="Arial" w:hAnsi="Arial" w:cs="Arial"/>
          <w:b/>
          <w:bCs/>
          <w:sz w:val="36"/>
          <w:szCs w:val="36"/>
          <w:lang w:val="en-GB"/>
        </w:rPr>
        <w:t>r</w:t>
      </w:r>
      <w:r w:rsidR="00C37F10" w:rsidRPr="00C37F10">
        <w:rPr>
          <w:rFonts w:ascii="Arial" w:eastAsia="Arial" w:hAnsi="Arial" w:cs="Arial"/>
          <w:b/>
          <w:bCs/>
          <w:sz w:val="36"/>
          <w:szCs w:val="36"/>
          <w:lang w:val="en-GB"/>
        </w:rPr>
        <w:t xml:space="preserve">eprogramming </w:t>
      </w:r>
      <w:r w:rsidR="005070CB">
        <w:rPr>
          <w:rFonts w:ascii="Arial" w:eastAsia="Arial" w:hAnsi="Arial" w:cs="Arial"/>
          <w:b/>
          <w:bCs/>
          <w:sz w:val="36"/>
          <w:szCs w:val="36"/>
          <w:lang w:val="en-GB"/>
        </w:rPr>
        <w:t>l</w:t>
      </w:r>
      <w:r w:rsidR="00C37F10" w:rsidRPr="00C37F10">
        <w:rPr>
          <w:rFonts w:ascii="Arial" w:eastAsia="Arial" w:hAnsi="Arial" w:cs="Arial"/>
          <w:b/>
          <w:bCs/>
          <w:sz w:val="36"/>
          <w:szCs w:val="36"/>
          <w:lang w:val="en-GB"/>
        </w:rPr>
        <w:t xml:space="preserve">inks </w:t>
      </w:r>
      <w:r w:rsidR="005070CB">
        <w:rPr>
          <w:rFonts w:ascii="Arial" w:eastAsia="Arial" w:hAnsi="Arial" w:cs="Arial"/>
          <w:b/>
          <w:bCs/>
          <w:sz w:val="36"/>
          <w:szCs w:val="36"/>
          <w:lang w:val="en-GB"/>
        </w:rPr>
        <w:t>d</w:t>
      </w:r>
      <w:r w:rsidR="00C37F10" w:rsidRPr="00C37F10">
        <w:rPr>
          <w:rFonts w:ascii="Arial" w:eastAsia="Arial" w:hAnsi="Arial" w:cs="Arial"/>
          <w:b/>
          <w:bCs/>
          <w:sz w:val="36"/>
          <w:szCs w:val="36"/>
          <w:lang w:val="en-GB"/>
        </w:rPr>
        <w:t xml:space="preserve">ietary </w:t>
      </w:r>
      <w:r w:rsidR="005070CB">
        <w:rPr>
          <w:rFonts w:ascii="Arial" w:eastAsia="Arial" w:hAnsi="Arial" w:cs="Arial"/>
          <w:b/>
          <w:bCs/>
          <w:sz w:val="36"/>
          <w:szCs w:val="36"/>
          <w:lang w:val="en-GB"/>
        </w:rPr>
        <w:t>i</w:t>
      </w:r>
      <w:r w:rsidR="00C37F10" w:rsidRPr="00C37F10">
        <w:rPr>
          <w:rFonts w:ascii="Arial" w:eastAsia="Arial" w:hAnsi="Arial" w:cs="Arial"/>
          <w:b/>
          <w:bCs/>
          <w:sz w:val="36"/>
          <w:szCs w:val="36"/>
          <w:lang w:val="en-GB"/>
        </w:rPr>
        <w:t xml:space="preserve">nterventions to </w:t>
      </w:r>
      <w:r w:rsidR="005070CB">
        <w:rPr>
          <w:rFonts w:ascii="Arial" w:eastAsia="Arial" w:hAnsi="Arial" w:cs="Arial"/>
          <w:b/>
          <w:bCs/>
          <w:sz w:val="36"/>
          <w:szCs w:val="36"/>
          <w:lang w:val="en-GB"/>
        </w:rPr>
        <w:t>n</w:t>
      </w:r>
      <w:r w:rsidR="00C37F10" w:rsidRPr="00C37F10">
        <w:rPr>
          <w:rFonts w:ascii="Arial" w:eastAsia="Arial" w:hAnsi="Arial" w:cs="Arial"/>
          <w:b/>
          <w:bCs/>
          <w:sz w:val="36"/>
          <w:szCs w:val="36"/>
          <w:lang w:val="en-GB"/>
        </w:rPr>
        <w:t xml:space="preserve">euroinflammatory </w:t>
      </w:r>
      <w:r w:rsidR="005070CB">
        <w:rPr>
          <w:rFonts w:ascii="Arial" w:eastAsia="Arial" w:hAnsi="Arial" w:cs="Arial"/>
          <w:b/>
          <w:bCs/>
          <w:sz w:val="36"/>
          <w:szCs w:val="36"/>
          <w:lang w:val="en-GB"/>
        </w:rPr>
        <w:t>o</w:t>
      </w:r>
      <w:r w:rsidR="00C37F10" w:rsidRPr="00C37F10">
        <w:rPr>
          <w:rFonts w:ascii="Arial" w:eastAsia="Arial" w:hAnsi="Arial" w:cs="Arial"/>
          <w:b/>
          <w:bCs/>
          <w:sz w:val="36"/>
          <w:szCs w:val="36"/>
          <w:lang w:val="en-GB"/>
        </w:rPr>
        <w:t xml:space="preserve">utcomes in </w:t>
      </w:r>
      <w:r w:rsidR="005070CB">
        <w:rPr>
          <w:rFonts w:ascii="Arial" w:eastAsia="Arial" w:hAnsi="Arial" w:cs="Arial"/>
          <w:b/>
          <w:bCs/>
          <w:sz w:val="36"/>
          <w:szCs w:val="36"/>
          <w:lang w:val="en-GB"/>
        </w:rPr>
        <w:t>m</w:t>
      </w:r>
      <w:r w:rsidR="00C37F10" w:rsidRPr="00C37F10">
        <w:rPr>
          <w:rFonts w:ascii="Arial" w:eastAsia="Arial" w:hAnsi="Arial" w:cs="Arial"/>
          <w:b/>
          <w:bCs/>
          <w:sz w:val="36"/>
          <w:szCs w:val="36"/>
          <w:lang w:val="en-GB"/>
        </w:rPr>
        <w:t xml:space="preserve">ultiple </w:t>
      </w:r>
      <w:r w:rsidR="005070CB">
        <w:rPr>
          <w:rFonts w:ascii="Arial" w:eastAsia="Arial" w:hAnsi="Arial" w:cs="Arial"/>
          <w:b/>
          <w:bCs/>
          <w:sz w:val="36"/>
          <w:szCs w:val="36"/>
          <w:lang w:val="en-GB"/>
        </w:rPr>
        <w:t>s</w:t>
      </w:r>
      <w:r w:rsidR="00C37F10" w:rsidRPr="00C37F10">
        <w:rPr>
          <w:rFonts w:ascii="Arial" w:eastAsia="Arial" w:hAnsi="Arial" w:cs="Arial"/>
          <w:b/>
          <w:bCs/>
          <w:sz w:val="36"/>
          <w:szCs w:val="36"/>
          <w:lang w:val="en-GB"/>
        </w:rPr>
        <w:t>clerosis</w:t>
      </w:r>
    </w:p>
    <w:p w14:paraId="1DABAD96" w14:textId="2C63E078" w:rsidR="006E4703" w:rsidRPr="003A20E4" w:rsidRDefault="006E4703" w:rsidP="006E4703">
      <w:pPr>
        <w:suppressLineNumbers/>
        <w:spacing w:after="200"/>
        <w:jc w:val="both"/>
        <w:rPr>
          <w:rFonts w:ascii="Arial" w:eastAsia="Arial" w:hAnsi="Arial" w:cs="Arial"/>
          <w:b/>
          <w:bCs/>
          <w:vertAlign w:val="superscript"/>
          <w:lang w:val="en-US"/>
        </w:rPr>
      </w:pPr>
      <w:r w:rsidRPr="003A20E4">
        <w:rPr>
          <w:rFonts w:ascii="Arial" w:eastAsia="Arial" w:hAnsi="Arial" w:cs="Arial"/>
          <w:b/>
          <w:bCs/>
          <w:lang w:val="en-US"/>
        </w:rPr>
        <w:t>Friederike Gutmann</w:t>
      </w:r>
      <w:r w:rsidRPr="003A20E4">
        <w:rPr>
          <w:rFonts w:ascii="Arial" w:eastAsia="Arial" w:hAnsi="Arial" w:cs="Arial"/>
          <w:b/>
          <w:bCs/>
          <w:vertAlign w:val="superscript"/>
          <w:lang w:val="en-US"/>
        </w:rPr>
        <w:t>1,2,3,4,</w:t>
      </w:r>
      <w:proofErr w:type="gramStart"/>
      <w:r w:rsidRPr="003A20E4">
        <w:rPr>
          <w:rFonts w:ascii="Arial" w:eastAsia="Arial" w:hAnsi="Arial" w:cs="Arial"/>
          <w:b/>
          <w:bCs/>
          <w:vertAlign w:val="superscript"/>
          <w:lang w:val="en-US"/>
        </w:rPr>
        <w:t>5</w:t>
      </w:r>
      <w:r>
        <w:rPr>
          <w:rFonts w:ascii="Arial" w:eastAsia="Arial" w:hAnsi="Arial" w:cs="Arial"/>
          <w:b/>
          <w:bCs/>
          <w:vertAlign w:val="superscript"/>
          <w:lang w:val="en-US"/>
        </w:rPr>
        <w:t>,*</w:t>
      </w:r>
      <w:proofErr w:type="gramEnd"/>
      <w:r w:rsidRPr="003A20E4">
        <w:rPr>
          <w:rFonts w:ascii="Arial" w:eastAsia="Arial" w:hAnsi="Arial" w:cs="Arial"/>
          <w:b/>
          <w:bCs/>
          <w:lang w:val="en-US"/>
        </w:rPr>
        <w:t>, Lina Samira Bahr</w:t>
      </w:r>
      <w:r w:rsidRPr="003A20E4">
        <w:rPr>
          <w:rFonts w:ascii="Arial" w:eastAsia="Arial" w:hAnsi="Arial" w:cs="Arial"/>
          <w:b/>
          <w:bCs/>
          <w:vertAlign w:val="superscript"/>
          <w:lang w:val="en-US"/>
        </w:rPr>
        <w:t>1,2,3</w:t>
      </w:r>
      <w:r w:rsidRPr="003A20E4">
        <w:rPr>
          <w:rFonts w:ascii="Arial" w:eastAsia="Arial" w:hAnsi="Arial" w:cs="Arial"/>
          <w:b/>
          <w:bCs/>
          <w:lang w:val="en-US"/>
        </w:rPr>
        <w:t>, Ulrike Brüning</w:t>
      </w:r>
      <w:r w:rsidRPr="003A20E4">
        <w:rPr>
          <w:rFonts w:ascii="Arial" w:eastAsia="Arial" w:hAnsi="Arial" w:cs="Arial"/>
          <w:b/>
          <w:bCs/>
          <w:vertAlign w:val="superscript"/>
          <w:lang w:val="en-US"/>
        </w:rPr>
        <w:t>5</w:t>
      </w:r>
      <w:r w:rsidRPr="003A20E4">
        <w:rPr>
          <w:rFonts w:ascii="Arial" w:eastAsia="Arial" w:hAnsi="Arial" w:cs="Arial"/>
          <w:b/>
          <w:bCs/>
          <w:lang w:val="en-US"/>
        </w:rPr>
        <w:t>, Víctor Hugo Jarquín</w:t>
      </w:r>
      <w:r>
        <w:rPr>
          <w:rFonts w:ascii="Arial" w:eastAsia="Arial" w:hAnsi="Arial" w:cs="Arial"/>
          <w:b/>
          <w:bCs/>
          <w:lang w:val="en-US"/>
        </w:rPr>
        <w:t>-</w:t>
      </w:r>
      <w:r w:rsidRPr="003A20E4">
        <w:rPr>
          <w:rFonts w:ascii="Arial" w:eastAsia="Arial" w:hAnsi="Arial" w:cs="Arial"/>
          <w:b/>
          <w:bCs/>
          <w:lang w:val="en-US"/>
        </w:rPr>
        <w:t>Díaz</w:t>
      </w:r>
      <w:r w:rsidRPr="003A20E4">
        <w:rPr>
          <w:rFonts w:ascii="Arial" w:eastAsia="Arial" w:hAnsi="Arial" w:cs="Arial"/>
          <w:b/>
          <w:bCs/>
          <w:vertAlign w:val="superscript"/>
          <w:lang w:val="en-US"/>
        </w:rPr>
        <w:t>1,2,3,4</w:t>
      </w:r>
      <w:r w:rsidRPr="003A20E4">
        <w:rPr>
          <w:rFonts w:ascii="Arial" w:eastAsia="Arial" w:hAnsi="Arial" w:cs="Arial"/>
          <w:b/>
          <w:bCs/>
          <w:lang w:val="en-US"/>
        </w:rPr>
        <w:t>, Lajos Markó</w:t>
      </w:r>
      <w:r w:rsidRPr="003A20E4">
        <w:rPr>
          <w:rFonts w:ascii="Arial" w:eastAsia="Arial" w:hAnsi="Arial" w:cs="Arial"/>
          <w:b/>
          <w:bCs/>
          <w:vertAlign w:val="superscript"/>
          <w:lang w:val="en-US"/>
        </w:rPr>
        <w:t>1,2,3,4</w:t>
      </w:r>
      <w:r w:rsidRPr="003A20E4">
        <w:rPr>
          <w:rFonts w:ascii="Arial" w:eastAsia="Arial" w:hAnsi="Arial" w:cs="Arial"/>
          <w:b/>
          <w:bCs/>
          <w:lang w:val="en-US"/>
        </w:rPr>
        <w:t>, Martin Weygandt</w:t>
      </w:r>
      <w:r w:rsidRPr="00E24924">
        <w:rPr>
          <w:rFonts w:ascii="Arial" w:eastAsia="Arial" w:hAnsi="Arial" w:cs="Arial"/>
          <w:b/>
          <w:bCs/>
          <w:vertAlign w:val="superscript"/>
          <w:lang w:val="en-US"/>
        </w:rPr>
        <w:t>1,</w:t>
      </w:r>
      <w:r w:rsidRPr="003A20E4">
        <w:rPr>
          <w:rFonts w:ascii="Arial" w:eastAsia="Arial" w:hAnsi="Arial" w:cs="Arial"/>
          <w:b/>
          <w:bCs/>
          <w:vertAlign w:val="superscript"/>
          <w:lang w:val="en-US"/>
        </w:rPr>
        <w:t>2</w:t>
      </w:r>
      <w:r>
        <w:rPr>
          <w:rFonts w:ascii="Arial" w:eastAsia="Arial" w:hAnsi="Arial" w:cs="Arial"/>
          <w:b/>
          <w:bCs/>
          <w:vertAlign w:val="superscript"/>
          <w:lang w:val="en-US"/>
        </w:rPr>
        <w:t>,3</w:t>
      </w:r>
      <w:r w:rsidRPr="003A20E4">
        <w:rPr>
          <w:rFonts w:ascii="Arial" w:eastAsia="Arial" w:hAnsi="Arial" w:cs="Arial"/>
          <w:b/>
          <w:bCs/>
          <w:lang w:val="en-US"/>
        </w:rPr>
        <w:t xml:space="preserve">, </w:t>
      </w:r>
      <w:proofErr w:type="spellStart"/>
      <w:r>
        <w:rPr>
          <w:rFonts w:ascii="Arial" w:eastAsia="Arial" w:hAnsi="Arial" w:cs="Arial"/>
          <w:b/>
          <w:bCs/>
          <w:lang w:val="en-US"/>
        </w:rPr>
        <w:t>Rebekka</w:t>
      </w:r>
      <w:proofErr w:type="spellEnd"/>
      <w:r>
        <w:rPr>
          <w:rFonts w:ascii="Arial" w:eastAsia="Arial" w:hAnsi="Arial" w:cs="Arial"/>
          <w:b/>
          <w:bCs/>
          <w:lang w:val="en-US"/>
        </w:rPr>
        <w:t xml:space="preserve"> Rust</w:t>
      </w:r>
      <w:r w:rsidRPr="00E24924">
        <w:rPr>
          <w:rFonts w:ascii="Arial" w:eastAsia="Arial" w:hAnsi="Arial" w:cs="Arial"/>
          <w:b/>
          <w:bCs/>
          <w:vertAlign w:val="superscript"/>
          <w:lang w:val="en-US"/>
        </w:rPr>
        <w:t>1,</w:t>
      </w:r>
      <w:r w:rsidRPr="00000278">
        <w:rPr>
          <w:rFonts w:ascii="Arial" w:eastAsia="Arial" w:hAnsi="Arial" w:cs="Arial"/>
          <w:b/>
          <w:bCs/>
          <w:vertAlign w:val="superscript"/>
          <w:lang w:val="en-US"/>
        </w:rPr>
        <w:t>2</w:t>
      </w:r>
      <w:r>
        <w:rPr>
          <w:rFonts w:ascii="Arial" w:eastAsia="Arial" w:hAnsi="Arial" w:cs="Arial"/>
          <w:b/>
          <w:bCs/>
          <w:vertAlign w:val="superscript"/>
          <w:lang w:val="en-US"/>
        </w:rPr>
        <w:t>,3,6</w:t>
      </w:r>
      <w:r>
        <w:rPr>
          <w:rFonts w:ascii="Arial" w:eastAsia="Arial" w:hAnsi="Arial" w:cs="Arial"/>
          <w:b/>
          <w:bCs/>
          <w:lang w:val="en-US"/>
        </w:rPr>
        <w:t xml:space="preserve">, </w:t>
      </w:r>
      <w:r w:rsidRPr="003A20E4">
        <w:rPr>
          <w:rFonts w:ascii="Arial" w:eastAsia="Arial" w:hAnsi="Arial" w:cs="Arial"/>
          <w:b/>
          <w:bCs/>
          <w:lang w:val="en-US"/>
        </w:rPr>
        <w:t>Judith Bellmann-Strobl</w:t>
      </w:r>
      <w:r w:rsidRPr="00000278">
        <w:rPr>
          <w:rFonts w:ascii="Arial" w:eastAsia="Arial" w:hAnsi="Arial" w:cs="Arial"/>
          <w:b/>
          <w:bCs/>
          <w:vertAlign w:val="superscript"/>
          <w:lang w:val="en-US"/>
        </w:rPr>
        <w:t>1,</w:t>
      </w:r>
      <w:r w:rsidRPr="003A20E4">
        <w:rPr>
          <w:rFonts w:ascii="Arial" w:eastAsia="Arial" w:hAnsi="Arial" w:cs="Arial"/>
          <w:b/>
          <w:bCs/>
          <w:vertAlign w:val="superscript"/>
          <w:lang w:val="en-US"/>
        </w:rPr>
        <w:t>2</w:t>
      </w:r>
      <w:r>
        <w:rPr>
          <w:rFonts w:ascii="Arial" w:eastAsia="Arial" w:hAnsi="Arial" w:cs="Arial"/>
          <w:b/>
          <w:bCs/>
          <w:vertAlign w:val="superscript"/>
          <w:lang w:val="en-US"/>
        </w:rPr>
        <w:t>,3</w:t>
      </w:r>
      <w:r w:rsidRPr="003A20E4">
        <w:rPr>
          <w:rFonts w:ascii="Arial" w:eastAsia="Arial" w:hAnsi="Arial" w:cs="Arial"/>
          <w:b/>
          <w:bCs/>
          <w:lang w:val="en-US"/>
        </w:rPr>
        <w:t xml:space="preserve">, </w:t>
      </w:r>
      <w:proofErr w:type="spellStart"/>
      <w:r w:rsidRPr="003A20E4">
        <w:rPr>
          <w:rFonts w:ascii="Arial" w:eastAsia="Arial" w:hAnsi="Arial" w:cs="Arial"/>
          <w:b/>
          <w:bCs/>
          <w:lang w:val="en-US"/>
        </w:rPr>
        <w:t>Friedemann</w:t>
      </w:r>
      <w:proofErr w:type="spellEnd"/>
      <w:r w:rsidRPr="003A20E4">
        <w:rPr>
          <w:rFonts w:ascii="Arial" w:eastAsia="Arial" w:hAnsi="Arial" w:cs="Arial"/>
          <w:b/>
          <w:bCs/>
          <w:lang w:val="en-US"/>
        </w:rPr>
        <w:t xml:space="preserve"> Paul</w:t>
      </w:r>
      <w:r w:rsidRPr="003A20E4">
        <w:rPr>
          <w:rFonts w:ascii="Arial" w:eastAsia="Arial" w:hAnsi="Arial" w:cs="Arial"/>
          <w:b/>
          <w:bCs/>
          <w:vertAlign w:val="superscript"/>
          <w:lang w:val="en-US"/>
        </w:rPr>
        <w:t>1,2,3</w:t>
      </w:r>
      <w:r w:rsidRPr="003A20E4">
        <w:rPr>
          <w:rFonts w:ascii="Arial" w:eastAsia="Arial" w:hAnsi="Arial" w:cs="Arial"/>
          <w:b/>
          <w:bCs/>
          <w:lang w:val="en-US"/>
        </w:rPr>
        <w:t>, Sofia K. Forslund-Startceva</w:t>
      </w:r>
      <w:r w:rsidRPr="003A20E4">
        <w:rPr>
          <w:rFonts w:ascii="Arial" w:eastAsia="Arial" w:hAnsi="Arial" w:cs="Arial"/>
          <w:b/>
          <w:bCs/>
          <w:vertAlign w:val="superscript"/>
          <w:lang w:val="en-US"/>
        </w:rPr>
        <w:t>1,2,3,4,</w:t>
      </w:r>
      <w:r>
        <w:rPr>
          <w:rFonts w:ascii="Arial" w:eastAsia="Arial" w:hAnsi="Arial" w:cs="Arial"/>
          <w:b/>
          <w:bCs/>
          <w:vertAlign w:val="superscript"/>
          <w:lang w:val="en-US"/>
        </w:rPr>
        <w:t>7</w:t>
      </w:r>
      <w:r w:rsidR="00FE1784">
        <w:rPr>
          <w:rFonts w:ascii="Arial" w:eastAsia="Arial" w:hAnsi="Arial" w:cs="Arial"/>
          <w:b/>
          <w:bCs/>
          <w:vertAlign w:val="superscript"/>
          <w:lang w:val="en-US"/>
        </w:rPr>
        <w:t>,**</w:t>
      </w:r>
      <w:r w:rsidRPr="003A20E4">
        <w:rPr>
          <w:rFonts w:ascii="Arial" w:eastAsia="Arial" w:hAnsi="Arial" w:cs="Arial"/>
          <w:b/>
          <w:bCs/>
          <w:vertAlign w:val="superscript"/>
          <w:lang w:val="en-US"/>
        </w:rPr>
        <w:t xml:space="preserve"> </w:t>
      </w:r>
      <w:r w:rsidRPr="003A20E4">
        <w:rPr>
          <w:rFonts w:ascii="Arial" w:eastAsia="Arial" w:hAnsi="Arial" w:cs="Arial"/>
          <w:lang w:val="en-US"/>
        </w:rPr>
        <w:t>&amp;</w:t>
      </w:r>
      <w:r w:rsidRPr="003A20E4">
        <w:rPr>
          <w:rFonts w:ascii="Arial" w:eastAsia="Arial" w:hAnsi="Arial" w:cs="Arial"/>
          <w:b/>
          <w:bCs/>
          <w:vertAlign w:val="superscript"/>
          <w:lang w:val="en-US"/>
        </w:rPr>
        <w:t xml:space="preserve"> </w:t>
      </w:r>
      <w:r w:rsidRPr="003A20E4">
        <w:rPr>
          <w:rFonts w:ascii="Arial" w:eastAsia="Arial" w:hAnsi="Arial" w:cs="Arial"/>
          <w:b/>
          <w:bCs/>
          <w:lang w:val="en-US"/>
        </w:rPr>
        <w:t>Jennifer A. Kirwan</w:t>
      </w:r>
      <w:r w:rsidRPr="003A20E4">
        <w:rPr>
          <w:rFonts w:ascii="Arial" w:eastAsia="Arial" w:hAnsi="Arial" w:cs="Arial"/>
          <w:b/>
          <w:bCs/>
          <w:vertAlign w:val="superscript"/>
          <w:lang w:val="en-US"/>
        </w:rPr>
        <w:t>5</w:t>
      </w:r>
      <w:r w:rsidR="00DA3BE5">
        <w:rPr>
          <w:rFonts w:ascii="Arial" w:eastAsia="Arial" w:hAnsi="Arial" w:cs="Arial"/>
          <w:b/>
          <w:bCs/>
          <w:vertAlign w:val="superscript"/>
          <w:lang w:val="en-US"/>
        </w:rPr>
        <w:t>,8</w:t>
      </w:r>
      <w:r w:rsidR="00FE1784">
        <w:rPr>
          <w:rFonts w:ascii="Arial" w:eastAsia="Arial" w:hAnsi="Arial" w:cs="Arial"/>
          <w:b/>
          <w:bCs/>
          <w:vertAlign w:val="superscript"/>
          <w:lang w:val="en-US"/>
        </w:rPr>
        <w:t>,**</w:t>
      </w:r>
    </w:p>
    <w:p w14:paraId="5E2F065E" w14:textId="042E3EA3" w:rsidR="006E4703" w:rsidRPr="003A20E4" w:rsidRDefault="006E4703" w:rsidP="006E4703">
      <w:pPr>
        <w:suppressLineNumbers/>
        <w:jc w:val="both"/>
        <w:rPr>
          <w:rFonts w:ascii="Arial" w:eastAsia="Arial" w:hAnsi="Arial" w:cs="Arial"/>
          <w:lang w:val="en-US"/>
        </w:rPr>
      </w:pPr>
      <w:r w:rsidRPr="003A20E4">
        <w:rPr>
          <w:rFonts w:ascii="Arial" w:eastAsia="Arial" w:hAnsi="Arial" w:cs="Arial"/>
          <w:vertAlign w:val="superscript"/>
          <w:lang w:val="en-US"/>
        </w:rPr>
        <w:t>1</w:t>
      </w:r>
      <w:r w:rsidRPr="003A20E4">
        <w:rPr>
          <w:rFonts w:ascii="Arial" w:eastAsia="Arial" w:hAnsi="Arial" w:cs="Arial"/>
          <w:lang w:val="en-US"/>
        </w:rPr>
        <w:t>Max</w:t>
      </w:r>
      <w:r w:rsidR="00394551">
        <w:rPr>
          <w:rFonts w:ascii="Arial" w:eastAsia="Arial" w:hAnsi="Arial" w:cs="Arial"/>
          <w:lang w:val="en-US"/>
        </w:rPr>
        <w:t xml:space="preserve"> </w:t>
      </w:r>
      <w:r w:rsidRPr="003A20E4">
        <w:rPr>
          <w:rFonts w:ascii="Arial" w:eastAsia="Arial" w:hAnsi="Arial" w:cs="Arial"/>
          <w:lang w:val="en-US"/>
        </w:rPr>
        <w:t>Delbrück</w:t>
      </w:r>
      <w:r w:rsidR="00394551">
        <w:rPr>
          <w:rFonts w:ascii="Arial" w:eastAsia="Arial" w:hAnsi="Arial" w:cs="Arial"/>
          <w:lang w:val="en-US"/>
        </w:rPr>
        <w:t xml:space="preserve"> </w:t>
      </w:r>
      <w:r w:rsidRPr="003A20E4">
        <w:rPr>
          <w:rFonts w:ascii="Arial" w:eastAsia="Arial" w:hAnsi="Arial" w:cs="Arial"/>
          <w:lang w:val="en-US"/>
        </w:rPr>
        <w:t>Center for Molecular Medicine in the Helmholtz Association (MDC), Berlin, Germany</w:t>
      </w:r>
    </w:p>
    <w:p w14:paraId="4D142ACD" w14:textId="77777777" w:rsidR="006E4703" w:rsidRPr="00997508" w:rsidRDefault="006E4703" w:rsidP="006E4703">
      <w:pPr>
        <w:suppressLineNumbers/>
        <w:jc w:val="both"/>
        <w:rPr>
          <w:rFonts w:ascii="Arial" w:eastAsia="Arial" w:hAnsi="Arial" w:cs="Arial"/>
        </w:rPr>
      </w:pPr>
      <w:r w:rsidRPr="00997508">
        <w:rPr>
          <w:rFonts w:ascii="Arial" w:eastAsia="Arial" w:hAnsi="Arial" w:cs="Arial"/>
          <w:vertAlign w:val="superscript"/>
        </w:rPr>
        <w:t>2</w:t>
      </w:r>
      <w:r w:rsidRPr="00997508">
        <w:rPr>
          <w:rFonts w:ascii="Arial" w:eastAsia="Arial" w:hAnsi="Arial" w:cs="Arial"/>
        </w:rPr>
        <w:t>Charité – Universitätsmedizin Berlin, corporate member of Freie Universität Berlin and Humboldt</w:t>
      </w:r>
      <w:r w:rsidRPr="00997508">
        <w:rPr>
          <w:rFonts w:ascii="Cambria Math" w:eastAsia="Cambria Math" w:hAnsi="Cambria Math" w:cs="Cambria Math"/>
        </w:rPr>
        <w:t>‐</w:t>
      </w:r>
      <w:r w:rsidRPr="00997508">
        <w:rPr>
          <w:rFonts w:ascii="Arial" w:eastAsia="Arial" w:hAnsi="Arial" w:cs="Arial"/>
        </w:rPr>
        <w:t>Universität zu Berlin, Berlin, Germany</w:t>
      </w:r>
    </w:p>
    <w:p w14:paraId="19BACE78" w14:textId="4AFFCCDC" w:rsidR="006E4703" w:rsidRPr="003A20E4" w:rsidRDefault="006E4703" w:rsidP="006E4703">
      <w:pPr>
        <w:suppressLineNumbers/>
        <w:jc w:val="both"/>
        <w:rPr>
          <w:rFonts w:ascii="Arial" w:eastAsia="Arial" w:hAnsi="Arial" w:cs="Arial"/>
          <w:lang w:val="en-US"/>
        </w:rPr>
      </w:pPr>
      <w:r w:rsidRPr="003A20E4">
        <w:rPr>
          <w:rFonts w:ascii="Arial" w:eastAsia="Arial" w:hAnsi="Arial" w:cs="Arial"/>
          <w:vertAlign w:val="superscript"/>
          <w:lang w:val="en-US"/>
        </w:rPr>
        <w:t>3</w:t>
      </w:r>
      <w:r w:rsidRPr="003A20E4">
        <w:rPr>
          <w:rFonts w:ascii="Arial" w:eastAsia="Arial" w:hAnsi="Arial" w:cs="Arial"/>
          <w:lang w:val="en-US"/>
        </w:rPr>
        <w:t>Experimental and Clinical Research Center (ECRC), a cooperation between the Max</w:t>
      </w:r>
      <w:r w:rsidR="0065776C">
        <w:rPr>
          <w:rFonts w:ascii="Cambria Math" w:eastAsia="Cambria Math" w:hAnsi="Cambria Math" w:cs="Cambria Math"/>
          <w:lang w:val="en-US"/>
        </w:rPr>
        <w:t xml:space="preserve"> </w:t>
      </w:r>
      <w:r w:rsidRPr="003A20E4">
        <w:rPr>
          <w:rFonts w:ascii="Arial" w:eastAsia="Arial" w:hAnsi="Arial" w:cs="Arial"/>
          <w:lang w:val="en-US"/>
        </w:rPr>
        <w:t>Delbrück</w:t>
      </w:r>
      <w:r w:rsidR="0065776C">
        <w:rPr>
          <w:rFonts w:ascii="Arial" w:eastAsia="Arial" w:hAnsi="Arial" w:cs="Arial"/>
          <w:lang w:val="en-US"/>
        </w:rPr>
        <w:t xml:space="preserve"> </w:t>
      </w:r>
      <w:r w:rsidRPr="003A20E4">
        <w:rPr>
          <w:rFonts w:ascii="Arial" w:eastAsia="Arial" w:hAnsi="Arial" w:cs="Arial"/>
          <w:lang w:val="en-US"/>
        </w:rPr>
        <w:t>Center for Molecular Medicine in the Helmholtz Association and the Charité, Berlin, Germany</w:t>
      </w:r>
    </w:p>
    <w:p w14:paraId="2E8F9CD3" w14:textId="77777777" w:rsidR="006E4703" w:rsidRPr="003A20E4" w:rsidRDefault="006E4703" w:rsidP="006E4703">
      <w:pPr>
        <w:suppressLineNumbers/>
        <w:jc w:val="both"/>
        <w:rPr>
          <w:rFonts w:ascii="Arial" w:eastAsia="Arial" w:hAnsi="Arial" w:cs="Arial"/>
          <w:lang w:val="en-US"/>
        </w:rPr>
      </w:pPr>
      <w:r w:rsidRPr="003A20E4">
        <w:rPr>
          <w:rFonts w:ascii="Arial" w:eastAsia="Arial" w:hAnsi="Arial" w:cs="Arial"/>
          <w:vertAlign w:val="superscript"/>
          <w:lang w:val="en-US"/>
        </w:rPr>
        <w:t>4</w:t>
      </w:r>
      <w:r w:rsidRPr="003A20E4">
        <w:rPr>
          <w:rFonts w:ascii="Arial" w:eastAsia="Arial" w:hAnsi="Arial" w:cs="Arial"/>
          <w:lang w:val="en-US"/>
        </w:rPr>
        <w:t>German Centre for Cardiovascular Research (DZHK), Partner Site Berlin, Berlin, Germany</w:t>
      </w:r>
    </w:p>
    <w:p w14:paraId="56800C37" w14:textId="77777777" w:rsidR="006E4703" w:rsidRDefault="006E4703" w:rsidP="006E4703">
      <w:pPr>
        <w:suppressLineNumbers/>
        <w:jc w:val="both"/>
        <w:rPr>
          <w:rFonts w:ascii="Arial" w:eastAsia="Arial" w:hAnsi="Arial" w:cs="Arial"/>
          <w:lang w:val="en-US"/>
        </w:rPr>
      </w:pPr>
      <w:r w:rsidRPr="003A20E4">
        <w:rPr>
          <w:rFonts w:ascii="Arial" w:eastAsia="Arial" w:hAnsi="Arial" w:cs="Arial"/>
          <w:vertAlign w:val="superscript"/>
          <w:lang w:val="en-US"/>
        </w:rPr>
        <w:t>5</w:t>
      </w:r>
      <w:r w:rsidRPr="003A20E4">
        <w:rPr>
          <w:rFonts w:ascii="Arial" w:eastAsia="Arial" w:hAnsi="Arial" w:cs="Arial"/>
          <w:lang w:val="en-US"/>
        </w:rPr>
        <w:t>Berlin Institute of Health (BIH) at Charité, BIH Metabolomics Platform, Berlin, Germany</w:t>
      </w:r>
    </w:p>
    <w:p w14:paraId="0961715A" w14:textId="77777777" w:rsidR="006E4703" w:rsidRPr="00E24924" w:rsidRDefault="006E4703" w:rsidP="006E4703">
      <w:pPr>
        <w:suppressLineNumbers/>
        <w:jc w:val="both"/>
        <w:rPr>
          <w:rFonts w:ascii="Arial" w:eastAsia="Arial" w:hAnsi="Arial" w:cs="Arial"/>
          <w:lang w:val="en-US"/>
        </w:rPr>
      </w:pPr>
      <w:r w:rsidRPr="00E24924">
        <w:rPr>
          <w:rFonts w:ascii="Arial" w:eastAsia="Arial" w:hAnsi="Arial" w:cs="Arial"/>
          <w:vertAlign w:val="superscript"/>
          <w:lang w:val="en-US"/>
        </w:rPr>
        <w:t>6</w:t>
      </w:r>
      <w:r w:rsidRPr="00E24924">
        <w:rPr>
          <w:rFonts w:ascii="Arial" w:eastAsia="Arial" w:hAnsi="Arial" w:cs="Arial"/>
          <w:lang w:val="en-US"/>
        </w:rPr>
        <w:t>Institute for Immunology at Charité Berlin, Berlin, Germany</w:t>
      </w:r>
    </w:p>
    <w:p w14:paraId="7A46353A" w14:textId="77777777" w:rsidR="006E4703" w:rsidRDefault="006E4703" w:rsidP="006E4703">
      <w:pPr>
        <w:suppressLineNumbers/>
        <w:jc w:val="both"/>
        <w:rPr>
          <w:rFonts w:ascii="Arial" w:eastAsia="Arial" w:hAnsi="Arial" w:cs="Arial"/>
          <w:lang w:val="en-US"/>
        </w:rPr>
      </w:pPr>
      <w:r w:rsidRPr="00F56FFD">
        <w:rPr>
          <w:rFonts w:ascii="Arial" w:eastAsia="Arial" w:hAnsi="Arial" w:cs="Arial"/>
          <w:vertAlign w:val="superscript"/>
          <w:lang w:val="en-US"/>
        </w:rPr>
        <w:t>7</w:t>
      </w:r>
      <w:r w:rsidRPr="00F56FFD">
        <w:rPr>
          <w:rFonts w:ascii="Arial" w:eastAsia="Arial" w:hAnsi="Arial" w:cs="Arial"/>
          <w:lang w:val="en-US"/>
        </w:rPr>
        <w:t>European Molecular Biology Laboratory, Heidelberg, Germany</w:t>
      </w:r>
    </w:p>
    <w:p w14:paraId="76043D53" w14:textId="28F73EA6" w:rsidR="00DA3BE5" w:rsidRPr="00F56FFD" w:rsidRDefault="00DA3BE5" w:rsidP="006E4703">
      <w:pPr>
        <w:suppressLineNumbers/>
        <w:jc w:val="both"/>
        <w:rPr>
          <w:rFonts w:ascii="Arial" w:eastAsia="Arial" w:hAnsi="Arial" w:cs="Arial"/>
          <w:lang w:val="en-US"/>
        </w:rPr>
      </w:pPr>
      <w:r w:rsidRPr="00247304">
        <w:rPr>
          <w:rFonts w:ascii="Arial" w:eastAsia="Arial" w:hAnsi="Arial" w:cs="Arial"/>
          <w:vertAlign w:val="superscript"/>
          <w:lang w:val="en-US"/>
        </w:rPr>
        <w:t>8</w:t>
      </w:r>
      <w:r>
        <w:rPr>
          <w:rFonts w:ascii="Arial" w:eastAsia="Arial" w:hAnsi="Arial" w:cs="Arial"/>
          <w:lang w:val="en-US"/>
        </w:rPr>
        <w:t xml:space="preserve">Current address: </w:t>
      </w:r>
      <w:r w:rsidRPr="00247304">
        <w:rPr>
          <w:rFonts w:ascii="Arial" w:eastAsia="Arial" w:hAnsi="Arial" w:cs="Arial"/>
          <w:lang w:val="en-US"/>
        </w:rPr>
        <w:t>Metabolomics, University of Veterinary Medicine Vienna, Vienna, Austria</w:t>
      </w:r>
    </w:p>
    <w:p w14:paraId="6ACA7883" w14:textId="77777777" w:rsidR="00B2798C" w:rsidRDefault="00B2798C" w:rsidP="00B2798C">
      <w:pPr>
        <w:suppressLineNumbers/>
        <w:jc w:val="both"/>
        <w:rPr>
          <w:rFonts w:ascii="Arial" w:eastAsia="Arial" w:hAnsi="Arial" w:cs="Arial"/>
          <w:lang w:val="en-GB"/>
        </w:rPr>
      </w:pPr>
    </w:p>
    <w:p w14:paraId="270C2EA2" w14:textId="20CFE440" w:rsidR="00B2798C" w:rsidRPr="00282812" w:rsidRDefault="00282812" w:rsidP="00282812">
      <w:pPr>
        <w:suppressLineNumbers/>
        <w:jc w:val="both"/>
        <w:rPr>
          <w:rFonts w:ascii="Arial" w:eastAsia="Arial" w:hAnsi="Arial" w:cs="Arial"/>
          <w:lang w:val="en-US"/>
        </w:rPr>
      </w:pPr>
      <w:r w:rsidRPr="00282812">
        <w:rPr>
          <w:rFonts w:ascii="Arial" w:eastAsia="Arial" w:hAnsi="Arial" w:cs="Arial"/>
          <w:lang w:val="en-GB"/>
        </w:rPr>
        <w:t>*</w:t>
      </w:r>
      <w:r>
        <w:rPr>
          <w:rFonts w:ascii="Arial" w:eastAsia="Arial" w:hAnsi="Arial" w:cs="Arial"/>
          <w:lang w:val="en-GB"/>
        </w:rPr>
        <w:t xml:space="preserve"> </w:t>
      </w:r>
      <w:r w:rsidR="00DE166E" w:rsidRPr="00282812">
        <w:rPr>
          <w:rFonts w:ascii="Arial" w:eastAsia="Arial" w:hAnsi="Arial" w:cs="Arial"/>
          <w:lang w:val="en-GB"/>
        </w:rPr>
        <w:t xml:space="preserve">Corresponding author: </w:t>
      </w:r>
      <w:r w:rsidR="00FE1784" w:rsidRPr="00282812">
        <w:rPr>
          <w:rFonts w:ascii="Arial" w:eastAsia="Arial" w:hAnsi="Arial" w:cs="Arial"/>
          <w:lang w:val="en-US"/>
        </w:rPr>
        <w:t>friederike.gutmann@</w:t>
      </w:r>
      <w:r w:rsidR="00690789">
        <w:rPr>
          <w:rFonts w:ascii="Arial" w:eastAsia="Arial" w:hAnsi="Arial" w:cs="Arial"/>
          <w:lang w:val="en-US"/>
        </w:rPr>
        <w:t>mdc-berlin</w:t>
      </w:r>
      <w:r w:rsidR="00FE1784" w:rsidRPr="00282812">
        <w:rPr>
          <w:rFonts w:ascii="Arial" w:eastAsia="Arial" w:hAnsi="Arial" w:cs="Arial"/>
          <w:lang w:val="en-US"/>
        </w:rPr>
        <w:t>.de</w:t>
      </w:r>
    </w:p>
    <w:p w14:paraId="4C157E1A" w14:textId="77777777" w:rsidR="00FE1784" w:rsidRDefault="00FE1784" w:rsidP="007C55C0">
      <w:pPr>
        <w:suppressLineNumbers/>
        <w:jc w:val="both"/>
        <w:rPr>
          <w:rFonts w:ascii="Arial" w:eastAsia="Arial" w:hAnsi="Arial" w:cs="Arial"/>
          <w:lang w:val="en-GB"/>
        </w:rPr>
      </w:pPr>
    </w:p>
    <w:p w14:paraId="067C26FD" w14:textId="07968418" w:rsidR="00FE1784" w:rsidRPr="00073C61" w:rsidRDefault="00FE1784" w:rsidP="00FE1784">
      <w:pPr>
        <w:suppressLineNumbers/>
        <w:jc w:val="both"/>
        <w:rPr>
          <w:rFonts w:ascii="Arial" w:eastAsia="Arial" w:hAnsi="Arial" w:cs="Arial"/>
          <w:lang w:val="en-GB" w:eastAsia="en-US"/>
        </w:rPr>
      </w:pPr>
      <w:r>
        <w:rPr>
          <w:rFonts w:ascii="Arial" w:eastAsia="Arial" w:hAnsi="Arial" w:cs="Arial"/>
          <w:lang w:val="en-GB"/>
        </w:rPr>
        <w:t>**</w:t>
      </w:r>
      <w:r w:rsidR="00282812">
        <w:rPr>
          <w:rFonts w:ascii="Arial" w:eastAsia="Arial" w:hAnsi="Arial" w:cs="Arial"/>
          <w:lang w:val="en-GB"/>
        </w:rPr>
        <w:t xml:space="preserve"> </w:t>
      </w:r>
      <w:r>
        <w:rPr>
          <w:rFonts w:ascii="Arial" w:eastAsia="Arial" w:hAnsi="Arial" w:cs="Arial"/>
          <w:lang w:val="en-GB"/>
        </w:rPr>
        <w:t>Co-</w:t>
      </w:r>
      <w:r w:rsidRPr="00073C61">
        <w:rPr>
          <w:rFonts w:ascii="Arial" w:eastAsia="Arial" w:hAnsi="Arial" w:cs="Arial"/>
          <w:lang w:val="en-GB" w:eastAsia="en-US"/>
        </w:rPr>
        <w:t>senior authorship</w:t>
      </w:r>
    </w:p>
    <w:p w14:paraId="6C5C641B" w14:textId="1965C9CE" w:rsidR="004C5575" w:rsidRDefault="004C5575" w:rsidP="00B2798C">
      <w:pPr>
        <w:spacing w:after="200"/>
        <w:jc w:val="both"/>
        <w:rPr>
          <w:rFonts w:ascii="Arial" w:hAnsi="Arial" w:cs="Arial"/>
          <w:sz w:val="22"/>
          <w:szCs w:val="22"/>
          <w:lang w:val="en-GB"/>
        </w:rPr>
      </w:pPr>
    </w:p>
    <w:p w14:paraId="509258C0" w14:textId="19639B57" w:rsidR="00FC69E0" w:rsidRDefault="00FC69E0">
      <w:pPr>
        <w:rPr>
          <w:rFonts w:ascii="Arial" w:hAnsi="Arial" w:cs="Arial"/>
          <w:sz w:val="22"/>
          <w:szCs w:val="22"/>
          <w:lang w:val="en-GB"/>
        </w:rPr>
      </w:pPr>
      <w:r>
        <w:rPr>
          <w:rFonts w:ascii="Arial" w:hAnsi="Arial" w:cs="Arial"/>
          <w:sz w:val="22"/>
          <w:szCs w:val="22"/>
          <w:lang w:val="en-GB"/>
        </w:rPr>
        <w:br w:type="page"/>
      </w:r>
    </w:p>
    <w:p w14:paraId="6D2EDF52" w14:textId="46230C00" w:rsidR="00FC69E0" w:rsidRDefault="00FC69E0" w:rsidP="00B2798C">
      <w:pPr>
        <w:spacing w:after="200"/>
        <w:jc w:val="both"/>
        <w:rPr>
          <w:sz w:val="20"/>
          <w:szCs w:val="20"/>
          <w:lang w:val="en-US"/>
        </w:rPr>
      </w:pPr>
      <w:r>
        <w:rPr>
          <w:rFonts w:ascii="Arial" w:hAnsi="Arial" w:cs="Arial"/>
          <w:b/>
          <w:bCs/>
          <w:sz w:val="20"/>
          <w:szCs w:val="20"/>
          <w:lang w:val="en-US"/>
        </w:rPr>
        <w:lastRenderedPageBreak/>
        <w:t>Supplementary Table</w:t>
      </w:r>
      <w:r w:rsidRPr="00E7470E">
        <w:rPr>
          <w:rFonts w:ascii="Arial" w:hAnsi="Arial" w:cs="Arial"/>
          <w:b/>
          <w:bCs/>
          <w:sz w:val="20"/>
          <w:szCs w:val="20"/>
          <w:lang w:val="en-US"/>
        </w:rPr>
        <w:t xml:space="preserve"> 1</w:t>
      </w:r>
      <w:r w:rsidRPr="00E7470E">
        <w:rPr>
          <w:rFonts w:ascii="Arial" w:hAnsi="Arial" w:cs="Arial"/>
          <w:sz w:val="20"/>
          <w:szCs w:val="20"/>
          <w:lang w:val="en-US"/>
        </w:rPr>
        <w:t>.</w:t>
      </w:r>
      <w:r w:rsidRPr="00586D85">
        <w:rPr>
          <w:sz w:val="20"/>
          <w:szCs w:val="20"/>
          <w:lang w:val="en-US"/>
        </w:rPr>
        <w:t xml:space="preserve"> </w:t>
      </w:r>
      <w:r w:rsidR="00E04110" w:rsidRPr="00E04110">
        <w:rPr>
          <w:sz w:val="20"/>
          <w:szCs w:val="20"/>
          <w:lang w:val="en-US"/>
        </w:rPr>
        <w:t>Baseline characteristics of the NAMS intention-to-treat population</w:t>
      </w:r>
      <w:r w:rsidR="009C481D">
        <w:rPr>
          <w:sz w:val="20"/>
          <w:szCs w:val="20"/>
          <w:lang w:val="en-US"/>
        </w:rPr>
        <w:t xml:space="preserve"> [1]</w:t>
      </w:r>
      <w:r>
        <w:rPr>
          <w:sz w:val="20"/>
          <w:szCs w:val="20"/>
          <w:lang w:val="en-US"/>
        </w:rPr>
        <w:t>.</w:t>
      </w:r>
    </w:p>
    <w:tbl>
      <w:tblPr>
        <w:tblW w:w="9038" w:type="dxa"/>
        <w:tblCellMar>
          <w:left w:w="0" w:type="dxa"/>
          <w:right w:w="0" w:type="dxa"/>
        </w:tblCellMar>
        <w:tblLook w:val="04A0" w:firstRow="1" w:lastRow="0" w:firstColumn="1" w:lastColumn="0" w:noHBand="0" w:noVBand="1"/>
      </w:tblPr>
      <w:tblGrid>
        <w:gridCol w:w="4482"/>
        <w:gridCol w:w="1154"/>
        <w:gridCol w:w="1134"/>
        <w:gridCol w:w="1134"/>
        <w:gridCol w:w="1134"/>
      </w:tblGrid>
      <w:tr w:rsidR="00A71819" w14:paraId="5BE41D83" w14:textId="77777777" w:rsidTr="00244E85">
        <w:trPr>
          <w:trHeight w:val="165"/>
        </w:trPr>
        <w:tc>
          <w:tcPr>
            <w:tcW w:w="448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2CD7E7A" w14:textId="77777777"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Characteristic</w:t>
            </w:r>
          </w:p>
        </w:tc>
        <w:tc>
          <w:tcPr>
            <w:tcW w:w="115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079F3C6" w14:textId="77777777" w:rsidR="00BE6DA6" w:rsidRPr="00BE6DA6" w:rsidRDefault="00BE6DA6" w:rsidP="00BE6DA6">
            <w:pPr>
              <w:spacing w:after="200"/>
              <w:jc w:val="both"/>
              <w:rPr>
                <w:rFonts w:ascii="Arial" w:hAnsi="Arial" w:cs="Arial"/>
                <w:b/>
                <w:bCs/>
                <w:sz w:val="20"/>
                <w:szCs w:val="20"/>
                <w:lang w:val="en-US"/>
              </w:rPr>
            </w:pPr>
            <w:r w:rsidRPr="00BE6DA6">
              <w:rPr>
                <w:rFonts w:ascii="Arial" w:hAnsi="Arial" w:cs="Arial"/>
                <w:b/>
                <w:bCs/>
                <w:sz w:val="20"/>
                <w:szCs w:val="20"/>
                <w:lang w:val="en-US"/>
              </w:rPr>
              <w:t>Total</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189CAAB" w14:textId="2DC0AB87" w:rsidR="00BE6DA6" w:rsidRPr="00BE6DA6" w:rsidRDefault="00566EBC" w:rsidP="00BE6DA6">
            <w:pPr>
              <w:spacing w:after="200"/>
              <w:jc w:val="both"/>
              <w:rPr>
                <w:rFonts w:ascii="Arial" w:hAnsi="Arial" w:cs="Arial"/>
                <w:b/>
                <w:bCs/>
                <w:sz w:val="20"/>
                <w:szCs w:val="20"/>
                <w:lang w:val="en-US"/>
              </w:rPr>
            </w:pPr>
            <w:r>
              <w:rPr>
                <w:rFonts w:ascii="Arial" w:hAnsi="Arial" w:cs="Arial"/>
                <w:b/>
                <w:bCs/>
                <w:sz w:val="20"/>
                <w:szCs w:val="20"/>
                <w:lang w:val="en-US"/>
              </w:rPr>
              <w:t>C</w:t>
            </w:r>
            <w:r w:rsidR="00BE6DA6" w:rsidRPr="00BE6DA6">
              <w:rPr>
                <w:rFonts w:ascii="Arial" w:hAnsi="Arial" w:cs="Arial"/>
                <w:b/>
                <w:bCs/>
                <w:sz w:val="20"/>
                <w:szCs w:val="20"/>
                <w:lang w:val="en-US"/>
              </w:rPr>
              <w:t>D</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E30F6DC" w14:textId="77777777" w:rsidR="00BE6DA6" w:rsidRPr="00BE6DA6" w:rsidRDefault="00BE6DA6" w:rsidP="00BE6DA6">
            <w:pPr>
              <w:spacing w:after="200"/>
              <w:jc w:val="both"/>
              <w:rPr>
                <w:rFonts w:ascii="Arial" w:hAnsi="Arial" w:cs="Arial"/>
                <w:b/>
                <w:bCs/>
                <w:sz w:val="20"/>
                <w:szCs w:val="20"/>
                <w:lang w:val="en-US"/>
              </w:rPr>
            </w:pPr>
            <w:r w:rsidRPr="00BE6DA6">
              <w:rPr>
                <w:rFonts w:ascii="Arial" w:hAnsi="Arial" w:cs="Arial"/>
                <w:b/>
                <w:bCs/>
                <w:sz w:val="20"/>
                <w:szCs w:val="20"/>
                <w:lang w:val="en-US"/>
              </w:rPr>
              <w:t>FD</w:t>
            </w:r>
          </w:p>
        </w:tc>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77B2FC3" w14:textId="77777777" w:rsidR="00BE6DA6" w:rsidRPr="00BE6DA6" w:rsidRDefault="00BE6DA6" w:rsidP="00BE6DA6">
            <w:pPr>
              <w:spacing w:after="200"/>
              <w:jc w:val="both"/>
              <w:rPr>
                <w:rFonts w:ascii="Arial" w:hAnsi="Arial" w:cs="Arial"/>
                <w:b/>
                <w:bCs/>
                <w:sz w:val="20"/>
                <w:szCs w:val="20"/>
                <w:lang w:val="en-US"/>
              </w:rPr>
            </w:pPr>
            <w:r w:rsidRPr="00BE6DA6">
              <w:rPr>
                <w:rFonts w:ascii="Arial" w:hAnsi="Arial" w:cs="Arial"/>
                <w:b/>
                <w:bCs/>
                <w:sz w:val="20"/>
                <w:szCs w:val="20"/>
                <w:lang w:val="en-US"/>
              </w:rPr>
              <w:t>KD</w:t>
            </w:r>
          </w:p>
        </w:tc>
      </w:tr>
      <w:tr w:rsidR="00A71819" w14:paraId="458EAF71" w14:textId="77777777" w:rsidTr="00244E85">
        <w:trPr>
          <w:trHeight w:val="195"/>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94D03FA" w14:textId="0B8F7DB2"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Number of participants</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E8268" w14:textId="77777777" w:rsidR="00BE6DA6" w:rsidRPr="00BE6DA6" w:rsidRDefault="00BE6DA6" w:rsidP="00A71819">
            <w:pPr>
              <w:spacing w:after="200"/>
              <w:rPr>
                <w:sz w:val="20"/>
                <w:szCs w:val="20"/>
                <w:lang w:val="en-US"/>
              </w:rPr>
            </w:pPr>
            <w:r w:rsidRPr="00BE6DA6">
              <w:rPr>
                <w:sz w:val="20"/>
                <w:szCs w:val="20"/>
                <w:lang w:val="en-US"/>
              </w:rPr>
              <w:t>105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FDC1E6" w14:textId="77777777" w:rsidR="00BE6DA6" w:rsidRPr="00BE6DA6" w:rsidRDefault="00BE6DA6" w:rsidP="00A71819">
            <w:pPr>
              <w:spacing w:after="200"/>
              <w:rPr>
                <w:sz w:val="20"/>
                <w:szCs w:val="20"/>
                <w:lang w:val="en-US"/>
              </w:rPr>
            </w:pPr>
            <w:r w:rsidRPr="00BE6DA6">
              <w:rPr>
                <w:sz w:val="20"/>
                <w:szCs w:val="20"/>
                <w:lang w:val="en-US"/>
              </w:rPr>
              <w:t>34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4609B" w14:textId="77777777" w:rsidR="00BE6DA6" w:rsidRPr="00BE6DA6" w:rsidRDefault="00BE6DA6" w:rsidP="00A71819">
            <w:pPr>
              <w:spacing w:after="200"/>
              <w:rPr>
                <w:sz w:val="20"/>
                <w:szCs w:val="20"/>
                <w:lang w:val="en-US"/>
              </w:rPr>
            </w:pPr>
            <w:r w:rsidRPr="00BE6DA6">
              <w:rPr>
                <w:sz w:val="20"/>
                <w:szCs w:val="20"/>
                <w:lang w:val="en-US"/>
              </w:rPr>
              <w:t>35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B0228" w14:textId="77777777" w:rsidR="00BE6DA6" w:rsidRPr="00BE6DA6" w:rsidRDefault="00BE6DA6" w:rsidP="00A71819">
            <w:pPr>
              <w:spacing w:after="200"/>
              <w:rPr>
                <w:sz w:val="20"/>
                <w:szCs w:val="20"/>
                <w:lang w:val="en-US"/>
              </w:rPr>
            </w:pPr>
            <w:r w:rsidRPr="00BE6DA6">
              <w:rPr>
                <w:sz w:val="20"/>
                <w:szCs w:val="20"/>
                <w:lang w:val="en-US"/>
              </w:rPr>
              <w:t>36</w:t>
            </w:r>
          </w:p>
        </w:tc>
      </w:tr>
      <w:tr w:rsidR="00A71819" w14:paraId="60E1025B" w14:textId="77777777" w:rsidTr="00244E85">
        <w:trPr>
          <w:trHeight w:val="202"/>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ED6615" w14:textId="35176681"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Age </w:t>
            </w:r>
            <w:r w:rsidR="00B81724">
              <w:rPr>
                <w:rFonts w:ascii="Arial" w:hAnsi="Arial" w:cs="Arial"/>
                <w:b/>
                <w:bCs/>
                <w:sz w:val="20"/>
                <w:szCs w:val="20"/>
                <w:lang w:val="en-US"/>
              </w:rPr>
              <w:t>[</w:t>
            </w:r>
            <w:r w:rsidRPr="00BE6DA6">
              <w:rPr>
                <w:rFonts w:ascii="Arial" w:hAnsi="Arial" w:cs="Arial"/>
                <w:b/>
                <w:bCs/>
                <w:sz w:val="20"/>
                <w:szCs w:val="20"/>
                <w:lang w:val="en-US"/>
              </w:rPr>
              <w:t>years</w:t>
            </w:r>
            <w:r w:rsidR="00B81724">
              <w:rPr>
                <w:rFonts w:ascii="Arial" w:hAnsi="Arial" w:cs="Arial"/>
                <w:b/>
                <w:bCs/>
                <w:sz w:val="20"/>
                <w:szCs w:val="20"/>
                <w:lang w:val="en-US"/>
              </w:rPr>
              <w:t>]</w:t>
            </w:r>
            <w:r w:rsidRPr="00BE6DA6">
              <w:rPr>
                <w:rFonts w:ascii="Arial" w:hAnsi="Arial" w:cs="Arial"/>
                <w:b/>
                <w:bCs/>
                <w:sz w:val="20"/>
                <w:szCs w:val="20"/>
                <w:lang w:val="en-US"/>
              </w:rPr>
              <w:t xml:space="preserve">, </w:t>
            </w:r>
            <w:r w:rsidR="00291529">
              <w:rPr>
                <w:rFonts w:ascii="Arial" w:hAnsi="Arial" w:cs="Arial"/>
                <w:b/>
                <w:bCs/>
                <w:sz w:val="20"/>
                <w:szCs w:val="20"/>
                <w:lang w:val="en-US"/>
              </w:rPr>
              <w:t>m</w:t>
            </w:r>
            <w:r w:rsidRPr="00BE6DA6">
              <w:rPr>
                <w:rFonts w:ascii="Arial" w:hAnsi="Arial" w:cs="Arial"/>
                <w:b/>
                <w:bCs/>
                <w:sz w:val="20"/>
                <w:szCs w:val="20"/>
                <w:lang w:val="en-US"/>
              </w:rPr>
              <w:t>ean (</w:t>
            </w:r>
            <w:proofErr w:type="spellStart"/>
            <w:r w:rsidRPr="00BE6DA6">
              <w:rPr>
                <w:rFonts w:ascii="Arial" w:hAnsi="Arial" w:cs="Arial"/>
                <w:b/>
                <w:bCs/>
                <w:sz w:val="20"/>
                <w:szCs w:val="20"/>
                <w:lang w:val="en-US"/>
              </w:rPr>
              <w:t>StD</w:t>
            </w:r>
            <w:proofErr w:type="spellEnd"/>
            <w:r w:rsidRPr="00BE6DA6">
              <w:rPr>
                <w:rFonts w:ascii="Arial" w:hAnsi="Arial" w:cs="Arial"/>
                <w:b/>
                <w:bCs/>
                <w:sz w:val="20"/>
                <w:szCs w:val="20"/>
                <w:lang w:val="en-US"/>
              </w:rPr>
              <w:t>)</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71F9E9" w14:textId="77777777" w:rsidR="00BE6DA6" w:rsidRPr="00BE6DA6" w:rsidRDefault="00BE6DA6" w:rsidP="00A71819">
            <w:pPr>
              <w:spacing w:after="200"/>
              <w:rPr>
                <w:sz w:val="20"/>
                <w:szCs w:val="20"/>
                <w:lang w:val="en-US"/>
              </w:rPr>
            </w:pPr>
            <w:r w:rsidRPr="00BE6DA6">
              <w:rPr>
                <w:sz w:val="20"/>
                <w:szCs w:val="20"/>
                <w:lang w:val="en-US"/>
              </w:rPr>
              <w:t>42 (9)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D4806" w14:textId="77777777" w:rsidR="00BE6DA6" w:rsidRPr="00BE6DA6" w:rsidRDefault="00BE6DA6" w:rsidP="00A71819">
            <w:pPr>
              <w:spacing w:after="200"/>
              <w:rPr>
                <w:sz w:val="20"/>
                <w:szCs w:val="20"/>
                <w:lang w:val="en-US"/>
              </w:rPr>
            </w:pPr>
            <w:r w:rsidRPr="00BE6DA6">
              <w:rPr>
                <w:sz w:val="20"/>
                <w:szCs w:val="20"/>
                <w:lang w:val="en-US"/>
              </w:rPr>
              <w:t>43 (10)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0C2A1" w14:textId="77777777" w:rsidR="00BE6DA6" w:rsidRPr="00BE6DA6" w:rsidRDefault="00BE6DA6" w:rsidP="00A71819">
            <w:pPr>
              <w:spacing w:after="200"/>
              <w:rPr>
                <w:sz w:val="20"/>
                <w:szCs w:val="20"/>
                <w:lang w:val="en-US"/>
              </w:rPr>
            </w:pPr>
            <w:r w:rsidRPr="00BE6DA6">
              <w:rPr>
                <w:sz w:val="20"/>
                <w:szCs w:val="20"/>
                <w:lang w:val="en-US"/>
              </w:rPr>
              <w:t>41 (9)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077A05" w14:textId="77777777" w:rsidR="00BE6DA6" w:rsidRPr="00BE6DA6" w:rsidRDefault="00BE6DA6" w:rsidP="00A71819">
            <w:pPr>
              <w:spacing w:after="200"/>
              <w:rPr>
                <w:sz w:val="20"/>
                <w:szCs w:val="20"/>
                <w:lang w:val="en-US"/>
              </w:rPr>
            </w:pPr>
            <w:r w:rsidRPr="00BE6DA6">
              <w:rPr>
                <w:sz w:val="20"/>
                <w:szCs w:val="20"/>
                <w:lang w:val="en-US"/>
              </w:rPr>
              <w:t>41 (10)</w:t>
            </w:r>
          </w:p>
        </w:tc>
      </w:tr>
      <w:tr w:rsidR="00A71819" w14:paraId="5D1FBA31" w14:textId="77777777" w:rsidTr="00244E85">
        <w:trPr>
          <w:trHeight w:val="338"/>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245685" w14:textId="3180669F"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Ethnicity </w:t>
            </w:r>
            <w:r w:rsidR="00B81724">
              <w:rPr>
                <w:rFonts w:ascii="Arial" w:hAnsi="Arial" w:cs="Arial"/>
                <w:b/>
                <w:bCs/>
                <w:sz w:val="20"/>
                <w:szCs w:val="20"/>
                <w:lang w:val="en-US"/>
              </w:rPr>
              <w:t>[</w:t>
            </w:r>
            <w:r w:rsidRPr="00BE6DA6">
              <w:rPr>
                <w:rFonts w:ascii="Arial" w:hAnsi="Arial" w:cs="Arial"/>
                <w:b/>
                <w:bCs/>
                <w:sz w:val="20"/>
                <w:szCs w:val="20"/>
                <w:lang w:val="en-US"/>
              </w:rPr>
              <w:t>Caucasian</w:t>
            </w:r>
            <w:r w:rsidR="00B81724">
              <w:rPr>
                <w:rFonts w:ascii="Arial" w:hAnsi="Arial" w:cs="Arial"/>
                <w:b/>
                <w:bCs/>
                <w:sz w:val="20"/>
                <w:szCs w:val="20"/>
                <w:lang w:val="en-US"/>
              </w:rPr>
              <w:t>]</w:t>
            </w:r>
            <w:r w:rsidRPr="00BE6DA6">
              <w:rPr>
                <w:rFonts w:ascii="Arial" w:hAnsi="Arial" w:cs="Arial"/>
                <w:b/>
                <w:bCs/>
                <w:sz w:val="20"/>
                <w:szCs w:val="20"/>
                <w:lang w:val="en-US"/>
              </w:rPr>
              <w:t xml:space="preserve">, n </w:t>
            </w:r>
            <w:r w:rsidR="00B81724">
              <w:rPr>
                <w:rFonts w:ascii="Arial" w:hAnsi="Arial" w:cs="Arial"/>
                <w:b/>
                <w:bCs/>
                <w:sz w:val="20"/>
                <w:szCs w:val="20"/>
                <w:lang w:val="en-US"/>
              </w:rPr>
              <w:t>(</w:t>
            </w:r>
            <w:r w:rsidRPr="00BE6DA6">
              <w:rPr>
                <w:rFonts w:ascii="Arial" w:hAnsi="Arial" w:cs="Arial"/>
                <w:b/>
                <w:bCs/>
                <w:sz w:val="20"/>
                <w:szCs w:val="20"/>
                <w:lang w:val="en-US"/>
              </w:rPr>
              <w:t>%)</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7F0A7" w14:textId="77777777" w:rsidR="00BE6DA6" w:rsidRPr="00BE6DA6" w:rsidRDefault="00BE6DA6" w:rsidP="00A71819">
            <w:pPr>
              <w:spacing w:after="200"/>
              <w:rPr>
                <w:sz w:val="20"/>
                <w:szCs w:val="20"/>
                <w:lang w:val="en-US"/>
              </w:rPr>
            </w:pPr>
            <w:r w:rsidRPr="00BE6DA6">
              <w:rPr>
                <w:sz w:val="20"/>
                <w:szCs w:val="20"/>
                <w:lang w:val="en-US"/>
              </w:rPr>
              <w:t>100 (95)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780351" w14:textId="77777777" w:rsidR="00BE6DA6" w:rsidRPr="00BE6DA6" w:rsidRDefault="00BE6DA6" w:rsidP="00A71819">
            <w:pPr>
              <w:spacing w:after="200"/>
              <w:rPr>
                <w:sz w:val="20"/>
                <w:szCs w:val="20"/>
                <w:lang w:val="en-US"/>
              </w:rPr>
            </w:pPr>
            <w:r w:rsidRPr="00BE6DA6">
              <w:rPr>
                <w:sz w:val="20"/>
                <w:szCs w:val="20"/>
                <w:lang w:val="en-US"/>
              </w:rPr>
              <w:t>34 (100)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2433AA" w14:textId="77777777" w:rsidR="00BE6DA6" w:rsidRPr="00BE6DA6" w:rsidRDefault="00BE6DA6" w:rsidP="00A71819">
            <w:pPr>
              <w:spacing w:after="200"/>
              <w:rPr>
                <w:sz w:val="20"/>
                <w:szCs w:val="20"/>
                <w:lang w:val="en-US"/>
              </w:rPr>
            </w:pPr>
            <w:r w:rsidRPr="00BE6DA6">
              <w:rPr>
                <w:sz w:val="20"/>
                <w:szCs w:val="20"/>
                <w:lang w:val="en-US"/>
              </w:rPr>
              <w:t>34 (97)</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DEB056" w14:textId="77777777" w:rsidR="00BE6DA6" w:rsidRPr="00BE6DA6" w:rsidRDefault="00BE6DA6" w:rsidP="00A71819">
            <w:pPr>
              <w:spacing w:after="200"/>
              <w:rPr>
                <w:sz w:val="20"/>
                <w:szCs w:val="20"/>
                <w:lang w:val="en-US"/>
              </w:rPr>
            </w:pPr>
            <w:r w:rsidRPr="00BE6DA6">
              <w:rPr>
                <w:sz w:val="20"/>
                <w:szCs w:val="20"/>
                <w:lang w:val="en-US"/>
              </w:rPr>
              <w:t>32 (89)</w:t>
            </w:r>
          </w:p>
        </w:tc>
      </w:tr>
      <w:tr w:rsidR="00A71819" w14:paraId="4BA45A53" w14:textId="77777777" w:rsidTr="00244E85">
        <w:trPr>
          <w:trHeight w:val="165"/>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36D9AC" w14:textId="67A9E7CB"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Gender </w:t>
            </w:r>
            <w:r w:rsidR="001C7773">
              <w:rPr>
                <w:rFonts w:ascii="Arial" w:hAnsi="Arial" w:cs="Arial"/>
                <w:b/>
                <w:bCs/>
                <w:sz w:val="20"/>
                <w:szCs w:val="20"/>
                <w:lang w:val="en-US"/>
              </w:rPr>
              <w:t>[</w:t>
            </w:r>
            <w:r w:rsidRPr="00BE6DA6">
              <w:rPr>
                <w:rFonts w:ascii="Arial" w:hAnsi="Arial" w:cs="Arial"/>
                <w:b/>
                <w:bCs/>
                <w:sz w:val="20"/>
                <w:szCs w:val="20"/>
                <w:lang w:val="en-US"/>
              </w:rPr>
              <w:t>female</w:t>
            </w:r>
            <w:r w:rsidR="001C7773">
              <w:rPr>
                <w:rFonts w:ascii="Arial" w:hAnsi="Arial" w:cs="Arial"/>
                <w:b/>
                <w:bCs/>
                <w:sz w:val="20"/>
                <w:szCs w:val="20"/>
                <w:lang w:val="en-US"/>
              </w:rPr>
              <w:t>]</w:t>
            </w:r>
            <w:r w:rsidRPr="00BE6DA6">
              <w:rPr>
                <w:rFonts w:ascii="Arial" w:hAnsi="Arial" w:cs="Arial"/>
                <w:b/>
                <w:bCs/>
                <w:sz w:val="20"/>
                <w:szCs w:val="20"/>
                <w:lang w:val="en-US"/>
              </w:rPr>
              <w:t>, n (%)</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9563A" w14:textId="77777777" w:rsidR="00BE6DA6" w:rsidRPr="00BE6DA6" w:rsidRDefault="00BE6DA6" w:rsidP="00A71819">
            <w:pPr>
              <w:spacing w:after="200"/>
              <w:rPr>
                <w:sz w:val="20"/>
                <w:szCs w:val="20"/>
                <w:lang w:val="en-US"/>
              </w:rPr>
            </w:pPr>
            <w:r w:rsidRPr="00BE6DA6">
              <w:rPr>
                <w:sz w:val="20"/>
                <w:szCs w:val="20"/>
                <w:lang w:val="en-US"/>
              </w:rPr>
              <w:t>88 (84)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DD87E" w14:textId="77777777" w:rsidR="00BE6DA6" w:rsidRPr="00BE6DA6" w:rsidRDefault="00BE6DA6" w:rsidP="00A71819">
            <w:pPr>
              <w:spacing w:after="200"/>
              <w:rPr>
                <w:sz w:val="20"/>
                <w:szCs w:val="20"/>
                <w:lang w:val="en-US"/>
              </w:rPr>
            </w:pPr>
            <w:r w:rsidRPr="00BE6DA6">
              <w:rPr>
                <w:sz w:val="20"/>
                <w:szCs w:val="20"/>
                <w:lang w:val="en-US"/>
              </w:rPr>
              <w:t>29 (85)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7496B" w14:textId="77777777" w:rsidR="00BE6DA6" w:rsidRPr="00BE6DA6" w:rsidRDefault="00BE6DA6" w:rsidP="00A71819">
            <w:pPr>
              <w:spacing w:after="200"/>
              <w:rPr>
                <w:sz w:val="20"/>
                <w:szCs w:val="20"/>
                <w:lang w:val="en-US"/>
              </w:rPr>
            </w:pPr>
            <w:r w:rsidRPr="00BE6DA6">
              <w:rPr>
                <w:sz w:val="20"/>
                <w:szCs w:val="20"/>
                <w:lang w:val="en-US"/>
              </w:rPr>
              <w:t>28 (80)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F85A13" w14:textId="77777777" w:rsidR="00BE6DA6" w:rsidRPr="00BE6DA6" w:rsidRDefault="00BE6DA6" w:rsidP="00A71819">
            <w:pPr>
              <w:spacing w:after="200"/>
              <w:rPr>
                <w:sz w:val="20"/>
                <w:szCs w:val="20"/>
                <w:lang w:val="en-US"/>
              </w:rPr>
            </w:pPr>
            <w:r w:rsidRPr="00BE6DA6">
              <w:rPr>
                <w:sz w:val="20"/>
                <w:szCs w:val="20"/>
                <w:lang w:val="en-US"/>
              </w:rPr>
              <w:t>31 (86)</w:t>
            </w:r>
          </w:p>
        </w:tc>
      </w:tr>
      <w:tr w:rsidR="00A71819" w14:paraId="11C589BD" w14:textId="77777777" w:rsidTr="00244E85">
        <w:trPr>
          <w:trHeight w:val="354"/>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2A10AB" w14:textId="09046F0E"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Disease duration since manifestation </w:t>
            </w:r>
            <w:r w:rsidR="00B81724">
              <w:rPr>
                <w:rFonts w:ascii="Arial" w:hAnsi="Arial" w:cs="Arial"/>
                <w:b/>
                <w:bCs/>
                <w:sz w:val="20"/>
                <w:szCs w:val="20"/>
                <w:lang w:val="en-US"/>
              </w:rPr>
              <w:t>[</w:t>
            </w:r>
            <w:r w:rsidRPr="00BE6DA6">
              <w:rPr>
                <w:rFonts w:ascii="Arial" w:hAnsi="Arial" w:cs="Arial"/>
                <w:b/>
                <w:bCs/>
                <w:sz w:val="20"/>
                <w:szCs w:val="20"/>
                <w:lang w:val="en-US"/>
              </w:rPr>
              <w:t>y</w:t>
            </w:r>
            <w:r w:rsidR="00B81724">
              <w:rPr>
                <w:rFonts w:ascii="Arial" w:hAnsi="Arial" w:cs="Arial"/>
                <w:b/>
                <w:bCs/>
                <w:sz w:val="20"/>
                <w:szCs w:val="20"/>
                <w:lang w:val="en-US"/>
              </w:rPr>
              <w:t>ears]</w:t>
            </w:r>
            <w:r w:rsidRPr="00BE6DA6">
              <w:rPr>
                <w:rFonts w:ascii="Arial" w:hAnsi="Arial" w:cs="Arial"/>
                <w:b/>
                <w:bCs/>
                <w:sz w:val="20"/>
                <w:szCs w:val="20"/>
                <w:lang w:val="en-US"/>
              </w:rPr>
              <w:t xml:space="preserv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E6D41" w14:textId="77777777" w:rsidR="00BE6DA6" w:rsidRPr="00BE6DA6" w:rsidRDefault="00BE6DA6" w:rsidP="00A71819">
            <w:pPr>
              <w:spacing w:after="200"/>
              <w:rPr>
                <w:sz w:val="20"/>
                <w:szCs w:val="20"/>
                <w:lang w:val="en-US"/>
              </w:rPr>
            </w:pPr>
            <w:r w:rsidRPr="00BE6DA6">
              <w:rPr>
                <w:sz w:val="20"/>
                <w:szCs w:val="20"/>
                <w:lang w:val="en-US"/>
              </w:rPr>
              <w:t>8.0 (13.8–2.4)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421746" w14:textId="77777777" w:rsidR="00BE6DA6" w:rsidRPr="00BE6DA6" w:rsidRDefault="00BE6DA6" w:rsidP="00A71819">
            <w:pPr>
              <w:spacing w:after="200"/>
              <w:rPr>
                <w:sz w:val="20"/>
                <w:szCs w:val="20"/>
                <w:lang w:val="en-US"/>
              </w:rPr>
            </w:pPr>
            <w:r w:rsidRPr="00BE6DA6">
              <w:rPr>
                <w:sz w:val="20"/>
                <w:szCs w:val="20"/>
                <w:lang w:val="en-US"/>
              </w:rPr>
              <w:t>5.0 (13.0–2.1)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83CF44" w14:textId="77777777" w:rsidR="00BE6DA6" w:rsidRPr="00BE6DA6" w:rsidRDefault="00BE6DA6" w:rsidP="00A71819">
            <w:pPr>
              <w:spacing w:after="200"/>
              <w:rPr>
                <w:sz w:val="20"/>
                <w:szCs w:val="20"/>
                <w:lang w:val="en-US"/>
              </w:rPr>
            </w:pPr>
            <w:r w:rsidRPr="00BE6DA6">
              <w:rPr>
                <w:sz w:val="20"/>
                <w:szCs w:val="20"/>
                <w:lang w:val="en-US"/>
              </w:rPr>
              <w:t>8.9 (13.6–3.8)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340B0" w14:textId="77777777" w:rsidR="00BE6DA6" w:rsidRPr="00BE6DA6" w:rsidRDefault="00BE6DA6" w:rsidP="00A71819">
            <w:pPr>
              <w:spacing w:after="200"/>
              <w:rPr>
                <w:sz w:val="20"/>
                <w:szCs w:val="20"/>
                <w:lang w:val="en-US"/>
              </w:rPr>
            </w:pPr>
            <w:r w:rsidRPr="00BE6DA6">
              <w:rPr>
                <w:sz w:val="20"/>
                <w:szCs w:val="20"/>
                <w:lang w:val="en-US"/>
              </w:rPr>
              <w:t>8.6 (16.1–3.0)</w:t>
            </w:r>
          </w:p>
        </w:tc>
      </w:tr>
      <w:tr w:rsidR="00A71819" w14:paraId="1BB47D95" w14:textId="77777777" w:rsidTr="00244E85">
        <w:trPr>
          <w:trHeight w:val="266"/>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241DD6B" w14:textId="11660C5F"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Disease duration since diagnosis </w:t>
            </w:r>
            <w:r w:rsidR="00B81724">
              <w:rPr>
                <w:rFonts w:ascii="Arial" w:hAnsi="Arial" w:cs="Arial"/>
                <w:b/>
                <w:bCs/>
                <w:sz w:val="20"/>
                <w:szCs w:val="20"/>
                <w:lang w:val="en-US"/>
              </w:rPr>
              <w:t>[years]</w:t>
            </w:r>
            <w:r w:rsidRPr="00BE6DA6">
              <w:rPr>
                <w:rFonts w:ascii="Arial" w:hAnsi="Arial" w:cs="Arial"/>
                <w:b/>
                <w:bCs/>
                <w:sz w:val="20"/>
                <w:szCs w:val="20"/>
                <w:lang w:val="en-US"/>
              </w:rPr>
              <w:t xml:space="preserv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D82FD6" w14:textId="77777777" w:rsidR="00BE6DA6" w:rsidRPr="00BE6DA6" w:rsidRDefault="00BE6DA6" w:rsidP="00A71819">
            <w:pPr>
              <w:spacing w:after="200"/>
              <w:rPr>
                <w:sz w:val="20"/>
                <w:szCs w:val="20"/>
                <w:lang w:val="en-US"/>
              </w:rPr>
            </w:pPr>
            <w:r w:rsidRPr="00BE6DA6">
              <w:rPr>
                <w:sz w:val="20"/>
                <w:szCs w:val="20"/>
                <w:lang w:val="en-US"/>
              </w:rPr>
              <w:t>3.6 (10.3–1.3)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AFCFAD" w14:textId="77777777" w:rsidR="00BE6DA6" w:rsidRPr="00BE6DA6" w:rsidRDefault="00BE6DA6" w:rsidP="00A71819">
            <w:pPr>
              <w:spacing w:after="200"/>
              <w:rPr>
                <w:sz w:val="20"/>
                <w:szCs w:val="20"/>
                <w:lang w:val="en-US"/>
              </w:rPr>
            </w:pPr>
            <w:r w:rsidRPr="00BE6DA6">
              <w:rPr>
                <w:sz w:val="20"/>
                <w:szCs w:val="20"/>
                <w:lang w:val="en-US"/>
              </w:rPr>
              <w:t>2.1 (5.4–1.2)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BEFCC2" w14:textId="77777777" w:rsidR="00BE6DA6" w:rsidRPr="00BE6DA6" w:rsidRDefault="00BE6DA6" w:rsidP="00A71819">
            <w:pPr>
              <w:spacing w:after="200"/>
              <w:rPr>
                <w:sz w:val="20"/>
                <w:szCs w:val="20"/>
                <w:lang w:val="en-US"/>
              </w:rPr>
            </w:pPr>
            <w:r w:rsidRPr="00BE6DA6">
              <w:rPr>
                <w:sz w:val="20"/>
                <w:szCs w:val="20"/>
                <w:lang w:val="en-US"/>
              </w:rPr>
              <w:t>5.3 (11.1–2.1)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3814E" w14:textId="77777777" w:rsidR="00BE6DA6" w:rsidRPr="00BE6DA6" w:rsidRDefault="00BE6DA6" w:rsidP="00A71819">
            <w:pPr>
              <w:spacing w:after="200"/>
              <w:rPr>
                <w:sz w:val="20"/>
                <w:szCs w:val="20"/>
                <w:lang w:val="en-US"/>
              </w:rPr>
            </w:pPr>
            <w:r w:rsidRPr="00BE6DA6">
              <w:rPr>
                <w:sz w:val="20"/>
                <w:szCs w:val="20"/>
                <w:lang w:val="en-US"/>
              </w:rPr>
              <w:t>3.8 (10.6–1.3)</w:t>
            </w:r>
          </w:p>
        </w:tc>
      </w:tr>
      <w:tr w:rsidR="00A71819" w14:paraId="1A2983B7" w14:textId="77777777" w:rsidTr="00244E85">
        <w:trPr>
          <w:trHeight w:val="320"/>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6427459" w14:textId="42C5263D" w:rsidR="00BE6DA6" w:rsidRPr="00BE6DA6" w:rsidRDefault="00566EBC" w:rsidP="00736B9D">
            <w:pPr>
              <w:spacing w:after="200"/>
              <w:rPr>
                <w:rFonts w:ascii="Arial" w:hAnsi="Arial" w:cs="Arial"/>
                <w:b/>
                <w:bCs/>
                <w:sz w:val="20"/>
                <w:szCs w:val="20"/>
                <w:lang w:val="en-US"/>
              </w:rPr>
            </w:pPr>
            <w:r>
              <w:rPr>
                <w:rFonts w:ascii="Arial" w:hAnsi="Arial" w:cs="Arial"/>
                <w:b/>
                <w:bCs/>
                <w:sz w:val="20"/>
                <w:szCs w:val="20"/>
                <w:lang w:val="en-US"/>
              </w:rPr>
              <w:t>E</w:t>
            </w:r>
            <w:r w:rsidRPr="00566EBC">
              <w:rPr>
                <w:rFonts w:ascii="Arial" w:hAnsi="Arial" w:cs="Arial"/>
                <w:b/>
                <w:bCs/>
                <w:sz w:val="20"/>
                <w:szCs w:val="20"/>
                <w:lang w:val="en-US"/>
              </w:rPr>
              <w:t xml:space="preserve">xpanded </w:t>
            </w:r>
            <w:r w:rsidR="003431F8">
              <w:rPr>
                <w:rFonts w:ascii="Arial" w:hAnsi="Arial" w:cs="Arial"/>
                <w:b/>
                <w:bCs/>
                <w:sz w:val="20"/>
                <w:szCs w:val="20"/>
                <w:lang w:val="en-US"/>
              </w:rPr>
              <w:t>d</w:t>
            </w:r>
            <w:r w:rsidRPr="00566EBC">
              <w:rPr>
                <w:rFonts w:ascii="Arial" w:hAnsi="Arial" w:cs="Arial"/>
                <w:b/>
                <w:bCs/>
                <w:sz w:val="20"/>
                <w:szCs w:val="20"/>
                <w:lang w:val="en-US"/>
              </w:rPr>
              <w:t xml:space="preserve">isability </w:t>
            </w:r>
            <w:r w:rsidR="003431F8">
              <w:rPr>
                <w:rFonts w:ascii="Arial" w:hAnsi="Arial" w:cs="Arial"/>
                <w:b/>
                <w:bCs/>
                <w:sz w:val="20"/>
                <w:szCs w:val="20"/>
                <w:lang w:val="en-US"/>
              </w:rPr>
              <w:t>s</w:t>
            </w:r>
            <w:r w:rsidRPr="00566EBC">
              <w:rPr>
                <w:rFonts w:ascii="Arial" w:hAnsi="Arial" w:cs="Arial"/>
                <w:b/>
                <w:bCs/>
                <w:sz w:val="20"/>
                <w:szCs w:val="20"/>
                <w:lang w:val="en-US"/>
              </w:rPr>
              <w:t xml:space="preserve">tatus </w:t>
            </w:r>
            <w:r w:rsidR="003431F8">
              <w:rPr>
                <w:rFonts w:ascii="Arial" w:hAnsi="Arial" w:cs="Arial"/>
                <w:b/>
                <w:bCs/>
                <w:sz w:val="20"/>
                <w:szCs w:val="20"/>
                <w:lang w:val="en-US"/>
              </w:rPr>
              <w:t>s</w:t>
            </w:r>
            <w:r w:rsidRPr="00566EBC">
              <w:rPr>
                <w:rFonts w:ascii="Arial" w:hAnsi="Arial" w:cs="Arial"/>
                <w:b/>
                <w:bCs/>
                <w:sz w:val="20"/>
                <w:szCs w:val="20"/>
                <w:lang w:val="en-US"/>
              </w:rPr>
              <w:t>cale</w:t>
            </w:r>
            <w:r w:rsidRPr="00BE6DA6">
              <w:rPr>
                <w:rFonts w:ascii="Arial" w:hAnsi="Arial" w:cs="Arial"/>
                <w:b/>
                <w:bCs/>
                <w:sz w:val="20"/>
                <w:szCs w:val="20"/>
                <w:lang w:val="en-US"/>
              </w:rPr>
              <w:t xml:space="preserve"> </w:t>
            </w:r>
            <w:r w:rsidR="00BE6DA6" w:rsidRPr="00BE6DA6">
              <w:rPr>
                <w:rFonts w:ascii="Arial" w:hAnsi="Arial" w:cs="Arial"/>
                <w:b/>
                <w:bCs/>
                <w:sz w:val="20"/>
                <w:szCs w:val="20"/>
                <w:lang w:val="en-US"/>
              </w:rPr>
              <w:t xml:space="preserve">score, </w:t>
            </w:r>
            <w:r w:rsidR="00291529">
              <w:rPr>
                <w:rFonts w:ascii="Arial" w:hAnsi="Arial" w:cs="Arial"/>
                <w:b/>
                <w:bCs/>
                <w:sz w:val="20"/>
                <w:szCs w:val="20"/>
                <w:lang w:val="en-US"/>
              </w:rPr>
              <w:t>m</w:t>
            </w:r>
            <w:r w:rsidR="00BE6DA6"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767583" w14:textId="77777777" w:rsidR="00BE6DA6" w:rsidRPr="00BE6DA6" w:rsidRDefault="00BE6DA6" w:rsidP="00A71819">
            <w:pPr>
              <w:spacing w:after="200"/>
              <w:rPr>
                <w:sz w:val="20"/>
                <w:szCs w:val="20"/>
                <w:lang w:val="en-US"/>
              </w:rPr>
            </w:pPr>
            <w:r w:rsidRPr="00BE6DA6">
              <w:rPr>
                <w:sz w:val="20"/>
                <w:szCs w:val="20"/>
                <w:lang w:val="en-US"/>
              </w:rPr>
              <w:t>2.0 (2.5–1.5)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87141B" w14:textId="77777777" w:rsidR="00BE6DA6" w:rsidRPr="00BE6DA6" w:rsidRDefault="00BE6DA6" w:rsidP="00A71819">
            <w:pPr>
              <w:spacing w:after="200"/>
              <w:rPr>
                <w:sz w:val="20"/>
                <w:szCs w:val="20"/>
                <w:lang w:val="en-US"/>
              </w:rPr>
            </w:pPr>
            <w:r w:rsidRPr="00BE6DA6">
              <w:rPr>
                <w:sz w:val="20"/>
                <w:szCs w:val="20"/>
                <w:lang w:val="en-US"/>
              </w:rPr>
              <w:t>2.0 (2.5–1.5)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1B30D7" w14:textId="77777777" w:rsidR="00BE6DA6" w:rsidRPr="00BE6DA6" w:rsidRDefault="00BE6DA6" w:rsidP="00A71819">
            <w:pPr>
              <w:spacing w:after="200"/>
              <w:rPr>
                <w:sz w:val="20"/>
                <w:szCs w:val="20"/>
                <w:lang w:val="en-US"/>
              </w:rPr>
            </w:pPr>
            <w:r w:rsidRPr="00BE6DA6">
              <w:rPr>
                <w:sz w:val="20"/>
                <w:szCs w:val="20"/>
                <w:lang w:val="en-US"/>
              </w:rPr>
              <w:t>2.0 (2.1–1.5)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2D8A90" w14:textId="77777777" w:rsidR="00BE6DA6" w:rsidRPr="00BE6DA6" w:rsidRDefault="00BE6DA6" w:rsidP="00A71819">
            <w:pPr>
              <w:spacing w:after="200"/>
              <w:rPr>
                <w:sz w:val="20"/>
                <w:szCs w:val="20"/>
                <w:lang w:val="en-US"/>
              </w:rPr>
            </w:pPr>
            <w:r w:rsidRPr="00BE6DA6">
              <w:rPr>
                <w:sz w:val="20"/>
                <w:szCs w:val="20"/>
                <w:lang w:val="en-US"/>
              </w:rPr>
              <w:t>2.0 (3.1–1.5)</w:t>
            </w:r>
          </w:p>
        </w:tc>
      </w:tr>
      <w:tr w:rsidR="00A71819" w14:paraId="27D0326B" w14:textId="77777777" w:rsidTr="00244E85">
        <w:trPr>
          <w:trHeight w:val="165"/>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5AECF4F" w14:textId="6A442843"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Number of T2-lesions,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53DCA5" w14:textId="77777777" w:rsidR="00BE6DA6" w:rsidRPr="00BE6DA6" w:rsidRDefault="00BE6DA6" w:rsidP="00A71819">
            <w:pPr>
              <w:spacing w:after="200"/>
              <w:rPr>
                <w:sz w:val="20"/>
                <w:szCs w:val="20"/>
                <w:lang w:val="en-US"/>
              </w:rPr>
            </w:pPr>
            <w:r w:rsidRPr="00BE6DA6">
              <w:rPr>
                <w:sz w:val="20"/>
                <w:szCs w:val="20"/>
                <w:lang w:val="en-US"/>
              </w:rPr>
              <w:t>35 (75–19)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482B4" w14:textId="77777777" w:rsidR="00BE6DA6" w:rsidRPr="00BE6DA6" w:rsidRDefault="00BE6DA6" w:rsidP="00A71819">
            <w:pPr>
              <w:spacing w:after="200"/>
              <w:rPr>
                <w:sz w:val="20"/>
                <w:szCs w:val="20"/>
                <w:lang w:val="en-US"/>
              </w:rPr>
            </w:pPr>
            <w:r w:rsidRPr="00BE6DA6">
              <w:rPr>
                <w:sz w:val="20"/>
                <w:szCs w:val="20"/>
                <w:lang w:val="en-US"/>
              </w:rPr>
              <w:t>36 (76–21)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70849" w14:textId="77777777" w:rsidR="00BE6DA6" w:rsidRPr="00BE6DA6" w:rsidRDefault="00BE6DA6" w:rsidP="00A71819">
            <w:pPr>
              <w:spacing w:after="200"/>
              <w:rPr>
                <w:sz w:val="20"/>
                <w:szCs w:val="20"/>
                <w:lang w:val="en-US"/>
              </w:rPr>
            </w:pPr>
            <w:r w:rsidRPr="00BE6DA6">
              <w:rPr>
                <w:sz w:val="20"/>
                <w:szCs w:val="20"/>
                <w:lang w:val="en-US"/>
              </w:rPr>
              <w:t>39 (67–23)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E5AAA5" w14:textId="77777777" w:rsidR="00BE6DA6" w:rsidRPr="00BE6DA6" w:rsidRDefault="00BE6DA6" w:rsidP="00A71819">
            <w:pPr>
              <w:spacing w:after="200"/>
              <w:rPr>
                <w:sz w:val="20"/>
                <w:szCs w:val="20"/>
                <w:lang w:val="en-US"/>
              </w:rPr>
            </w:pPr>
            <w:r w:rsidRPr="00BE6DA6">
              <w:rPr>
                <w:sz w:val="20"/>
                <w:szCs w:val="20"/>
                <w:lang w:val="en-US"/>
              </w:rPr>
              <w:t>31 (76–17)</w:t>
            </w:r>
          </w:p>
        </w:tc>
      </w:tr>
      <w:tr w:rsidR="00A71819" w14:paraId="491659F7" w14:textId="77777777" w:rsidTr="00244E85">
        <w:trPr>
          <w:trHeight w:val="524"/>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92AE85E" w14:textId="1BDAFB2C"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Participants without </w:t>
            </w:r>
            <w:r w:rsidR="00736B9D">
              <w:rPr>
                <w:rFonts w:ascii="Arial" w:hAnsi="Arial" w:cs="Arial"/>
                <w:b/>
                <w:bCs/>
                <w:sz w:val="20"/>
                <w:szCs w:val="20"/>
                <w:lang w:val="en-US"/>
              </w:rPr>
              <w:t>DMT</w:t>
            </w:r>
            <w:r w:rsidRPr="00BE6DA6">
              <w:rPr>
                <w:rFonts w:ascii="Arial" w:hAnsi="Arial" w:cs="Arial"/>
                <w:b/>
                <w:bCs/>
                <w:sz w:val="20"/>
                <w:szCs w:val="20"/>
                <w:lang w:val="en-US"/>
              </w:rPr>
              <w:t>, n (%)</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15282" w14:textId="77777777" w:rsidR="00BE6DA6" w:rsidRPr="00BE6DA6" w:rsidRDefault="00BE6DA6" w:rsidP="00A71819">
            <w:pPr>
              <w:spacing w:after="200"/>
              <w:rPr>
                <w:sz w:val="20"/>
                <w:szCs w:val="20"/>
                <w:lang w:val="en-US"/>
              </w:rPr>
            </w:pPr>
            <w:r w:rsidRPr="00BE6DA6">
              <w:rPr>
                <w:sz w:val="20"/>
                <w:szCs w:val="20"/>
                <w:lang w:val="en-US"/>
              </w:rPr>
              <w:t>45 (43)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6748E0" w14:textId="77777777" w:rsidR="00BE6DA6" w:rsidRPr="00BE6DA6" w:rsidRDefault="00BE6DA6" w:rsidP="00A71819">
            <w:pPr>
              <w:spacing w:after="200"/>
              <w:rPr>
                <w:sz w:val="20"/>
                <w:szCs w:val="20"/>
                <w:lang w:val="en-US"/>
              </w:rPr>
            </w:pPr>
            <w:r w:rsidRPr="00BE6DA6">
              <w:rPr>
                <w:sz w:val="20"/>
                <w:szCs w:val="20"/>
                <w:lang w:val="en-US"/>
              </w:rPr>
              <w:t>14 (41)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398C3" w14:textId="77777777" w:rsidR="00BE6DA6" w:rsidRPr="00BE6DA6" w:rsidRDefault="00BE6DA6" w:rsidP="00A71819">
            <w:pPr>
              <w:spacing w:after="200"/>
              <w:rPr>
                <w:sz w:val="20"/>
                <w:szCs w:val="20"/>
                <w:lang w:val="en-US"/>
              </w:rPr>
            </w:pPr>
            <w:r w:rsidRPr="00BE6DA6">
              <w:rPr>
                <w:sz w:val="20"/>
                <w:szCs w:val="20"/>
                <w:lang w:val="en-US"/>
              </w:rPr>
              <w:t>15 (43)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82D15" w14:textId="77777777" w:rsidR="00BE6DA6" w:rsidRPr="00BE6DA6" w:rsidRDefault="00BE6DA6" w:rsidP="00A71819">
            <w:pPr>
              <w:spacing w:after="200"/>
              <w:rPr>
                <w:sz w:val="20"/>
                <w:szCs w:val="20"/>
                <w:lang w:val="en-US"/>
              </w:rPr>
            </w:pPr>
            <w:r w:rsidRPr="00BE6DA6">
              <w:rPr>
                <w:sz w:val="20"/>
                <w:szCs w:val="20"/>
                <w:lang w:val="en-US"/>
              </w:rPr>
              <w:t>16 (44)</w:t>
            </w:r>
          </w:p>
        </w:tc>
      </w:tr>
      <w:tr w:rsidR="00A71819" w14:paraId="2E267F42" w14:textId="77777777" w:rsidTr="00244E85">
        <w:trPr>
          <w:trHeight w:val="421"/>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98642AD" w14:textId="57E83FED"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Body </w:t>
            </w:r>
            <w:r w:rsidR="003431F8">
              <w:rPr>
                <w:rFonts w:ascii="Arial" w:hAnsi="Arial" w:cs="Arial"/>
                <w:b/>
                <w:bCs/>
                <w:sz w:val="20"/>
                <w:szCs w:val="20"/>
                <w:lang w:val="en-US"/>
              </w:rPr>
              <w:t>m</w:t>
            </w:r>
            <w:r w:rsidRPr="00BE6DA6">
              <w:rPr>
                <w:rFonts w:ascii="Arial" w:hAnsi="Arial" w:cs="Arial"/>
                <w:b/>
                <w:bCs/>
                <w:sz w:val="20"/>
                <w:szCs w:val="20"/>
                <w:lang w:val="en-US"/>
              </w:rPr>
              <w:t xml:space="preserve">ass </w:t>
            </w:r>
            <w:r w:rsidR="003431F8">
              <w:rPr>
                <w:rFonts w:ascii="Arial" w:hAnsi="Arial" w:cs="Arial"/>
                <w:b/>
                <w:bCs/>
                <w:sz w:val="20"/>
                <w:szCs w:val="20"/>
                <w:lang w:val="en-US"/>
              </w:rPr>
              <w:t>i</w:t>
            </w:r>
            <w:r w:rsidRPr="00BE6DA6">
              <w:rPr>
                <w:rFonts w:ascii="Arial" w:hAnsi="Arial" w:cs="Arial"/>
                <w:b/>
                <w:bCs/>
                <w:sz w:val="20"/>
                <w:szCs w:val="20"/>
                <w:lang w:val="en-US"/>
              </w:rPr>
              <w:t xml:space="preserve">ndex </w:t>
            </w:r>
            <w:r w:rsidR="00B81724">
              <w:rPr>
                <w:rFonts w:ascii="Arial" w:hAnsi="Arial" w:cs="Arial"/>
                <w:b/>
                <w:bCs/>
                <w:sz w:val="20"/>
                <w:szCs w:val="20"/>
                <w:lang w:val="en-US"/>
              </w:rPr>
              <w:t>[</w:t>
            </w:r>
            <w:r w:rsidRPr="00BE6DA6">
              <w:rPr>
                <w:rFonts w:ascii="Arial" w:hAnsi="Arial" w:cs="Arial"/>
                <w:b/>
                <w:bCs/>
                <w:sz w:val="20"/>
                <w:szCs w:val="20"/>
                <w:lang w:val="en-US"/>
              </w:rPr>
              <w:t>kg/m²</w:t>
            </w:r>
            <w:r w:rsidR="00B81724">
              <w:rPr>
                <w:rFonts w:ascii="Arial" w:hAnsi="Arial" w:cs="Arial"/>
                <w:b/>
                <w:bCs/>
                <w:sz w:val="20"/>
                <w:szCs w:val="20"/>
                <w:lang w:val="en-US"/>
              </w:rPr>
              <w:t>]</w:t>
            </w:r>
            <w:r w:rsidRPr="00BE6DA6">
              <w:rPr>
                <w:rFonts w:ascii="Arial" w:hAnsi="Arial" w:cs="Arial"/>
                <w:b/>
                <w:bCs/>
                <w:sz w:val="20"/>
                <w:szCs w:val="20"/>
                <w:lang w:val="en-US"/>
              </w:rPr>
              <w:t xml:space="preserv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8E0E8" w14:textId="77777777" w:rsidR="00BE6DA6" w:rsidRPr="00BE6DA6" w:rsidRDefault="00BE6DA6" w:rsidP="00A71819">
            <w:pPr>
              <w:spacing w:after="200"/>
              <w:rPr>
                <w:sz w:val="20"/>
                <w:szCs w:val="20"/>
                <w:lang w:val="en-US"/>
              </w:rPr>
            </w:pPr>
            <w:r w:rsidRPr="00BE6DA6">
              <w:rPr>
                <w:sz w:val="20"/>
                <w:szCs w:val="20"/>
                <w:lang w:val="en-US"/>
              </w:rPr>
              <w:t>24.3 (26.6–22.2)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98FA14" w14:textId="77777777" w:rsidR="00BE6DA6" w:rsidRPr="00BE6DA6" w:rsidRDefault="00BE6DA6" w:rsidP="00A71819">
            <w:pPr>
              <w:spacing w:after="200"/>
              <w:rPr>
                <w:sz w:val="20"/>
                <w:szCs w:val="20"/>
                <w:lang w:val="en-US"/>
              </w:rPr>
            </w:pPr>
            <w:r w:rsidRPr="00BE6DA6">
              <w:rPr>
                <w:sz w:val="20"/>
                <w:szCs w:val="20"/>
                <w:lang w:val="en-US"/>
              </w:rPr>
              <w:t>25.1 (26.8–22.8)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BE83EA" w14:textId="77777777" w:rsidR="00BE6DA6" w:rsidRPr="00BE6DA6" w:rsidRDefault="00BE6DA6" w:rsidP="00A71819">
            <w:pPr>
              <w:spacing w:after="200"/>
              <w:rPr>
                <w:sz w:val="20"/>
                <w:szCs w:val="20"/>
                <w:lang w:val="en-US"/>
              </w:rPr>
            </w:pPr>
            <w:r w:rsidRPr="00BE6DA6">
              <w:rPr>
                <w:sz w:val="20"/>
                <w:szCs w:val="20"/>
                <w:lang w:val="en-US"/>
              </w:rPr>
              <w:t>23.6 (26.3–21.6)</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7A01F" w14:textId="77777777" w:rsidR="00BE6DA6" w:rsidRPr="00BE6DA6" w:rsidRDefault="00BE6DA6" w:rsidP="00A71819">
            <w:pPr>
              <w:spacing w:after="200"/>
              <w:rPr>
                <w:sz w:val="20"/>
                <w:szCs w:val="20"/>
                <w:lang w:val="en-US"/>
              </w:rPr>
            </w:pPr>
            <w:r w:rsidRPr="00BE6DA6">
              <w:rPr>
                <w:sz w:val="20"/>
                <w:szCs w:val="20"/>
                <w:lang w:val="en-US"/>
              </w:rPr>
              <w:t>23.7 (26.3–22.3)</w:t>
            </w:r>
          </w:p>
        </w:tc>
      </w:tr>
      <w:tr w:rsidR="00A71819" w14:paraId="19ECB025" w14:textId="77777777" w:rsidTr="00244E85">
        <w:trPr>
          <w:trHeight w:val="348"/>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5ECD115" w14:textId="6285269A"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25-OH-Vitamin D</w:t>
            </w:r>
            <w:r w:rsidRPr="00BE6DA6">
              <w:rPr>
                <w:rFonts w:ascii="Cambria Math" w:hAnsi="Cambria Math" w:cs="Cambria Math"/>
                <w:b/>
                <w:bCs/>
                <w:sz w:val="20"/>
                <w:szCs w:val="20"/>
                <w:lang w:val="en-US"/>
              </w:rPr>
              <w:t>₃</w:t>
            </w:r>
            <w:r w:rsidRPr="00BE6DA6">
              <w:rPr>
                <w:rFonts w:ascii="Arial" w:hAnsi="Arial" w:cs="Arial"/>
                <w:b/>
                <w:bCs/>
                <w:sz w:val="20"/>
                <w:szCs w:val="20"/>
                <w:lang w:val="en-US"/>
              </w:rPr>
              <w:t xml:space="preserve"> </w:t>
            </w:r>
            <w:r w:rsidR="00B81724">
              <w:rPr>
                <w:rFonts w:ascii="Arial" w:hAnsi="Arial" w:cs="Arial"/>
                <w:b/>
                <w:bCs/>
                <w:sz w:val="20"/>
                <w:szCs w:val="20"/>
                <w:lang w:val="en-US"/>
              </w:rPr>
              <w:t>[</w:t>
            </w:r>
            <w:r w:rsidRPr="00BE6DA6">
              <w:rPr>
                <w:rFonts w:ascii="Arial" w:hAnsi="Arial" w:cs="Arial"/>
                <w:b/>
                <w:bCs/>
                <w:sz w:val="20"/>
                <w:szCs w:val="20"/>
                <w:lang w:val="en-US"/>
              </w:rPr>
              <w:t>nmol/L</w:t>
            </w:r>
            <w:r w:rsidR="00B81724">
              <w:rPr>
                <w:rFonts w:ascii="Arial" w:hAnsi="Arial" w:cs="Arial"/>
                <w:b/>
                <w:bCs/>
                <w:sz w:val="20"/>
                <w:szCs w:val="20"/>
                <w:lang w:val="en-US"/>
              </w:rPr>
              <w:t>]</w:t>
            </w:r>
            <w:r w:rsidRPr="00BE6DA6">
              <w:rPr>
                <w:rFonts w:ascii="Arial" w:hAnsi="Arial" w:cs="Arial"/>
                <w:b/>
                <w:bCs/>
                <w:sz w:val="20"/>
                <w:szCs w:val="20"/>
                <w:lang w:val="en-US"/>
              </w:rPr>
              <w:t xml:space="preserve">, </w:t>
            </w:r>
            <w:r w:rsidR="00291529">
              <w:rPr>
                <w:rFonts w:ascii="Arial" w:hAnsi="Arial" w:cs="Arial"/>
                <w:b/>
                <w:bCs/>
                <w:sz w:val="20"/>
                <w:szCs w:val="20"/>
                <w:lang w:val="en-US"/>
              </w:rPr>
              <w:t>m</w:t>
            </w:r>
            <w:r w:rsidRPr="00BE6DA6">
              <w:rPr>
                <w:rFonts w:ascii="Arial" w:hAnsi="Arial" w:cs="Arial"/>
                <w:b/>
                <w:bCs/>
                <w:sz w:val="20"/>
                <w:szCs w:val="20"/>
                <w:lang w:val="en-US"/>
              </w:rPr>
              <w:t>ean (</w:t>
            </w:r>
            <w:proofErr w:type="spellStart"/>
            <w:r w:rsidRPr="00BE6DA6">
              <w:rPr>
                <w:rFonts w:ascii="Arial" w:hAnsi="Arial" w:cs="Arial"/>
                <w:b/>
                <w:bCs/>
                <w:sz w:val="20"/>
                <w:szCs w:val="20"/>
                <w:lang w:val="en-US"/>
              </w:rPr>
              <w:t>StD</w:t>
            </w:r>
            <w:proofErr w:type="spellEnd"/>
            <w:r w:rsidRPr="00BE6DA6">
              <w:rPr>
                <w:rFonts w:ascii="Arial" w:hAnsi="Arial" w:cs="Arial"/>
                <w:b/>
                <w:bCs/>
                <w:sz w:val="20"/>
                <w:szCs w:val="20"/>
                <w:lang w:val="en-US"/>
              </w:rPr>
              <w:t>)</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DDEC2" w14:textId="77777777" w:rsidR="00BE6DA6" w:rsidRPr="00BE6DA6" w:rsidRDefault="00BE6DA6" w:rsidP="00A71819">
            <w:pPr>
              <w:spacing w:after="200"/>
              <w:rPr>
                <w:sz w:val="20"/>
                <w:szCs w:val="20"/>
                <w:lang w:val="en-US"/>
              </w:rPr>
            </w:pPr>
            <w:r w:rsidRPr="00BE6DA6">
              <w:rPr>
                <w:sz w:val="20"/>
                <w:szCs w:val="20"/>
                <w:lang w:val="en-US"/>
              </w:rPr>
              <w:t>101.0 (37.1)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F780EF" w14:textId="77777777" w:rsidR="00BE6DA6" w:rsidRPr="00BE6DA6" w:rsidRDefault="00BE6DA6" w:rsidP="00A71819">
            <w:pPr>
              <w:spacing w:after="200"/>
              <w:rPr>
                <w:sz w:val="20"/>
                <w:szCs w:val="20"/>
                <w:lang w:val="en-US"/>
              </w:rPr>
            </w:pPr>
            <w:r w:rsidRPr="00BE6DA6">
              <w:rPr>
                <w:sz w:val="20"/>
                <w:szCs w:val="20"/>
                <w:lang w:val="en-US"/>
              </w:rPr>
              <w:t>105.1 (37.4)</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A1D1A" w14:textId="77777777" w:rsidR="00BE6DA6" w:rsidRPr="00BE6DA6" w:rsidRDefault="00BE6DA6" w:rsidP="00A71819">
            <w:pPr>
              <w:spacing w:after="200"/>
              <w:rPr>
                <w:sz w:val="20"/>
                <w:szCs w:val="20"/>
                <w:lang w:val="en-US"/>
              </w:rPr>
            </w:pPr>
            <w:r w:rsidRPr="00BE6DA6">
              <w:rPr>
                <w:sz w:val="20"/>
                <w:szCs w:val="20"/>
                <w:lang w:val="en-US"/>
              </w:rPr>
              <w:t>93.9 (34.1)</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DB44D6" w14:textId="77777777" w:rsidR="00BE6DA6" w:rsidRPr="00BE6DA6" w:rsidRDefault="00BE6DA6" w:rsidP="00A71819">
            <w:pPr>
              <w:spacing w:after="200"/>
              <w:rPr>
                <w:sz w:val="20"/>
                <w:szCs w:val="20"/>
                <w:lang w:val="en-US"/>
              </w:rPr>
            </w:pPr>
            <w:r w:rsidRPr="00BE6DA6">
              <w:rPr>
                <w:sz w:val="20"/>
                <w:szCs w:val="20"/>
                <w:lang w:val="en-US"/>
              </w:rPr>
              <w:t>104.2 (39.7)</w:t>
            </w:r>
          </w:p>
        </w:tc>
      </w:tr>
      <w:tr w:rsidR="00A71819" w14:paraId="5AEA9001" w14:textId="77777777" w:rsidTr="00244E85">
        <w:trPr>
          <w:trHeight w:val="484"/>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82E2C39" w14:textId="635852F1"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Fatigue severity scale score,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6343B4" w14:textId="77777777" w:rsidR="00BE6DA6" w:rsidRPr="00BE6DA6" w:rsidRDefault="00BE6DA6" w:rsidP="00A71819">
            <w:pPr>
              <w:spacing w:after="200"/>
              <w:rPr>
                <w:sz w:val="20"/>
                <w:szCs w:val="20"/>
                <w:lang w:val="en-US"/>
              </w:rPr>
            </w:pPr>
            <w:r w:rsidRPr="00BE6DA6">
              <w:rPr>
                <w:sz w:val="20"/>
                <w:szCs w:val="20"/>
                <w:lang w:val="en-US"/>
              </w:rPr>
              <w:t>3.7 (5.3–2.2)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28FE53" w14:textId="77777777" w:rsidR="00BE6DA6" w:rsidRPr="00BE6DA6" w:rsidRDefault="00BE6DA6" w:rsidP="00A71819">
            <w:pPr>
              <w:spacing w:after="200"/>
              <w:rPr>
                <w:sz w:val="20"/>
                <w:szCs w:val="20"/>
                <w:lang w:val="en-US"/>
              </w:rPr>
            </w:pPr>
            <w:r w:rsidRPr="00BE6DA6">
              <w:rPr>
                <w:sz w:val="20"/>
                <w:szCs w:val="20"/>
                <w:lang w:val="en-US"/>
              </w:rPr>
              <w:t>4.3 (5.6–1.8)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176E3" w14:textId="77777777" w:rsidR="00BE6DA6" w:rsidRPr="00BE6DA6" w:rsidRDefault="00BE6DA6" w:rsidP="00A71819">
            <w:pPr>
              <w:spacing w:after="200"/>
              <w:rPr>
                <w:sz w:val="20"/>
                <w:szCs w:val="20"/>
                <w:lang w:val="en-US"/>
              </w:rPr>
            </w:pPr>
            <w:r w:rsidRPr="00BE6DA6">
              <w:rPr>
                <w:sz w:val="20"/>
                <w:szCs w:val="20"/>
                <w:lang w:val="en-US"/>
              </w:rPr>
              <w:t>3.8 (5.2–2.8)</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AE044" w14:textId="77777777" w:rsidR="00BE6DA6" w:rsidRPr="00BE6DA6" w:rsidRDefault="00BE6DA6" w:rsidP="00A71819">
            <w:pPr>
              <w:spacing w:after="200"/>
              <w:rPr>
                <w:sz w:val="20"/>
                <w:szCs w:val="20"/>
                <w:lang w:val="en-US"/>
              </w:rPr>
            </w:pPr>
            <w:r w:rsidRPr="00BE6DA6">
              <w:rPr>
                <w:sz w:val="20"/>
                <w:szCs w:val="20"/>
                <w:lang w:val="en-US"/>
              </w:rPr>
              <w:t>3.4 (4.4–2.2)</w:t>
            </w:r>
          </w:p>
        </w:tc>
      </w:tr>
      <w:tr w:rsidR="00A71819" w14:paraId="550B501A" w14:textId="77777777" w:rsidTr="00244E85">
        <w:trPr>
          <w:trHeight w:val="165"/>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A36794" w14:textId="27B07A1E"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Beck depression inventory II score,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98436" w14:textId="77777777" w:rsidR="00BE6DA6" w:rsidRPr="00BE6DA6" w:rsidRDefault="00BE6DA6" w:rsidP="00A71819">
            <w:pPr>
              <w:spacing w:after="200"/>
              <w:rPr>
                <w:sz w:val="20"/>
                <w:szCs w:val="20"/>
                <w:lang w:val="en-US"/>
              </w:rPr>
            </w:pPr>
            <w:r w:rsidRPr="00BE6DA6">
              <w:rPr>
                <w:sz w:val="20"/>
                <w:szCs w:val="20"/>
                <w:lang w:val="en-US"/>
              </w:rPr>
              <w:t>7 (12–3)</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E1F7BC" w14:textId="77777777" w:rsidR="00BE6DA6" w:rsidRPr="00BE6DA6" w:rsidRDefault="00BE6DA6" w:rsidP="00A71819">
            <w:pPr>
              <w:spacing w:after="200"/>
              <w:rPr>
                <w:sz w:val="20"/>
                <w:szCs w:val="20"/>
                <w:lang w:val="en-US"/>
              </w:rPr>
            </w:pPr>
            <w:r w:rsidRPr="00BE6DA6">
              <w:rPr>
                <w:sz w:val="20"/>
                <w:szCs w:val="20"/>
                <w:lang w:val="en-US"/>
              </w:rPr>
              <w:t>7 (12–2)</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E9EB9F" w14:textId="77777777" w:rsidR="00BE6DA6" w:rsidRPr="00BE6DA6" w:rsidRDefault="00BE6DA6" w:rsidP="00A71819">
            <w:pPr>
              <w:spacing w:after="200"/>
              <w:rPr>
                <w:sz w:val="20"/>
                <w:szCs w:val="20"/>
                <w:lang w:val="en-US"/>
              </w:rPr>
            </w:pPr>
            <w:r w:rsidRPr="00BE6DA6">
              <w:rPr>
                <w:sz w:val="20"/>
                <w:szCs w:val="20"/>
                <w:lang w:val="en-US"/>
              </w:rPr>
              <w:t>9 (13–5)</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010436" w14:textId="77777777" w:rsidR="00BE6DA6" w:rsidRPr="00BE6DA6" w:rsidRDefault="00BE6DA6" w:rsidP="00A71819">
            <w:pPr>
              <w:spacing w:after="200"/>
              <w:rPr>
                <w:sz w:val="20"/>
                <w:szCs w:val="20"/>
                <w:lang w:val="en-US"/>
              </w:rPr>
            </w:pPr>
            <w:r w:rsidRPr="00BE6DA6">
              <w:rPr>
                <w:sz w:val="20"/>
                <w:szCs w:val="20"/>
                <w:lang w:val="en-US"/>
              </w:rPr>
              <w:t>6 (11–3)</w:t>
            </w:r>
          </w:p>
        </w:tc>
      </w:tr>
      <w:tr w:rsidR="00A71819" w14:paraId="280E14A7" w14:textId="77777777" w:rsidTr="00244E85">
        <w:trPr>
          <w:trHeight w:val="165"/>
        </w:trPr>
        <w:tc>
          <w:tcPr>
            <w:tcW w:w="448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E0CD009" w14:textId="799B8F32" w:rsidR="00BE6DA6" w:rsidRPr="00BE6DA6" w:rsidRDefault="00BE6DA6" w:rsidP="00736B9D">
            <w:pPr>
              <w:spacing w:after="200"/>
              <w:rPr>
                <w:rFonts w:ascii="Arial" w:hAnsi="Arial" w:cs="Arial"/>
                <w:b/>
                <w:bCs/>
                <w:sz w:val="20"/>
                <w:szCs w:val="20"/>
                <w:lang w:val="en-US"/>
              </w:rPr>
            </w:pPr>
            <w:r w:rsidRPr="00BE6DA6">
              <w:rPr>
                <w:rFonts w:ascii="Arial" w:hAnsi="Arial" w:cs="Arial"/>
                <w:b/>
                <w:bCs/>
                <w:sz w:val="20"/>
                <w:szCs w:val="20"/>
                <w:lang w:val="en-US"/>
              </w:rPr>
              <w:t xml:space="preserve">Symbol digit modalities test score, </w:t>
            </w:r>
            <w:r w:rsidR="00291529">
              <w:rPr>
                <w:rFonts w:ascii="Arial" w:hAnsi="Arial" w:cs="Arial"/>
                <w:b/>
                <w:bCs/>
                <w:sz w:val="20"/>
                <w:szCs w:val="20"/>
                <w:lang w:val="en-US"/>
              </w:rPr>
              <w:t>m</w:t>
            </w:r>
            <w:r w:rsidRPr="00BE6DA6">
              <w:rPr>
                <w:rFonts w:ascii="Arial" w:hAnsi="Arial" w:cs="Arial"/>
                <w:b/>
                <w:bCs/>
                <w:sz w:val="20"/>
                <w:szCs w:val="20"/>
                <w:lang w:val="en-US"/>
              </w:rPr>
              <w:t>edian (IQR)</w:t>
            </w:r>
          </w:p>
        </w:tc>
        <w:tc>
          <w:tcPr>
            <w:tcW w:w="11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95B3E6" w14:textId="77777777" w:rsidR="00BE6DA6" w:rsidRPr="00BE6DA6" w:rsidRDefault="00BE6DA6" w:rsidP="00A71819">
            <w:pPr>
              <w:spacing w:after="200"/>
              <w:rPr>
                <w:sz w:val="20"/>
                <w:szCs w:val="20"/>
                <w:lang w:val="en-US"/>
              </w:rPr>
            </w:pPr>
            <w:r w:rsidRPr="00BE6DA6">
              <w:rPr>
                <w:sz w:val="20"/>
                <w:szCs w:val="20"/>
                <w:lang w:val="en-US"/>
              </w:rPr>
              <w:t>56 (63–49)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235519" w14:textId="77777777" w:rsidR="00BE6DA6" w:rsidRPr="00BE6DA6" w:rsidRDefault="00BE6DA6" w:rsidP="00A71819">
            <w:pPr>
              <w:spacing w:after="200"/>
              <w:rPr>
                <w:sz w:val="20"/>
                <w:szCs w:val="20"/>
                <w:lang w:val="en-US"/>
              </w:rPr>
            </w:pPr>
            <w:r w:rsidRPr="00BE6DA6">
              <w:rPr>
                <w:sz w:val="20"/>
                <w:szCs w:val="20"/>
                <w:lang w:val="en-US"/>
              </w:rPr>
              <w:t>54 (62–50)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84720E" w14:textId="77777777" w:rsidR="00BE6DA6" w:rsidRPr="00BE6DA6" w:rsidRDefault="00BE6DA6" w:rsidP="00A71819">
            <w:pPr>
              <w:spacing w:after="200"/>
              <w:rPr>
                <w:sz w:val="20"/>
                <w:szCs w:val="20"/>
                <w:lang w:val="en-US"/>
              </w:rPr>
            </w:pPr>
            <w:r w:rsidRPr="00BE6DA6">
              <w:rPr>
                <w:sz w:val="20"/>
                <w:szCs w:val="20"/>
                <w:lang w:val="en-US"/>
              </w:rPr>
              <w:t>57 (62–50)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1851FD" w14:textId="77777777" w:rsidR="00BE6DA6" w:rsidRPr="00BE6DA6" w:rsidRDefault="00BE6DA6" w:rsidP="00A71819">
            <w:pPr>
              <w:spacing w:after="200"/>
              <w:rPr>
                <w:sz w:val="20"/>
                <w:szCs w:val="20"/>
                <w:lang w:val="en-US"/>
              </w:rPr>
            </w:pPr>
            <w:r w:rsidRPr="00BE6DA6">
              <w:rPr>
                <w:sz w:val="20"/>
                <w:szCs w:val="20"/>
                <w:lang w:val="en-US"/>
              </w:rPr>
              <w:t>57 (65–47)</w:t>
            </w:r>
          </w:p>
        </w:tc>
      </w:tr>
    </w:tbl>
    <w:p w14:paraId="67C284FD" w14:textId="77777777" w:rsidR="00FC69E0" w:rsidRDefault="00FC69E0" w:rsidP="00B2798C">
      <w:pPr>
        <w:spacing w:after="200"/>
        <w:jc w:val="both"/>
        <w:rPr>
          <w:rFonts w:ascii="Arial" w:hAnsi="Arial" w:cs="Arial"/>
          <w:sz w:val="22"/>
          <w:szCs w:val="22"/>
          <w:lang w:val="en-GB"/>
        </w:rPr>
      </w:pPr>
    </w:p>
    <w:p w14:paraId="4D3360E3" w14:textId="787EE717" w:rsidR="005A6274" w:rsidRDefault="00566EBC" w:rsidP="005A6274">
      <w:pPr>
        <w:spacing w:after="200"/>
        <w:jc w:val="both"/>
        <w:rPr>
          <w:sz w:val="20"/>
          <w:szCs w:val="20"/>
          <w:lang w:val="en-US"/>
        </w:rPr>
      </w:pPr>
      <w:r>
        <w:rPr>
          <w:sz w:val="20"/>
          <w:szCs w:val="20"/>
          <w:lang w:val="en-US"/>
        </w:rPr>
        <w:t xml:space="preserve">CD, </w:t>
      </w:r>
      <w:r w:rsidR="00736B9D">
        <w:rPr>
          <w:sz w:val="20"/>
          <w:szCs w:val="20"/>
          <w:lang w:val="en-US"/>
        </w:rPr>
        <w:t>c</w:t>
      </w:r>
      <w:r>
        <w:rPr>
          <w:sz w:val="20"/>
          <w:szCs w:val="20"/>
          <w:lang w:val="en-US"/>
        </w:rPr>
        <w:t xml:space="preserve">ontrol diet; </w:t>
      </w:r>
      <w:r w:rsidR="00736B9D">
        <w:rPr>
          <w:sz w:val="20"/>
          <w:szCs w:val="20"/>
          <w:lang w:val="en-US"/>
        </w:rPr>
        <w:t xml:space="preserve">DMT, disease modifying therapy; </w:t>
      </w:r>
      <w:r w:rsidR="005A6274" w:rsidRPr="005A6274">
        <w:rPr>
          <w:sz w:val="20"/>
          <w:szCs w:val="20"/>
          <w:lang w:val="en-US"/>
        </w:rPr>
        <w:t xml:space="preserve">FD, fasting diet; IQR, interquartile range; KD, ketogenic diet; </w:t>
      </w:r>
      <w:proofErr w:type="spellStart"/>
      <w:r w:rsidR="005A6274" w:rsidRPr="005A6274">
        <w:rPr>
          <w:sz w:val="20"/>
          <w:szCs w:val="20"/>
          <w:lang w:val="en-US"/>
        </w:rPr>
        <w:t>StD</w:t>
      </w:r>
      <w:proofErr w:type="spellEnd"/>
      <w:r w:rsidR="005A6274" w:rsidRPr="005A6274">
        <w:rPr>
          <w:sz w:val="20"/>
          <w:szCs w:val="20"/>
          <w:lang w:val="en-US"/>
        </w:rPr>
        <w:t>, standard deviation</w:t>
      </w:r>
    </w:p>
    <w:p w14:paraId="2BBC21DB" w14:textId="6B6B98A9" w:rsidR="000B29CD" w:rsidRDefault="000B29CD">
      <w:pPr>
        <w:spacing w:after="160" w:line="279" w:lineRule="auto"/>
        <w:rPr>
          <w:sz w:val="20"/>
          <w:szCs w:val="20"/>
          <w:lang w:val="en-US"/>
        </w:rPr>
      </w:pPr>
      <w:r>
        <w:rPr>
          <w:sz w:val="20"/>
          <w:szCs w:val="20"/>
          <w:lang w:val="en-US"/>
        </w:rPr>
        <w:br w:type="page"/>
      </w:r>
    </w:p>
    <w:p w14:paraId="19CC8964" w14:textId="69152B39" w:rsidR="000B29CD" w:rsidRDefault="000B29CD" w:rsidP="005A6274">
      <w:pPr>
        <w:spacing w:after="200"/>
        <w:jc w:val="both"/>
        <w:rPr>
          <w:sz w:val="20"/>
          <w:szCs w:val="20"/>
          <w:lang w:val="en-US"/>
        </w:rPr>
      </w:pPr>
      <w:r>
        <w:rPr>
          <w:rFonts w:ascii="Arial" w:hAnsi="Arial" w:cs="Arial"/>
          <w:b/>
          <w:bCs/>
          <w:sz w:val="20"/>
          <w:szCs w:val="20"/>
          <w:lang w:val="en-US"/>
        </w:rPr>
        <w:lastRenderedPageBreak/>
        <w:t>Supplementary Material</w:t>
      </w:r>
      <w:r w:rsidRPr="00E7470E">
        <w:rPr>
          <w:rFonts w:ascii="Arial" w:hAnsi="Arial" w:cs="Arial"/>
          <w:b/>
          <w:bCs/>
          <w:sz w:val="20"/>
          <w:szCs w:val="20"/>
          <w:lang w:val="en-US"/>
        </w:rPr>
        <w:t xml:space="preserve"> 1</w:t>
      </w:r>
      <w:r w:rsidRPr="00E7470E">
        <w:rPr>
          <w:rFonts w:ascii="Arial" w:hAnsi="Arial" w:cs="Arial"/>
          <w:sz w:val="20"/>
          <w:szCs w:val="20"/>
          <w:lang w:val="en-US"/>
        </w:rPr>
        <w:t>.</w:t>
      </w:r>
      <w:r w:rsidRPr="00586D85">
        <w:rPr>
          <w:sz w:val="20"/>
          <w:szCs w:val="20"/>
          <w:lang w:val="en-US"/>
        </w:rPr>
        <w:t xml:space="preserve"> </w:t>
      </w:r>
      <w:r>
        <w:rPr>
          <w:sz w:val="20"/>
          <w:szCs w:val="20"/>
          <w:lang w:val="en-US"/>
        </w:rPr>
        <w:t xml:space="preserve">Covariates </w:t>
      </w:r>
      <w:r w:rsidR="00564D3C">
        <w:rPr>
          <w:sz w:val="20"/>
          <w:szCs w:val="20"/>
          <w:lang w:val="en-US"/>
        </w:rPr>
        <w:t xml:space="preserve">individually </w:t>
      </w:r>
      <w:r>
        <w:rPr>
          <w:sz w:val="20"/>
          <w:szCs w:val="20"/>
          <w:lang w:val="en-US"/>
        </w:rPr>
        <w:t>considered as potential confounders</w:t>
      </w:r>
      <w:r w:rsidR="00F403F9">
        <w:rPr>
          <w:sz w:val="20"/>
          <w:szCs w:val="20"/>
          <w:lang w:val="en-US"/>
        </w:rPr>
        <w:t>.</w:t>
      </w:r>
    </w:p>
    <w:p w14:paraId="3D3D18C0" w14:textId="0B9520E6" w:rsidR="000B29CD" w:rsidRDefault="000B29CD" w:rsidP="000B29CD">
      <w:pPr>
        <w:pStyle w:val="ListParagraph"/>
        <w:numPr>
          <w:ilvl w:val="0"/>
          <w:numId w:val="1"/>
        </w:numPr>
        <w:spacing w:after="200"/>
        <w:jc w:val="both"/>
        <w:rPr>
          <w:sz w:val="20"/>
          <w:szCs w:val="20"/>
          <w:lang w:val="en-US"/>
        </w:rPr>
      </w:pPr>
      <w:r>
        <w:rPr>
          <w:sz w:val="20"/>
          <w:szCs w:val="20"/>
          <w:lang w:val="en-US"/>
        </w:rPr>
        <w:t>Ethnicity</w:t>
      </w:r>
      <w:r w:rsidR="00292385">
        <w:rPr>
          <w:sz w:val="20"/>
          <w:szCs w:val="20"/>
          <w:lang w:val="en-US"/>
        </w:rPr>
        <w:t xml:space="preserve"> [Caucasian/Non-Caucasian]</w:t>
      </w:r>
    </w:p>
    <w:p w14:paraId="19B9678D" w14:textId="38604A28" w:rsidR="000B29CD" w:rsidRDefault="000B29CD" w:rsidP="000B29CD">
      <w:pPr>
        <w:pStyle w:val="ListParagraph"/>
        <w:numPr>
          <w:ilvl w:val="0"/>
          <w:numId w:val="1"/>
        </w:numPr>
        <w:spacing w:after="200"/>
        <w:jc w:val="both"/>
        <w:rPr>
          <w:sz w:val="20"/>
          <w:szCs w:val="20"/>
          <w:lang w:val="en-US"/>
        </w:rPr>
      </w:pPr>
      <w:r>
        <w:rPr>
          <w:sz w:val="20"/>
          <w:szCs w:val="20"/>
          <w:lang w:val="en-US"/>
        </w:rPr>
        <w:t>Gender</w:t>
      </w:r>
      <w:r w:rsidR="00292385">
        <w:rPr>
          <w:sz w:val="20"/>
          <w:szCs w:val="20"/>
          <w:lang w:val="en-US"/>
        </w:rPr>
        <w:t xml:space="preserve"> [Woman/Man]</w:t>
      </w:r>
    </w:p>
    <w:p w14:paraId="57CDB61E" w14:textId="34D887D5" w:rsidR="00183F3C" w:rsidRDefault="00183F3C" w:rsidP="000B29CD">
      <w:pPr>
        <w:pStyle w:val="ListParagraph"/>
        <w:numPr>
          <w:ilvl w:val="0"/>
          <w:numId w:val="1"/>
        </w:numPr>
        <w:spacing w:after="200"/>
        <w:jc w:val="both"/>
        <w:rPr>
          <w:sz w:val="20"/>
          <w:szCs w:val="20"/>
          <w:lang w:val="en-US"/>
        </w:rPr>
      </w:pPr>
      <w:r>
        <w:rPr>
          <w:sz w:val="20"/>
          <w:szCs w:val="20"/>
          <w:lang w:val="en-US"/>
        </w:rPr>
        <w:t>Age</w:t>
      </w:r>
      <w:r w:rsidR="00292385">
        <w:rPr>
          <w:sz w:val="20"/>
          <w:szCs w:val="20"/>
          <w:lang w:val="en-US"/>
        </w:rPr>
        <w:t xml:space="preserve"> [years]</w:t>
      </w:r>
    </w:p>
    <w:p w14:paraId="5193F44D" w14:textId="35937546" w:rsidR="00EF2941" w:rsidRDefault="00C62424" w:rsidP="000B29CD">
      <w:pPr>
        <w:pStyle w:val="ListParagraph"/>
        <w:numPr>
          <w:ilvl w:val="0"/>
          <w:numId w:val="1"/>
        </w:numPr>
        <w:spacing w:after="200"/>
        <w:jc w:val="both"/>
        <w:rPr>
          <w:sz w:val="20"/>
          <w:szCs w:val="20"/>
          <w:lang w:val="en-US"/>
        </w:rPr>
      </w:pPr>
      <w:r>
        <w:rPr>
          <w:sz w:val="20"/>
          <w:szCs w:val="20"/>
          <w:lang w:val="en-US"/>
        </w:rPr>
        <w:t>Body mass index (BMI)</w:t>
      </w:r>
    </w:p>
    <w:p w14:paraId="7D7B3851" w14:textId="6E3DF548" w:rsidR="00EF2941" w:rsidRDefault="00EF2941" w:rsidP="000B29CD">
      <w:pPr>
        <w:pStyle w:val="ListParagraph"/>
        <w:numPr>
          <w:ilvl w:val="0"/>
          <w:numId w:val="1"/>
        </w:numPr>
        <w:spacing w:after="200"/>
        <w:jc w:val="both"/>
        <w:rPr>
          <w:sz w:val="20"/>
          <w:szCs w:val="20"/>
          <w:lang w:val="en-US"/>
        </w:rPr>
      </w:pPr>
      <w:r>
        <w:rPr>
          <w:sz w:val="20"/>
          <w:szCs w:val="20"/>
          <w:lang w:val="en-US"/>
        </w:rPr>
        <w:t>Weight</w:t>
      </w:r>
      <w:r w:rsidR="00370B76">
        <w:rPr>
          <w:sz w:val="20"/>
          <w:szCs w:val="20"/>
          <w:lang w:val="en-US"/>
        </w:rPr>
        <w:t xml:space="preserve"> [kg]</w:t>
      </w:r>
    </w:p>
    <w:p w14:paraId="61343D23" w14:textId="42A456F0" w:rsidR="00EF2941" w:rsidRDefault="00EF2941" w:rsidP="000B29CD">
      <w:pPr>
        <w:pStyle w:val="ListParagraph"/>
        <w:numPr>
          <w:ilvl w:val="0"/>
          <w:numId w:val="1"/>
        </w:numPr>
        <w:spacing w:after="200"/>
        <w:jc w:val="both"/>
        <w:rPr>
          <w:sz w:val="20"/>
          <w:szCs w:val="20"/>
          <w:lang w:val="en-US"/>
        </w:rPr>
      </w:pPr>
      <w:r>
        <w:rPr>
          <w:sz w:val="20"/>
          <w:szCs w:val="20"/>
          <w:lang w:val="en-US"/>
        </w:rPr>
        <w:t>Height</w:t>
      </w:r>
      <w:r w:rsidR="00370B76">
        <w:rPr>
          <w:sz w:val="20"/>
          <w:szCs w:val="20"/>
          <w:lang w:val="en-US"/>
        </w:rPr>
        <w:t xml:space="preserve"> [cm]</w:t>
      </w:r>
    </w:p>
    <w:p w14:paraId="3ADF745D" w14:textId="0E0F900D" w:rsidR="00EF2941" w:rsidRDefault="00EF2941" w:rsidP="000B29CD">
      <w:pPr>
        <w:pStyle w:val="ListParagraph"/>
        <w:numPr>
          <w:ilvl w:val="0"/>
          <w:numId w:val="1"/>
        </w:numPr>
        <w:spacing w:after="200"/>
        <w:jc w:val="both"/>
        <w:rPr>
          <w:sz w:val="20"/>
          <w:szCs w:val="20"/>
          <w:lang w:val="en-US"/>
        </w:rPr>
      </w:pPr>
      <w:r>
        <w:rPr>
          <w:sz w:val="20"/>
          <w:szCs w:val="20"/>
          <w:lang w:val="en-US"/>
        </w:rPr>
        <w:t>Waist circumference</w:t>
      </w:r>
      <w:r w:rsidR="00370B76">
        <w:rPr>
          <w:sz w:val="20"/>
          <w:szCs w:val="20"/>
          <w:lang w:val="en-US"/>
        </w:rPr>
        <w:t xml:space="preserve"> [cm]</w:t>
      </w:r>
    </w:p>
    <w:p w14:paraId="0A283F2D" w14:textId="0A1D91DC" w:rsidR="00EF2941" w:rsidRDefault="00EF2941" w:rsidP="000B29CD">
      <w:pPr>
        <w:pStyle w:val="ListParagraph"/>
        <w:numPr>
          <w:ilvl w:val="0"/>
          <w:numId w:val="1"/>
        </w:numPr>
        <w:spacing w:after="200"/>
        <w:jc w:val="both"/>
        <w:rPr>
          <w:sz w:val="20"/>
          <w:szCs w:val="20"/>
          <w:lang w:val="en-US"/>
        </w:rPr>
      </w:pPr>
      <w:r>
        <w:rPr>
          <w:sz w:val="20"/>
          <w:szCs w:val="20"/>
          <w:lang w:val="en-US"/>
        </w:rPr>
        <w:t>Hip circumference</w:t>
      </w:r>
      <w:r w:rsidR="00370B76">
        <w:rPr>
          <w:sz w:val="20"/>
          <w:szCs w:val="20"/>
          <w:lang w:val="en-US"/>
        </w:rPr>
        <w:t xml:space="preserve"> [cm]</w:t>
      </w:r>
    </w:p>
    <w:p w14:paraId="35E62E7C" w14:textId="126A52ED" w:rsidR="00EF2941" w:rsidRDefault="00EF2941" w:rsidP="000B29CD">
      <w:pPr>
        <w:pStyle w:val="ListParagraph"/>
        <w:numPr>
          <w:ilvl w:val="0"/>
          <w:numId w:val="1"/>
        </w:numPr>
        <w:spacing w:after="200"/>
        <w:jc w:val="both"/>
        <w:rPr>
          <w:sz w:val="20"/>
          <w:szCs w:val="20"/>
          <w:lang w:val="en-US"/>
        </w:rPr>
      </w:pPr>
      <w:r>
        <w:rPr>
          <w:sz w:val="20"/>
          <w:szCs w:val="20"/>
          <w:lang w:val="en-US"/>
        </w:rPr>
        <w:t>Waist-to-hip ratio</w:t>
      </w:r>
    </w:p>
    <w:p w14:paraId="061BE449" w14:textId="2B7D3CBA" w:rsidR="0068090F" w:rsidRDefault="0068090F" w:rsidP="000B29CD">
      <w:pPr>
        <w:pStyle w:val="ListParagraph"/>
        <w:numPr>
          <w:ilvl w:val="0"/>
          <w:numId w:val="1"/>
        </w:numPr>
        <w:spacing w:after="200"/>
        <w:jc w:val="both"/>
        <w:rPr>
          <w:sz w:val="20"/>
          <w:szCs w:val="20"/>
          <w:lang w:val="en-US"/>
        </w:rPr>
      </w:pPr>
      <w:r>
        <w:rPr>
          <w:sz w:val="20"/>
          <w:szCs w:val="20"/>
          <w:lang w:val="en-US"/>
        </w:rPr>
        <w:t>Fat mass</w:t>
      </w:r>
      <w:r w:rsidR="00370B76">
        <w:rPr>
          <w:sz w:val="20"/>
          <w:szCs w:val="20"/>
          <w:lang w:val="en-US"/>
        </w:rPr>
        <w:t xml:space="preserve"> [kg]</w:t>
      </w:r>
    </w:p>
    <w:p w14:paraId="7AD1CE7B" w14:textId="769B9C76" w:rsidR="0068090F" w:rsidRDefault="0068090F" w:rsidP="000B29CD">
      <w:pPr>
        <w:pStyle w:val="ListParagraph"/>
        <w:numPr>
          <w:ilvl w:val="0"/>
          <w:numId w:val="1"/>
        </w:numPr>
        <w:spacing w:after="200"/>
        <w:jc w:val="both"/>
        <w:rPr>
          <w:sz w:val="20"/>
          <w:szCs w:val="20"/>
          <w:lang w:val="en-US"/>
        </w:rPr>
      </w:pPr>
      <w:r>
        <w:rPr>
          <w:sz w:val="20"/>
          <w:szCs w:val="20"/>
          <w:lang w:val="en-US"/>
        </w:rPr>
        <w:t>Free fat mass</w:t>
      </w:r>
      <w:r w:rsidR="00370B76">
        <w:rPr>
          <w:sz w:val="20"/>
          <w:szCs w:val="20"/>
          <w:lang w:val="en-US"/>
        </w:rPr>
        <w:t xml:space="preserve"> [kg]</w:t>
      </w:r>
    </w:p>
    <w:p w14:paraId="5AB5AB42" w14:textId="28C39B3D" w:rsidR="0068090F" w:rsidRDefault="0068090F" w:rsidP="000B29CD">
      <w:pPr>
        <w:pStyle w:val="ListParagraph"/>
        <w:numPr>
          <w:ilvl w:val="0"/>
          <w:numId w:val="1"/>
        </w:numPr>
        <w:spacing w:after="200"/>
        <w:jc w:val="both"/>
        <w:rPr>
          <w:sz w:val="20"/>
          <w:szCs w:val="20"/>
          <w:lang w:val="en-US"/>
        </w:rPr>
      </w:pPr>
      <w:r>
        <w:rPr>
          <w:sz w:val="20"/>
          <w:szCs w:val="20"/>
          <w:lang w:val="en-US"/>
        </w:rPr>
        <w:t>Body cell mass</w:t>
      </w:r>
      <w:r w:rsidR="00370B76">
        <w:rPr>
          <w:sz w:val="20"/>
          <w:szCs w:val="20"/>
          <w:lang w:val="en-US"/>
        </w:rPr>
        <w:t xml:space="preserve"> [kg]</w:t>
      </w:r>
    </w:p>
    <w:p w14:paraId="28390FE0" w14:textId="795C1D0A" w:rsidR="00773FA6" w:rsidRPr="00773FA6" w:rsidRDefault="00773FA6" w:rsidP="00773FA6">
      <w:pPr>
        <w:pStyle w:val="ListParagraph"/>
        <w:numPr>
          <w:ilvl w:val="0"/>
          <w:numId w:val="1"/>
        </w:numPr>
        <w:spacing w:after="200"/>
        <w:jc w:val="both"/>
        <w:rPr>
          <w:sz w:val="20"/>
          <w:szCs w:val="20"/>
          <w:lang w:val="en-US"/>
        </w:rPr>
      </w:pPr>
      <w:r>
        <w:rPr>
          <w:sz w:val="20"/>
          <w:szCs w:val="20"/>
          <w:lang w:val="en-US"/>
        </w:rPr>
        <w:t>Body cell mass [%]</w:t>
      </w:r>
    </w:p>
    <w:p w14:paraId="3ABF9B9E" w14:textId="19DFE1CD" w:rsidR="0068090F" w:rsidRDefault="0068090F" w:rsidP="000B29CD">
      <w:pPr>
        <w:pStyle w:val="ListParagraph"/>
        <w:numPr>
          <w:ilvl w:val="0"/>
          <w:numId w:val="1"/>
        </w:numPr>
        <w:spacing w:after="200"/>
        <w:jc w:val="both"/>
        <w:rPr>
          <w:sz w:val="20"/>
          <w:szCs w:val="20"/>
          <w:lang w:val="en-US"/>
        </w:rPr>
      </w:pPr>
      <w:r>
        <w:rPr>
          <w:sz w:val="20"/>
          <w:szCs w:val="20"/>
          <w:lang w:val="en-US"/>
        </w:rPr>
        <w:t>Extracellular water</w:t>
      </w:r>
      <w:r w:rsidR="00370B76">
        <w:rPr>
          <w:sz w:val="20"/>
          <w:szCs w:val="20"/>
          <w:lang w:val="en-US"/>
        </w:rPr>
        <w:t xml:space="preserve"> [L]</w:t>
      </w:r>
    </w:p>
    <w:p w14:paraId="5F21CD44" w14:textId="61695096" w:rsidR="00773FA6" w:rsidRPr="00773FA6" w:rsidRDefault="00773FA6" w:rsidP="00773FA6">
      <w:pPr>
        <w:pStyle w:val="ListParagraph"/>
        <w:numPr>
          <w:ilvl w:val="0"/>
          <w:numId w:val="1"/>
        </w:numPr>
        <w:spacing w:after="200"/>
        <w:jc w:val="both"/>
        <w:rPr>
          <w:sz w:val="20"/>
          <w:szCs w:val="20"/>
          <w:lang w:val="en-US"/>
        </w:rPr>
      </w:pPr>
      <w:r>
        <w:rPr>
          <w:sz w:val="20"/>
          <w:szCs w:val="20"/>
          <w:lang w:val="en-US"/>
        </w:rPr>
        <w:t>Extracellular water [%]</w:t>
      </w:r>
    </w:p>
    <w:p w14:paraId="5EFCEB90" w14:textId="204F89BB" w:rsidR="0068090F" w:rsidRDefault="0068090F" w:rsidP="000B29CD">
      <w:pPr>
        <w:pStyle w:val="ListParagraph"/>
        <w:numPr>
          <w:ilvl w:val="0"/>
          <w:numId w:val="1"/>
        </w:numPr>
        <w:spacing w:after="200"/>
        <w:jc w:val="both"/>
        <w:rPr>
          <w:sz w:val="20"/>
          <w:szCs w:val="20"/>
          <w:lang w:val="en-US"/>
        </w:rPr>
      </w:pPr>
      <w:r>
        <w:rPr>
          <w:sz w:val="20"/>
          <w:szCs w:val="20"/>
          <w:lang w:val="en-US"/>
        </w:rPr>
        <w:t>Total body water</w:t>
      </w:r>
      <w:r w:rsidR="00370B76">
        <w:rPr>
          <w:sz w:val="20"/>
          <w:szCs w:val="20"/>
          <w:lang w:val="en-US"/>
        </w:rPr>
        <w:t xml:space="preserve"> [L]</w:t>
      </w:r>
    </w:p>
    <w:p w14:paraId="546B4A34" w14:textId="5C5A70CB" w:rsidR="000B29CD" w:rsidRDefault="002E4002" w:rsidP="000B29CD">
      <w:pPr>
        <w:pStyle w:val="ListParagraph"/>
        <w:numPr>
          <w:ilvl w:val="0"/>
          <w:numId w:val="1"/>
        </w:numPr>
        <w:spacing w:after="200"/>
        <w:jc w:val="both"/>
        <w:rPr>
          <w:sz w:val="20"/>
          <w:szCs w:val="20"/>
          <w:lang w:val="en-US"/>
        </w:rPr>
      </w:pPr>
      <w:r>
        <w:rPr>
          <w:sz w:val="20"/>
          <w:szCs w:val="20"/>
          <w:lang w:val="en-US"/>
        </w:rPr>
        <w:t>Total a</w:t>
      </w:r>
      <w:r w:rsidR="000B29CD">
        <w:rPr>
          <w:sz w:val="20"/>
          <w:szCs w:val="20"/>
          <w:lang w:val="en-US"/>
        </w:rPr>
        <w:t>mount of medication</w:t>
      </w:r>
      <w:r w:rsidR="00183F3C">
        <w:rPr>
          <w:sz w:val="20"/>
          <w:szCs w:val="20"/>
          <w:lang w:val="en-US"/>
        </w:rPr>
        <w:t xml:space="preserve"> </w:t>
      </w:r>
    </w:p>
    <w:p w14:paraId="6B5E1EC9" w14:textId="14A60BC4" w:rsidR="000B29CD" w:rsidRDefault="00373C47" w:rsidP="000B29CD">
      <w:pPr>
        <w:pStyle w:val="ListParagraph"/>
        <w:numPr>
          <w:ilvl w:val="0"/>
          <w:numId w:val="1"/>
        </w:numPr>
        <w:spacing w:after="200"/>
        <w:jc w:val="both"/>
        <w:rPr>
          <w:sz w:val="20"/>
          <w:szCs w:val="20"/>
          <w:lang w:val="en-US"/>
        </w:rPr>
      </w:pPr>
      <w:r>
        <w:rPr>
          <w:sz w:val="20"/>
          <w:szCs w:val="20"/>
          <w:lang w:val="en-US"/>
        </w:rPr>
        <w:t>Number</w:t>
      </w:r>
      <w:r w:rsidR="00183F3C">
        <w:rPr>
          <w:sz w:val="20"/>
          <w:szCs w:val="20"/>
          <w:lang w:val="en-US"/>
        </w:rPr>
        <w:t xml:space="preserve"> of </w:t>
      </w:r>
      <w:proofErr w:type="spellStart"/>
      <w:r w:rsidR="00183F3C">
        <w:rPr>
          <w:sz w:val="20"/>
          <w:szCs w:val="20"/>
          <w:lang w:val="en-US"/>
        </w:rPr>
        <w:t>d</w:t>
      </w:r>
      <w:r w:rsidR="000B29CD">
        <w:rPr>
          <w:sz w:val="20"/>
          <w:szCs w:val="20"/>
          <w:lang w:val="en-US"/>
        </w:rPr>
        <w:t>ermatological</w:t>
      </w:r>
      <w:r w:rsidR="002E4002">
        <w:rPr>
          <w:sz w:val="20"/>
          <w:szCs w:val="20"/>
          <w:lang w:val="en-US"/>
        </w:rPr>
        <w:t>s</w:t>
      </w:r>
      <w:proofErr w:type="spellEnd"/>
      <w:r w:rsidR="002E4002">
        <w:rPr>
          <w:sz w:val="20"/>
          <w:szCs w:val="20"/>
          <w:lang w:val="en-US"/>
        </w:rPr>
        <w:t xml:space="preserve"> </w:t>
      </w:r>
    </w:p>
    <w:p w14:paraId="18B46345" w14:textId="411E26E2" w:rsidR="00183F3C" w:rsidRDefault="00373C47" w:rsidP="000B29CD">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w:t>
      </w:r>
      <w:r w:rsidR="002E4002">
        <w:rPr>
          <w:sz w:val="20"/>
          <w:szCs w:val="20"/>
          <w:lang w:val="en-US"/>
        </w:rPr>
        <w:t>anti-infectives</w:t>
      </w:r>
      <w:r w:rsidR="00183F3C">
        <w:rPr>
          <w:sz w:val="20"/>
          <w:szCs w:val="20"/>
          <w:lang w:val="en-US"/>
        </w:rPr>
        <w:t xml:space="preserve"> </w:t>
      </w:r>
      <w:r w:rsidR="002E4002">
        <w:rPr>
          <w:sz w:val="20"/>
          <w:szCs w:val="20"/>
          <w:lang w:val="en-US"/>
        </w:rPr>
        <w:t xml:space="preserve">for systemic use </w:t>
      </w:r>
    </w:p>
    <w:p w14:paraId="352BB246" w14:textId="3CC68D49" w:rsidR="00183F3C" w:rsidRDefault="00373C47" w:rsidP="000B29CD">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w:t>
      </w:r>
      <w:r w:rsidR="00B81724">
        <w:rPr>
          <w:sz w:val="20"/>
          <w:szCs w:val="20"/>
          <w:lang w:val="en-US"/>
        </w:rPr>
        <w:t xml:space="preserve">antineoplastic and </w:t>
      </w:r>
      <w:r w:rsidR="00183F3C">
        <w:rPr>
          <w:sz w:val="20"/>
          <w:szCs w:val="20"/>
          <w:lang w:val="en-US"/>
        </w:rPr>
        <w:t xml:space="preserve">immunomodulating </w:t>
      </w:r>
      <w:r w:rsidR="002E4002">
        <w:rPr>
          <w:sz w:val="20"/>
          <w:szCs w:val="20"/>
          <w:lang w:val="en-US"/>
        </w:rPr>
        <w:t>agents</w:t>
      </w:r>
      <w:r w:rsidR="00183F3C">
        <w:rPr>
          <w:sz w:val="20"/>
          <w:szCs w:val="20"/>
          <w:lang w:val="en-US"/>
        </w:rPr>
        <w:t xml:space="preserve"> </w:t>
      </w:r>
    </w:p>
    <w:p w14:paraId="22DE6C10" w14:textId="2826F38D" w:rsidR="00183F3C" w:rsidRDefault="00373C47" w:rsidP="000B29CD">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injectable </w:t>
      </w:r>
      <w:r>
        <w:rPr>
          <w:sz w:val="20"/>
          <w:szCs w:val="20"/>
          <w:lang w:val="en-US"/>
        </w:rPr>
        <w:t>disease-modifying therapies (DMTs)</w:t>
      </w:r>
      <w:r w:rsidR="00183F3C">
        <w:rPr>
          <w:sz w:val="20"/>
          <w:szCs w:val="20"/>
          <w:lang w:val="en-US"/>
        </w:rPr>
        <w:t xml:space="preserve"> </w:t>
      </w:r>
    </w:p>
    <w:p w14:paraId="7A11F4C9" w14:textId="795A2D61" w:rsidR="00183F3C" w:rsidRPr="000B29CD"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of oral DMT</w:t>
      </w:r>
      <w:r>
        <w:rPr>
          <w:sz w:val="20"/>
          <w:szCs w:val="20"/>
          <w:lang w:val="en-US"/>
        </w:rPr>
        <w:t>s</w:t>
      </w:r>
      <w:r w:rsidR="00183F3C">
        <w:rPr>
          <w:sz w:val="20"/>
          <w:szCs w:val="20"/>
          <w:lang w:val="en-US"/>
        </w:rPr>
        <w:t xml:space="preserve"> </w:t>
      </w:r>
    </w:p>
    <w:p w14:paraId="3DB120D4" w14:textId="138BD52E" w:rsidR="00183F3C" w:rsidRPr="000B29CD"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w:t>
      </w:r>
      <w:proofErr w:type="gramStart"/>
      <w:r>
        <w:rPr>
          <w:sz w:val="20"/>
          <w:szCs w:val="20"/>
          <w:lang w:val="en-US"/>
        </w:rPr>
        <w:t>antibody</w:t>
      </w:r>
      <w:proofErr w:type="gramEnd"/>
      <w:r>
        <w:rPr>
          <w:sz w:val="20"/>
          <w:szCs w:val="20"/>
          <w:lang w:val="en-US"/>
        </w:rPr>
        <w:t xml:space="preserve"> </w:t>
      </w:r>
      <w:r w:rsidR="00183F3C">
        <w:rPr>
          <w:sz w:val="20"/>
          <w:szCs w:val="20"/>
          <w:lang w:val="en-US"/>
        </w:rPr>
        <w:t>DMT</w:t>
      </w:r>
      <w:r>
        <w:rPr>
          <w:sz w:val="20"/>
          <w:szCs w:val="20"/>
          <w:lang w:val="en-US"/>
        </w:rPr>
        <w:t>s</w:t>
      </w:r>
      <w:r w:rsidR="00183F3C">
        <w:rPr>
          <w:sz w:val="20"/>
          <w:szCs w:val="20"/>
          <w:lang w:val="en-US"/>
        </w:rPr>
        <w:t xml:space="preserve"> </w:t>
      </w:r>
    </w:p>
    <w:p w14:paraId="308FFEC2" w14:textId="767E11C3" w:rsidR="00183F3C"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w:t>
      </w:r>
      <w:r w:rsidR="002E4002">
        <w:rPr>
          <w:sz w:val="20"/>
          <w:szCs w:val="20"/>
          <w:lang w:val="en-US"/>
        </w:rPr>
        <w:t>musculo</w:t>
      </w:r>
      <w:r w:rsidR="00183F3C">
        <w:rPr>
          <w:sz w:val="20"/>
          <w:szCs w:val="20"/>
          <w:lang w:val="en-US"/>
        </w:rPr>
        <w:t xml:space="preserve">skeletal </w:t>
      </w:r>
      <w:r w:rsidR="002E4002">
        <w:rPr>
          <w:sz w:val="20"/>
          <w:szCs w:val="20"/>
          <w:lang w:val="en-US"/>
        </w:rPr>
        <w:t xml:space="preserve">system </w:t>
      </w:r>
      <w:r w:rsidR="00183F3C">
        <w:rPr>
          <w:sz w:val="20"/>
          <w:szCs w:val="20"/>
          <w:lang w:val="en-US"/>
        </w:rPr>
        <w:t>medication</w:t>
      </w:r>
      <w:r>
        <w:rPr>
          <w:sz w:val="20"/>
          <w:szCs w:val="20"/>
          <w:lang w:val="en-US"/>
        </w:rPr>
        <w:t>s</w:t>
      </w:r>
      <w:r w:rsidR="00183F3C">
        <w:rPr>
          <w:sz w:val="20"/>
          <w:szCs w:val="20"/>
          <w:lang w:val="en-US"/>
        </w:rPr>
        <w:t xml:space="preserve"> </w:t>
      </w:r>
    </w:p>
    <w:p w14:paraId="744CB841" w14:textId="5D7C4DB0" w:rsidR="00183F3C"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nervous </w:t>
      </w:r>
      <w:r w:rsidR="002E4002">
        <w:rPr>
          <w:sz w:val="20"/>
          <w:szCs w:val="20"/>
          <w:lang w:val="en-US"/>
        </w:rPr>
        <w:t xml:space="preserve">system </w:t>
      </w:r>
      <w:r w:rsidR="00183F3C">
        <w:rPr>
          <w:sz w:val="20"/>
          <w:szCs w:val="20"/>
          <w:lang w:val="en-US"/>
        </w:rPr>
        <w:t>medication</w:t>
      </w:r>
      <w:r>
        <w:rPr>
          <w:sz w:val="20"/>
          <w:szCs w:val="20"/>
          <w:lang w:val="en-US"/>
        </w:rPr>
        <w:t>s</w:t>
      </w:r>
      <w:r w:rsidR="00183F3C">
        <w:rPr>
          <w:sz w:val="20"/>
          <w:szCs w:val="20"/>
          <w:lang w:val="en-US"/>
        </w:rPr>
        <w:t xml:space="preserve"> </w:t>
      </w:r>
    </w:p>
    <w:p w14:paraId="3E458EC6" w14:textId="04BD4FDA" w:rsidR="00183F3C"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respiratory </w:t>
      </w:r>
      <w:r w:rsidR="002E4002">
        <w:rPr>
          <w:sz w:val="20"/>
          <w:szCs w:val="20"/>
          <w:lang w:val="en-US"/>
        </w:rPr>
        <w:t xml:space="preserve">system </w:t>
      </w:r>
      <w:r w:rsidR="00183F3C">
        <w:rPr>
          <w:sz w:val="20"/>
          <w:szCs w:val="20"/>
          <w:lang w:val="en-US"/>
        </w:rPr>
        <w:t>medication</w:t>
      </w:r>
      <w:r>
        <w:rPr>
          <w:sz w:val="20"/>
          <w:szCs w:val="20"/>
          <w:lang w:val="en-US"/>
        </w:rPr>
        <w:t>s</w:t>
      </w:r>
      <w:r w:rsidR="00183F3C">
        <w:rPr>
          <w:sz w:val="20"/>
          <w:szCs w:val="20"/>
          <w:lang w:val="en-US"/>
        </w:rPr>
        <w:t xml:space="preserve"> </w:t>
      </w:r>
    </w:p>
    <w:p w14:paraId="0D8310D5" w14:textId="6DAD1BC9" w:rsidR="00183F3C"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sensory </w:t>
      </w:r>
      <w:r w:rsidR="002E4002">
        <w:rPr>
          <w:sz w:val="20"/>
          <w:szCs w:val="20"/>
          <w:lang w:val="en-US"/>
        </w:rPr>
        <w:t xml:space="preserve">organs </w:t>
      </w:r>
      <w:r>
        <w:rPr>
          <w:sz w:val="20"/>
          <w:szCs w:val="20"/>
          <w:lang w:val="en-US"/>
        </w:rPr>
        <w:t xml:space="preserve">and </w:t>
      </w:r>
      <w:r w:rsidR="00183F3C">
        <w:rPr>
          <w:sz w:val="20"/>
          <w:szCs w:val="20"/>
          <w:lang w:val="en-US"/>
        </w:rPr>
        <w:t xml:space="preserve">medication </w:t>
      </w:r>
    </w:p>
    <w:p w14:paraId="3212E065" w14:textId="250FD3B3" w:rsidR="00183F3C" w:rsidRDefault="00373C47" w:rsidP="00183F3C">
      <w:pPr>
        <w:pStyle w:val="ListParagraph"/>
        <w:numPr>
          <w:ilvl w:val="0"/>
          <w:numId w:val="1"/>
        </w:numPr>
        <w:spacing w:after="200"/>
        <w:jc w:val="both"/>
        <w:rPr>
          <w:sz w:val="20"/>
          <w:szCs w:val="20"/>
          <w:lang w:val="en-US"/>
        </w:rPr>
      </w:pPr>
      <w:r>
        <w:rPr>
          <w:sz w:val="20"/>
          <w:szCs w:val="20"/>
          <w:lang w:val="en-US"/>
        </w:rPr>
        <w:t xml:space="preserve">Number </w:t>
      </w:r>
      <w:r w:rsidR="00183F3C">
        <w:rPr>
          <w:sz w:val="20"/>
          <w:szCs w:val="20"/>
          <w:lang w:val="en-US"/>
        </w:rPr>
        <w:t xml:space="preserve">of </w:t>
      </w:r>
      <w:r w:rsidR="00B81724">
        <w:rPr>
          <w:sz w:val="20"/>
          <w:szCs w:val="20"/>
          <w:lang w:val="en-US"/>
        </w:rPr>
        <w:t xml:space="preserve">genitourinary system medications and sex hormones </w:t>
      </w:r>
    </w:p>
    <w:p w14:paraId="6C9B6802" w14:textId="665EEA65" w:rsidR="00183F3C" w:rsidRDefault="00143D14" w:rsidP="00183F3C">
      <w:pPr>
        <w:pStyle w:val="ListParagraph"/>
        <w:numPr>
          <w:ilvl w:val="0"/>
          <w:numId w:val="1"/>
        </w:numPr>
        <w:spacing w:after="200"/>
        <w:jc w:val="both"/>
        <w:rPr>
          <w:sz w:val="20"/>
          <w:szCs w:val="20"/>
          <w:lang w:val="en-US"/>
        </w:rPr>
      </w:pPr>
      <w:r>
        <w:rPr>
          <w:sz w:val="20"/>
          <w:szCs w:val="20"/>
          <w:lang w:val="en-US"/>
        </w:rPr>
        <w:t>Mental health composite</w:t>
      </w:r>
      <w:r w:rsidR="00183F3C">
        <w:rPr>
          <w:sz w:val="20"/>
          <w:szCs w:val="20"/>
          <w:lang w:val="en-US"/>
        </w:rPr>
        <w:t xml:space="preserve"> score</w:t>
      </w:r>
    </w:p>
    <w:p w14:paraId="13615346" w14:textId="62530606" w:rsidR="00183F3C" w:rsidRDefault="00143D14" w:rsidP="00183F3C">
      <w:pPr>
        <w:pStyle w:val="ListParagraph"/>
        <w:numPr>
          <w:ilvl w:val="0"/>
          <w:numId w:val="1"/>
        </w:numPr>
        <w:spacing w:after="200"/>
        <w:jc w:val="both"/>
        <w:rPr>
          <w:sz w:val="20"/>
          <w:szCs w:val="20"/>
          <w:lang w:val="en-US"/>
        </w:rPr>
      </w:pPr>
      <w:r>
        <w:rPr>
          <w:sz w:val="20"/>
          <w:szCs w:val="20"/>
          <w:lang w:val="en-US"/>
        </w:rPr>
        <w:t xml:space="preserve">Physical health composite </w:t>
      </w:r>
      <w:r w:rsidR="00183F3C">
        <w:rPr>
          <w:sz w:val="20"/>
          <w:szCs w:val="20"/>
          <w:lang w:val="en-US"/>
        </w:rPr>
        <w:t>score</w:t>
      </w:r>
    </w:p>
    <w:p w14:paraId="43D41ADD" w14:textId="21D8876E" w:rsidR="00183F3C" w:rsidRDefault="00183F3C" w:rsidP="00183F3C">
      <w:pPr>
        <w:pStyle w:val="ListParagraph"/>
        <w:numPr>
          <w:ilvl w:val="0"/>
          <w:numId w:val="1"/>
        </w:numPr>
        <w:spacing w:after="200"/>
        <w:jc w:val="both"/>
        <w:rPr>
          <w:sz w:val="20"/>
          <w:szCs w:val="20"/>
          <w:lang w:val="en-US"/>
        </w:rPr>
      </w:pPr>
      <w:r>
        <w:rPr>
          <w:sz w:val="20"/>
          <w:szCs w:val="20"/>
          <w:lang w:val="en-US"/>
        </w:rPr>
        <w:t>Handgrip strength</w:t>
      </w:r>
      <w:r w:rsidR="00EF2941">
        <w:rPr>
          <w:sz w:val="20"/>
          <w:szCs w:val="20"/>
          <w:lang w:val="en-US"/>
        </w:rPr>
        <w:t xml:space="preserve"> right</w:t>
      </w:r>
      <w:r w:rsidR="00023C9C">
        <w:rPr>
          <w:sz w:val="20"/>
          <w:szCs w:val="20"/>
          <w:lang w:val="en-US"/>
        </w:rPr>
        <w:t xml:space="preserve"> [kg]</w:t>
      </w:r>
    </w:p>
    <w:p w14:paraId="618B8C7A" w14:textId="3FEDE509" w:rsidR="00EF2941" w:rsidRPr="00EF2941" w:rsidRDefault="00EF2941" w:rsidP="00EF2941">
      <w:pPr>
        <w:pStyle w:val="ListParagraph"/>
        <w:numPr>
          <w:ilvl w:val="0"/>
          <w:numId w:val="1"/>
        </w:numPr>
        <w:spacing w:after="200"/>
        <w:jc w:val="both"/>
        <w:rPr>
          <w:sz w:val="20"/>
          <w:szCs w:val="20"/>
          <w:lang w:val="en-US"/>
        </w:rPr>
      </w:pPr>
      <w:r>
        <w:rPr>
          <w:sz w:val="20"/>
          <w:szCs w:val="20"/>
          <w:lang w:val="en-US"/>
        </w:rPr>
        <w:t>Handgrip strength light</w:t>
      </w:r>
      <w:r w:rsidR="00023C9C">
        <w:rPr>
          <w:sz w:val="20"/>
          <w:szCs w:val="20"/>
          <w:lang w:val="en-US"/>
        </w:rPr>
        <w:t xml:space="preserve"> [kg]</w:t>
      </w:r>
    </w:p>
    <w:p w14:paraId="741035DE" w14:textId="2D80EA24" w:rsidR="00183F3C" w:rsidRDefault="00143D14" w:rsidP="00183F3C">
      <w:pPr>
        <w:pStyle w:val="ListParagraph"/>
        <w:numPr>
          <w:ilvl w:val="0"/>
          <w:numId w:val="1"/>
        </w:numPr>
        <w:spacing w:after="200"/>
        <w:jc w:val="both"/>
        <w:rPr>
          <w:sz w:val="20"/>
          <w:szCs w:val="20"/>
          <w:lang w:val="en-US"/>
        </w:rPr>
      </w:pPr>
      <w:r>
        <w:rPr>
          <w:sz w:val="20"/>
          <w:szCs w:val="20"/>
          <w:lang w:val="en-US"/>
        </w:rPr>
        <w:t>Multiple sclerosis functional composite</w:t>
      </w:r>
      <w:r w:rsidR="00183F3C">
        <w:rPr>
          <w:sz w:val="20"/>
          <w:szCs w:val="20"/>
          <w:lang w:val="en-US"/>
        </w:rPr>
        <w:t xml:space="preserve"> (</w:t>
      </w:r>
      <w:r>
        <w:rPr>
          <w:sz w:val="20"/>
          <w:szCs w:val="20"/>
          <w:lang w:val="en-US"/>
        </w:rPr>
        <w:t>MSFC</w:t>
      </w:r>
      <w:r w:rsidR="00B52CCB">
        <w:rPr>
          <w:sz w:val="20"/>
          <w:szCs w:val="20"/>
          <w:lang w:val="en-US"/>
        </w:rPr>
        <w:t xml:space="preserve">) </w:t>
      </w:r>
      <w:r w:rsidR="00183F3C">
        <w:rPr>
          <w:sz w:val="20"/>
          <w:szCs w:val="20"/>
          <w:lang w:val="en-US"/>
        </w:rPr>
        <w:t>z-score</w:t>
      </w:r>
    </w:p>
    <w:p w14:paraId="6AD48258" w14:textId="486BC459" w:rsidR="00183F3C" w:rsidRDefault="00143D14" w:rsidP="00183F3C">
      <w:pPr>
        <w:pStyle w:val="ListParagraph"/>
        <w:numPr>
          <w:ilvl w:val="0"/>
          <w:numId w:val="1"/>
        </w:numPr>
        <w:spacing w:after="200"/>
        <w:jc w:val="both"/>
        <w:rPr>
          <w:sz w:val="20"/>
          <w:szCs w:val="20"/>
          <w:lang w:val="en-US"/>
        </w:rPr>
      </w:pPr>
      <w:r>
        <w:rPr>
          <w:sz w:val="20"/>
          <w:szCs w:val="20"/>
          <w:lang w:val="en-US"/>
        </w:rPr>
        <w:t>Paced auditory serial addition test (PASAT)</w:t>
      </w:r>
      <w:r w:rsidR="00183F3C">
        <w:rPr>
          <w:sz w:val="20"/>
          <w:szCs w:val="20"/>
          <w:lang w:val="en-US"/>
        </w:rPr>
        <w:t xml:space="preserve"> score</w:t>
      </w:r>
    </w:p>
    <w:p w14:paraId="20517ACC" w14:textId="4DAFA69A" w:rsidR="00183F3C" w:rsidRDefault="005A34FA" w:rsidP="00183F3C">
      <w:pPr>
        <w:pStyle w:val="ListParagraph"/>
        <w:numPr>
          <w:ilvl w:val="0"/>
          <w:numId w:val="1"/>
        </w:numPr>
        <w:spacing w:after="200"/>
        <w:jc w:val="both"/>
        <w:rPr>
          <w:sz w:val="20"/>
          <w:szCs w:val="20"/>
          <w:lang w:val="en-US"/>
        </w:rPr>
      </w:pPr>
      <w:r w:rsidRPr="005A34FA">
        <w:rPr>
          <w:sz w:val="20"/>
          <w:szCs w:val="20"/>
          <w:lang w:val="en-US"/>
        </w:rPr>
        <w:t>Fatigue severity scale</w:t>
      </w:r>
      <w:r w:rsidR="00143D14">
        <w:rPr>
          <w:sz w:val="20"/>
          <w:szCs w:val="20"/>
          <w:lang w:val="en-US"/>
        </w:rPr>
        <w:t xml:space="preserve"> (FSS)</w:t>
      </w:r>
      <w:r>
        <w:rPr>
          <w:sz w:val="20"/>
          <w:szCs w:val="20"/>
          <w:lang w:val="en-US"/>
        </w:rPr>
        <w:t xml:space="preserve"> score </w:t>
      </w:r>
    </w:p>
    <w:p w14:paraId="737E1E6D" w14:textId="1660EC8F" w:rsidR="00183F3C" w:rsidRDefault="005A34FA" w:rsidP="00183F3C">
      <w:pPr>
        <w:pStyle w:val="ListParagraph"/>
        <w:numPr>
          <w:ilvl w:val="0"/>
          <w:numId w:val="1"/>
        </w:numPr>
        <w:spacing w:after="200"/>
        <w:jc w:val="both"/>
        <w:rPr>
          <w:sz w:val="20"/>
          <w:szCs w:val="20"/>
          <w:lang w:val="en-US"/>
        </w:rPr>
      </w:pPr>
      <w:r>
        <w:rPr>
          <w:sz w:val="20"/>
          <w:szCs w:val="20"/>
          <w:lang w:val="en-US"/>
        </w:rPr>
        <w:t>E</w:t>
      </w:r>
      <w:r w:rsidRPr="005A34FA">
        <w:rPr>
          <w:sz w:val="20"/>
          <w:szCs w:val="20"/>
          <w:lang w:val="en-US"/>
        </w:rPr>
        <w:t>xpanded disability status scale</w:t>
      </w:r>
      <w:r>
        <w:rPr>
          <w:sz w:val="20"/>
          <w:szCs w:val="20"/>
          <w:lang w:val="en-US"/>
        </w:rPr>
        <w:t xml:space="preserve"> </w:t>
      </w:r>
      <w:r w:rsidR="00143D14">
        <w:rPr>
          <w:sz w:val="20"/>
          <w:szCs w:val="20"/>
          <w:lang w:val="en-US"/>
        </w:rPr>
        <w:t xml:space="preserve">(EDSS) </w:t>
      </w:r>
      <w:r>
        <w:rPr>
          <w:sz w:val="20"/>
          <w:szCs w:val="20"/>
          <w:lang w:val="en-US"/>
        </w:rPr>
        <w:t>score</w:t>
      </w:r>
    </w:p>
    <w:p w14:paraId="0AB62BFA" w14:textId="716973F6" w:rsidR="00EF2941" w:rsidRDefault="00143D14" w:rsidP="00183F3C">
      <w:pPr>
        <w:pStyle w:val="ListParagraph"/>
        <w:numPr>
          <w:ilvl w:val="0"/>
          <w:numId w:val="1"/>
        </w:numPr>
        <w:spacing w:after="200"/>
        <w:jc w:val="both"/>
        <w:rPr>
          <w:sz w:val="20"/>
          <w:szCs w:val="20"/>
          <w:lang w:val="en-US"/>
        </w:rPr>
      </w:pPr>
      <w:r>
        <w:rPr>
          <w:sz w:val="20"/>
          <w:szCs w:val="20"/>
          <w:lang w:val="en-US"/>
        </w:rPr>
        <w:t xml:space="preserve">Six-minute walking test </w:t>
      </w:r>
      <w:r w:rsidR="00DB3B38">
        <w:rPr>
          <w:sz w:val="20"/>
          <w:szCs w:val="20"/>
          <w:lang w:val="en-US"/>
        </w:rPr>
        <w:t xml:space="preserve">(6MWT) </w:t>
      </w:r>
      <w:r>
        <w:rPr>
          <w:sz w:val="20"/>
          <w:szCs w:val="20"/>
          <w:lang w:val="en-US"/>
        </w:rPr>
        <w:t>result</w:t>
      </w:r>
    </w:p>
    <w:p w14:paraId="684117E5" w14:textId="2785B0CC" w:rsidR="00183F3C" w:rsidRPr="005A34FA" w:rsidRDefault="005A34FA" w:rsidP="005A34FA">
      <w:pPr>
        <w:pStyle w:val="ListParagraph"/>
        <w:numPr>
          <w:ilvl w:val="0"/>
          <w:numId w:val="1"/>
        </w:numPr>
        <w:spacing w:after="200"/>
        <w:jc w:val="both"/>
        <w:rPr>
          <w:sz w:val="20"/>
          <w:szCs w:val="20"/>
          <w:lang w:val="en-US"/>
        </w:rPr>
      </w:pPr>
      <w:r w:rsidRPr="005A34FA">
        <w:rPr>
          <w:sz w:val="20"/>
          <w:szCs w:val="20"/>
          <w:lang w:val="en-US"/>
        </w:rPr>
        <w:t>Beck depression inventory</w:t>
      </w:r>
      <w:r>
        <w:rPr>
          <w:sz w:val="20"/>
          <w:szCs w:val="20"/>
          <w:lang w:val="en-US"/>
        </w:rPr>
        <w:t xml:space="preserve"> </w:t>
      </w:r>
      <w:r w:rsidRPr="005A34FA">
        <w:rPr>
          <w:sz w:val="20"/>
          <w:szCs w:val="20"/>
          <w:lang w:val="en-US"/>
        </w:rPr>
        <w:t xml:space="preserve">II </w:t>
      </w:r>
      <w:r w:rsidR="00143D14">
        <w:rPr>
          <w:sz w:val="20"/>
          <w:szCs w:val="20"/>
          <w:lang w:val="en-US"/>
        </w:rPr>
        <w:t>(BDI</w:t>
      </w:r>
      <w:r w:rsidR="002D3E71">
        <w:rPr>
          <w:sz w:val="20"/>
          <w:szCs w:val="20"/>
          <w:lang w:val="en-US"/>
        </w:rPr>
        <w:t>-II</w:t>
      </w:r>
      <w:r w:rsidR="00143D14">
        <w:rPr>
          <w:sz w:val="20"/>
          <w:szCs w:val="20"/>
          <w:lang w:val="en-US"/>
        </w:rPr>
        <w:t xml:space="preserve">) </w:t>
      </w:r>
      <w:r w:rsidR="00183F3C" w:rsidRPr="005A34FA">
        <w:rPr>
          <w:sz w:val="20"/>
          <w:szCs w:val="20"/>
          <w:lang w:val="en-US"/>
        </w:rPr>
        <w:t>score</w:t>
      </w:r>
    </w:p>
    <w:p w14:paraId="015DA387" w14:textId="73FFDB01" w:rsidR="00183F3C" w:rsidRDefault="005A34FA" w:rsidP="00183F3C">
      <w:pPr>
        <w:pStyle w:val="ListParagraph"/>
        <w:numPr>
          <w:ilvl w:val="0"/>
          <w:numId w:val="1"/>
        </w:numPr>
        <w:spacing w:after="200"/>
        <w:jc w:val="both"/>
        <w:rPr>
          <w:sz w:val="20"/>
          <w:szCs w:val="20"/>
          <w:lang w:val="en-US"/>
        </w:rPr>
      </w:pPr>
      <w:r w:rsidRPr="005A34FA">
        <w:rPr>
          <w:sz w:val="20"/>
          <w:szCs w:val="20"/>
          <w:lang w:val="en-US"/>
        </w:rPr>
        <w:t xml:space="preserve">Symbol digit modalities test </w:t>
      </w:r>
      <w:r w:rsidR="00143D14">
        <w:rPr>
          <w:sz w:val="20"/>
          <w:szCs w:val="20"/>
          <w:lang w:val="en-US"/>
        </w:rPr>
        <w:t xml:space="preserve">(SDMT) </w:t>
      </w:r>
      <w:r>
        <w:rPr>
          <w:sz w:val="20"/>
          <w:szCs w:val="20"/>
          <w:lang w:val="en-US"/>
        </w:rPr>
        <w:t>score</w:t>
      </w:r>
    </w:p>
    <w:p w14:paraId="087443DF" w14:textId="6939040B" w:rsidR="00183F3C" w:rsidRDefault="00183F3C" w:rsidP="00183F3C">
      <w:pPr>
        <w:pStyle w:val="ListParagraph"/>
        <w:numPr>
          <w:ilvl w:val="0"/>
          <w:numId w:val="1"/>
        </w:numPr>
        <w:spacing w:after="200"/>
        <w:jc w:val="both"/>
        <w:rPr>
          <w:sz w:val="20"/>
          <w:szCs w:val="20"/>
          <w:lang w:val="en-US"/>
        </w:rPr>
      </w:pPr>
      <w:r>
        <w:rPr>
          <w:sz w:val="20"/>
          <w:szCs w:val="20"/>
          <w:lang w:val="en-US"/>
        </w:rPr>
        <w:t>Systolic blood pressure</w:t>
      </w:r>
      <w:r w:rsidR="001A7083">
        <w:rPr>
          <w:sz w:val="20"/>
          <w:szCs w:val="20"/>
          <w:lang w:val="en-US"/>
        </w:rPr>
        <w:t xml:space="preserve"> [</w:t>
      </w:r>
      <w:proofErr w:type="spellStart"/>
      <w:r w:rsidR="001A7083">
        <w:rPr>
          <w:sz w:val="20"/>
          <w:szCs w:val="20"/>
          <w:lang w:val="en-US"/>
        </w:rPr>
        <w:t>mmHG</w:t>
      </w:r>
      <w:proofErr w:type="spellEnd"/>
      <w:r w:rsidR="001A7083">
        <w:rPr>
          <w:sz w:val="20"/>
          <w:szCs w:val="20"/>
          <w:lang w:val="en-US"/>
        </w:rPr>
        <w:t>]</w:t>
      </w:r>
    </w:p>
    <w:p w14:paraId="5E0B037E" w14:textId="3AE5CCAF" w:rsidR="00183F3C" w:rsidRDefault="00183F3C" w:rsidP="00183F3C">
      <w:pPr>
        <w:pStyle w:val="ListParagraph"/>
        <w:numPr>
          <w:ilvl w:val="0"/>
          <w:numId w:val="1"/>
        </w:numPr>
        <w:spacing w:after="200"/>
        <w:jc w:val="both"/>
        <w:rPr>
          <w:sz w:val="20"/>
          <w:szCs w:val="20"/>
          <w:lang w:val="en-US"/>
        </w:rPr>
      </w:pPr>
      <w:r>
        <w:rPr>
          <w:sz w:val="20"/>
          <w:szCs w:val="20"/>
          <w:lang w:val="en-US"/>
        </w:rPr>
        <w:t>Diastolic blood pressure</w:t>
      </w:r>
      <w:r w:rsidR="001A7083">
        <w:rPr>
          <w:sz w:val="20"/>
          <w:szCs w:val="20"/>
          <w:lang w:val="en-US"/>
        </w:rPr>
        <w:t xml:space="preserve"> [</w:t>
      </w:r>
      <w:proofErr w:type="spellStart"/>
      <w:r w:rsidR="001A7083">
        <w:rPr>
          <w:sz w:val="20"/>
          <w:szCs w:val="20"/>
          <w:lang w:val="en-US"/>
        </w:rPr>
        <w:t>mmHG</w:t>
      </w:r>
      <w:proofErr w:type="spellEnd"/>
      <w:r w:rsidR="001A7083">
        <w:rPr>
          <w:sz w:val="20"/>
          <w:szCs w:val="20"/>
          <w:lang w:val="en-US"/>
        </w:rPr>
        <w:t>]</w:t>
      </w:r>
    </w:p>
    <w:p w14:paraId="6D7008C1" w14:textId="731F3C42" w:rsidR="0068090F" w:rsidRDefault="0068090F" w:rsidP="00183F3C">
      <w:pPr>
        <w:pStyle w:val="ListParagraph"/>
        <w:numPr>
          <w:ilvl w:val="0"/>
          <w:numId w:val="1"/>
        </w:numPr>
        <w:spacing w:after="200"/>
        <w:jc w:val="both"/>
        <w:rPr>
          <w:sz w:val="20"/>
          <w:szCs w:val="20"/>
          <w:lang w:val="en-US"/>
        </w:rPr>
      </w:pPr>
      <w:r>
        <w:rPr>
          <w:sz w:val="20"/>
          <w:szCs w:val="20"/>
          <w:lang w:val="en-US"/>
        </w:rPr>
        <w:t>Heart rate</w:t>
      </w:r>
      <w:r w:rsidR="00370B76">
        <w:rPr>
          <w:sz w:val="20"/>
          <w:szCs w:val="20"/>
          <w:lang w:val="en-US"/>
        </w:rPr>
        <w:t xml:space="preserve"> [bpm]</w:t>
      </w:r>
    </w:p>
    <w:p w14:paraId="188C6DFF" w14:textId="18984C97" w:rsidR="00183F3C" w:rsidRDefault="00F54D7F" w:rsidP="00183F3C">
      <w:pPr>
        <w:pStyle w:val="ListParagraph"/>
        <w:numPr>
          <w:ilvl w:val="0"/>
          <w:numId w:val="1"/>
        </w:numPr>
        <w:spacing w:after="200"/>
        <w:jc w:val="both"/>
        <w:rPr>
          <w:sz w:val="20"/>
          <w:szCs w:val="20"/>
          <w:lang w:val="en-US"/>
        </w:rPr>
      </w:pPr>
      <w:r>
        <w:rPr>
          <w:sz w:val="20"/>
          <w:szCs w:val="20"/>
          <w:lang w:val="en-US"/>
        </w:rPr>
        <w:t>Low-density lipoprotein</w:t>
      </w:r>
      <w:r w:rsidR="00183F3C">
        <w:rPr>
          <w:sz w:val="20"/>
          <w:szCs w:val="20"/>
          <w:lang w:val="en-US"/>
        </w:rPr>
        <w:t xml:space="preserve"> </w:t>
      </w:r>
      <w:r>
        <w:rPr>
          <w:sz w:val="20"/>
          <w:szCs w:val="20"/>
          <w:lang w:val="en-US"/>
        </w:rPr>
        <w:t xml:space="preserve">(LDL) </w:t>
      </w:r>
      <w:r w:rsidR="00183F3C">
        <w:rPr>
          <w:sz w:val="20"/>
          <w:szCs w:val="20"/>
          <w:lang w:val="en-US"/>
        </w:rPr>
        <w:t>cholesterol</w:t>
      </w:r>
      <w:r w:rsidR="00DB3B38">
        <w:rPr>
          <w:sz w:val="20"/>
          <w:szCs w:val="20"/>
          <w:lang w:val="en-US"/>
        </w:rPr>
        <w:t xml:space="preserve"> [mg/dL]</w:t>
      </w:r>
    </w:p>
    <w:p w14:paraId="049507EE" w14:textId="2AE8699A" w:rsidR="00EF2941" w:rsidRDefault="00F54D7F" w:rsidP="00EF2941">
      <w:pPr>
        <w:pStyle w:val="ListParagraph"/>
        <w:numPr>
          <w:ilvl w:val="0"/>
          <w:numId w:val="1"/>
        </w:numPr>
        <w:spacing w:after="200"/>
        <w:jc w:val="both"/>
        <w:rPr>
          <w:sz w:val="20"/>
          <w:szCs w:val="20"/>
          <w:lang w:val="en-US"/>
        </w:rPr>
      </w:pPr>
      <w:r>
        <w:rPr>
          <w:sz w:val="20"/>
          <w:szCs w:val="20"/>
          <w:lang w:val="en-US"/>
        </w:rPr>
        <w:t xml:space="preserve">High-density lipoprotein (HDL) </w:t>
      </w:r>
      <w:r w:rsidR="00EF2941">
        <w:rPr>
          <w:sz w:val="20"/>
          <w:szCs w:val="20"/>
          <w:lang w:val="en-US"/>
        </w:rPr>
        <w:t>cholesterol</w:t>
      </w:r>
      <w:r w:rsidR="00DB3B38">
        <w:rPr>
          <w:sz w:val="20"/>
          <w:szCs w:val="20"/>
          <w:lang w:val="en-US"/>
        </w:rPr>
        <w:t xml:space="preserve"> [mg/dL]</w:t>
      </w:r>
    </w:p>
    <w:p w14:paraId="5B3D6FB4" w14:textId="6704161B" w:rsidR="00EF2941" w:rsidRPr="00EF2941" w:rsidRDefault="00EF2941" w:rsidP="00EF2941">
      <w:pPr>
        <w:pStyle w:val="ListParagraph"/>
        <w:numPr>
          <w:ilvl w:val="0"/>
          <w:numId w:val="1"/>
        </w:numPr>
        <w:spacing w:after="200"/>
        <w:jc w:val="both"/>
        <w:rPr>
          <w:sz w:val="20"/>
          <w:szCs w:val="20"/>
          <w:lang w:val="en-US"/>
        </w:rPr>
      </w:pPr>
      <w:r>
        <w:rPr>
          <w:sz w:val="20"/>
          <w:szCs w:val="20"/>
          <w:lang w:val="en-US"/>
        </w:rPr>
        <w:t>Non-HDL cholest</w:t>
      </w:r>
      <w:r w:rsidR="00E80964">
        <w:rPr>
          <w:sz w:val="20"/>
          <w:szCs w:val="20"/>
          <w:lang w:val="en-US"/>
        </w:rPr>
        <w:t>e</w:t>
      </w:r>
      <w:r>
        <w:rPr>
          <w:sz w:val="20"/>
          <w:szCs w:val="20"/>
          <w:lang w:val="en-US"/>
        </w:rPr>
        <w:t>rol</w:t>
      </w:r>
      <w:r w:rsidR="00DB3B38">
        <w:rPr>
          <w:sz w:val="20"/>
          <w:szCs w:val="20"/>
          <w:lang w:val="en-US"/>
        </w:rPr>
        <w:t xml:space="preserve"> [mg/dL]</w:t>
      </w:r>
    </w:p>
    <w:p w14:paraId="6B19BBE3" w14:textId="471B368A" w:rsidR="00EF2941" w:rsidRDefault="00EF2941" w:rsidP="00183F3C">
      <w:pPr>
        <w:pStyle w:val="ListParagraph"/>
        <w:numPr>
          <w:ilvl w:val="0"/>
          <w:numId w:val="1"/>
        </w:numPr>
        <w:spacing w:after="200"/>
        <w:jc w:val="both"/>
        <w:rPr>
          <w:sz w:val="20"/>
          <w:szCs w:val="20"/>
          <w:lang w:val="en-US"/>
        </w:rPr>
      </w:pPr>
      <w:r>
        <w:rPr>
          <w:sz w:val="20"/>
          <w:szCs w:val="20"/>
          <w:lang w:val="en-US"/>
        </w:rPr>
        <w:t>Total cholesterol</w:t>
      </w:r>
      <w:r w:rsidR="00DB3B38">
        <w:rPr>
          <w:sz w:val="20"/>
          <w:szCs w:val="20"/>
          <w:lang w:val="en-US"/>
        </w:rPr>
        <w:t xml:space="preserve"> [mg/dL]</w:t>
      </w:r>
    </w:p>
    <w:p w14:paraId="430C8E36" w14:textId="75A25089" w:rsidR="00183F3C" w:rsidRDefault="00183F3C" w:rsidP="00183F3C">
      <w:pPr>
        <w:pStyle w:val="ListParagraph"/>
        <w:numPr>
          <w:ilvl w:val="0"/>
          <w:numId w:val="1"/>
        </w:numPr>
        <w:spacing w:after="200"/>
        <w:jc w:val="both"/>
        <w:rPr>
          <w:sz w:val="20"/>
          <w:szCs w:val="20"/>
          <w:lang w:val="en-US"/>
        </w:rPr>
      </w:pPr>
      <w:r>
        <w:rPr>
          <w:sz w:val="20"/>
          <w:szCs w:val="20"/>
          <w:lang w:val="en-US"/>
        </w:rPr>
        <w:t>Leptin</w:t>
      </w:r>
      <w:r w:rsidR="00DB3B38">
        <w:rPr>
          <w:sz w:val="20"/>
          <w:szCs w:val="20"/>
          <w:lang w:val="en-US"/>
        </w:rPr>
        <w:t xml:space="preserve"> </w:t>
      </w:r>
      <w:r w:rsidR="00B52CCB">
        <w:rPr>
          <w:rFonts w:eastAsia="Arial"/>
          <w:sz w:val="20"/>
          <w:szCs w:val="20"/>
          <w:lang w:val="en-US"/>
        </w:rPr>
        <w:t>[ng/mL]</w:t>
      </w:r>
    </w:p>
    <w:p w14:paraId="6358CD62" w14:textId="466A100D" w:rsidR="00183F3C" w:rsidRDefault="00EF2941" w:rsidP="00183F3C">
      <w:pPr>
        <w:pStyle w:val="ListParagraph"/>
        <w:numPr>
          <w:ilvl w:val="0"/>
          <w:numId w:val="1"/>
        </w:numPr>
        <w:spacing w:after="200"/>
        <w:jc w:val="both"/>
        <w:rPr>
          <w:sz w:val="20"/>
          <w:szCs w:val="20"/>
          <w:lang w:val="en-US"/>
        </w:rPr>
      </w:pPr>
      <w:r>
        <w:rPr>
          <w:sz w:val="20"/>
          <w:szCs w:val="20"/>
          <w:lang w:val="en-US"/>
        </w:rPr>
        <w:t>Triglycerides</w:t>
      </w:r>
      <w:r w:rsidR="00DB3B38">
        <w:rPr>
          <w:sz w:val="20"/>
          <w:szCs w:val="20"/>
          <w:lang w:val="en-US"/>
        </w:rPr>
        <w:t xml:space="preserve"> [mg/dL]</w:t>
      </w:r>
    </w:p>
    <w:p w14:paraId="2C547FBD" w14:textId="3FD705D6" w:rsidR="00EF2941" w:rsidRDefault="00EF2941" w:rsidP="00183F3C">
      <w:pPr>
        <w:pStyle w:val="ListParagraph"/>
        <w:numPr>
          <w:ilvl w:val="0"/>
          <w:numId w:val="1"/>
        </w:numPr>
        <w:spacing w:after="200"/>
        <w:jc w:val="both"/>
        <w:rPr>
          <w:sz w:val="20"/>
          <w:szCs w:val="20"/>
          <w:lang w:val="en-US"/>
        </w:rPr>
      </w:pPr>
      <w:r>
        <w:rPr>
          <w:sz w:val="20"/>
          <w:szCs w:val="20"/>
          <w:lang w:val="en-US"/>
        </w:rPr>
        <w:t>Insulin</w:t>
      </w:r>
      <w:r w:rsidR="00DB3B38">
        <w:rPr>
          <w:sz w:val="20"/>
          <w:szCs w:val="20"/>
          <w:lang w:val="en-US"/>
        </w:rPr>
        <w:t xml:space="preserve"> [</w:t>
      </w:r>
      <w:proofErr w:type="spellStart"/>
      <w:r w:rsidR="00DB3B38">
        <w:rPr>
          <w:sz w:val="20"/>
          <w:szCs w:val="20"/>
          <w:lang w:val="en-US"/>
        </w:rPr>
        <w:t>mU</w:t>
      </w:r>
      <w:proofErr w:type="spellEnd"/>
      <w:r w:rsidR="00DB3B38">
        <w:rPr>
          <w:sz w:val="20"/>
          <w:szCs w:val="20"/>
          <w:lang w:val="en-US"/>
        </w:rPr>
        <w:t>/L]</w:t>
      </w:r>
    </w:p>
    <w:p w14:paraId="38DA4708" w14:textId="6C4030F0" w:rsidR="00EF2941" w:rsidRDefault="00EF2941" w:rsidP="00183F3C">
      <w:pPr>
        <w:pStyle w:val="ListParagraph"/>
        <w:numPr>
          <w:ilvl w:val="0"/>
          <w:numId w:val="1"/>
        </w:numPr>
        <w:spacing w:after="200"/>
        <w:jc w:val="both"/>
        <w:rPr>
          <w:sz w:val="20"/>
          <w:szCs w:val="20"/>
          <w:lang w:val="en-US"/>
        </w:rPr>
      </w:pPr>
      <w:r>
        <w:rPr>
          <w:sz w:val="20"/>
          <w:szCs w:val="20"/>
          <w:lang w:val="en-US"/>
        </w:rPr>
        <w:t>Adiponectin</w:t>
      </w:r>
      <w:r w:rsidR="00DB3B38">
        <w:rPr>
          <w:sz w:val="20"/>
          <w:szCs w:val="20"/>
          <w:lang w:val="en-US"/>
        </w:rPr>
        <w:t xml:space="preserve"> </w:t>
      </w:r>
      <w:r w:rsidR="00B52CCB">
        <w:rPr>
          <w:rFonts w:eastAsia="Arial"/>
          <w:sz w:val="20"/>
          <w:szCs w:val="20"/>
          <w:lang w:val="en-US"/>
        </w:rPr>
        <w:t>[ng/mL]</w:t>
      </w:r>
    </w:p>
    <w:p w14:paraId="4FE85252" w14:textId="40F475F1" w:rsidR="00EF2941" w:rsidRDefault="005A34FA" w:rsidP="00183F3C">
      <w:pPr>
        <w:pStyle w:val="ListParagraph"/>
        <w:numPr>
          <w:ilvl w:val="0"/>
          <w:numId w:val="1"/>
        </w:numPr>
        <w:spacing w:after="200"/>
        <w:jc w:val="both"/>
        <w:rPr>
          <w:sz w:val="20"/>
          <w:szCs w:val="20"/>
          <w:lang w:val="en-US"/>
        </w:rPr>
      </w:pPr>
      <w:r w:rsidRPr="005A34FA">
        <w:rPr>
          <w:sz w:val="20"/>
          <w:szCs w:val="20"/>
          <w:lang w:val="en-US"/>
        </w:rPr>
        <w:t>25-OH-Vitamin D3</w:t>
      </w:r>
      <w:r w:rsidR="001A7083">
        <w:rPr>
          <w:sz w:val="20"/>
          <w:szCs w:val="20"/>
          <w:lang w:val="en-US"/>
        </w:rPr>
        <w:t xml:space="preserve"> [nmol/L]</w:t>
      </w:r>
    </w:p>
    <w:p w14:paraId="090FAA67" w14:textId="11C9D9F8" w:rsidR="00EF2941" w:rsidRDefault="00EF2941" w:rsidP="00183F3C">
      <w:pPr>
        <w:pStyle w:val="ListParagraph"/>
        <w:numPr>
          <w:ilvl w:val="0"/>
          <w:numId w:val="1"/>
        </w:numPr>
        <w:spacing w:after="200"/>
        <w:jc w:val="both"/>
        <w:rPr>
          <w:sz w:val="20"/>
          <w:szCs w:val="20"/>
          <w:lang w:val="en-US"/>
        </w:rPr>
      </w:pPr>
      <w:r>
        <w:rPr>
          <w:sz w:val="20"/>
          <w:szCs w:val="20"/>
          <w:lang w:val="en-US"/>
        </w:rPr>
        <w:t>Blood protein</w:t>
      </w:r>
      <w:r w:rsidR="00DB3B38">
        <w:rPr>
          <w:sz w:val="20"/>
          <w:szCs w:val="20"/>
          <w:lang w:val="en-US"/>
        </w:rPr>
        <w:t xml:space="preserve"> [g/L]</w:t>
      </w:r>
    </w:p>
    <w:p w14:paraId="793762A4" w14:textId="74CD2470" w:rsidR="00EF2941" w:rsidRDefault="00EF2941" w:rsidP="00183F3C">
      <w:pPr>
        <w:pStyle w:val="ListParagraph"/>
        <w:numPr>
          <w:ilvl w:val="0"/>
          <w:numId w:val="1"/>
        </w:numPr>
        <w:spacing w:after="200"/>
        <w:jc w:val="both"/>
        <w:rPr>
          <w:sz w:val="20"/>
          <w:szCs w:val="20"/>
          <w:lang w:val="en-US"/>
        </w:rPr>
      </w:pPr>
      <w:r>
        <w:rPr>
          <w:sz w:val="20"/>
          <w:szCs w:val="20"/>
          <w:lang w:val="en-US"/>
        </w:rPr>
        <w:t>Blood glucose</w:t>
      </w:r>
      <w:r w:rsidR="00DB3B38">
        <w:rPr>
          <w:sz w:val="20"/>
          <w:szCs w:val="20"/>
          <w:lang w:val="en-US"/>
        </w:rPr>
        <w:t xml:space="preserve"> [mg/dL]</w:t>
      </w:r>
    </w:p>
    <w:p w14:paraId="1145D0E0" w14:textId="02E59FA5" w:rsidR="00EF2941" w:rsidRDefault="00EF2941" w:rsidP="00183F3C">
      <w:pPr>
        <w:pStyle w:val="ListParagraph"/>
        <w:numPr>
          <w:ilvl w:val="0"/>
          <w:numId w:val="1"/>
        </w:numPr>
        <w:spacing w:after="200"/>
        <w:jc w:val="both"/>
        <w:rPr>
          <w:sz w:val="20"/>
          <w:szCs w:val="20"/>
          <w:lang w:val="en-US"/>
        </w:rPr>
      </w:pPr>
      <w:r>
        <w:rPr>
          <w:sz w:val="20"/>
          <w:szCs w:val="20"/>
          <w:lang w:val="en-US"/>
        </w:rPr>
        <w:t>R-</w:t>
      </w:r>
      <w:proofErr w:type="spellStart"/>
      <w:r>
        <w:rPr>
          <w:sz w:val="20"/>
          <w:szCs w:val="20"/>
          <w:lang w:val="en-US"/>
        </w:rPr>
        <w:t>Homa</w:t>
      </w:r>
      <w:proofErr w:type="spellEnd"/>
      <w:r w:rsidR="00E80964">
        <w:rPr>
          <w:sz w:val="20"/>
          <w:szCs w:val="20"/>
          <w:lang w:val="en-US"/>
        </w:rPr>
        <w:t xml:space="preserve"> index</w:t>
      </w:r>
    </w:p>
    <w:p w14:paraId="2A2608AA" w14:textId="717DE604" w:rsidR="00D4010F" w:rsidRPr="00D4010F" w:rsidRDefault="00D4010F" w:rsidP="005A34FA">
      <w:pPr>
        <w:pStyle w:val="ListParagraph"/>
        <w:numPr>
          <w:ilvl w:val="0"/>
          <w:numId w:val="1"/>
        </w:numPr>
        <w:spacing w:after="200"/>
        <w:jc w:val="both"/>
        <w:rPr>
          <w:sz w:val="20"/>
          <w:szCs w:val="20"/>
          <w:lang w:val="en-US"/>
        </w:rPr>
      </w:pPr>
      <w:r>
        <w:rPr>
          <w:rFonts w:eastAsia="Arial"/>
          <w:sz w:val="20"/>
          <w:szCs w:val="20"/>
          <w:lang w:val="en-US"/>
        </w:rPr>
        <w:t>I</w:t>
      </w:r>
      <w:r w:rsidRPr="003A20E4">
        <w:rPr>
          <w:rFonts w:eastAsia="Arial"/>
          <w:sz w:val="20"/>
          <w:szCs w:val="20"/>
          <w:lang w:val="en-US"/>
        </w:rPr>
        <w:t>nsulin-like growth factor 1</w:t>
      </w:r>
      <w:r>
        <w:rPr>
          <w:rFonts w:eastAsia="Arial"/>
          <w:sz w:val="20"/>
          <w:szCs w:val="20"/>
          <w:lang w:val="en-US"/>
        </w:rPr>
        <w:t xml:space="preserve"> (IGF1)</w:t>
      </w:r>
      <w:r w:rsidR="00DB3B38">
        <w:rPr>
          <w:rFonts w:eastAsia="Arial"/>
          <w:sz w:val="20"/>
          <w:szCs w:val="20"/>
          <w:lang w:val="en-US"/>
        </w:rPr>
        <w:t xml:space="preserve"> [ng/mL]</w:t>
      </w:r>
    </w:p>
    <w:p w14:paraId="1D8BCDED" w14:textId="0A1CAC0D" w:rsidR="00D4010F" w:rsidRPr="00D4010F" w:rsidRDefault="00D4010F" w:rsidP="005A34FA">
      <w:pPr>
        <w:pStyle w:val="ListParagraph"/>
        <w:numPr>
          <w:ilvl w:val="0"/>
          <w:numId w:val="1"/>
        </w:numPr>
        <w:spacing w:after="200"/>
        <w:jc w:val="both"/>
        <w:rPr>
          <w:sz w:val="20"/>
          <w:szCs w:val="20"/>
          <w:lang w:val="en-US"/>
        </w:rPr>
      </w:pPr>
      <w:r>
        <w:rPr>
          <w:rFonts w:eastAsia="Arial"/>
          <w:sz w:val="20"/>
          <w:szCs w:val="20"/>
          <w:lang w:val="en-US"/>
        </w:rPr>
        <w:lastRenderedPageBreak/>
        <w:t>N</w:t>
      </w:r>
      <w:r w:rsidRPr="003A20E4">
        <w:rPr>
          <w:rFonts w:eastAsia="Arial"/>
          <w:sz w:val="20"/>
          <w:szCs w:val="20"/>
          <w:lang w:val="en-US"/>
        </w:rPr>
        <w:t xml:space="preserve">eurofilament </w:t>
      </w:r>
      <w:r>
        <w:rPr>
          <w:rFonts w:eastAsia="Arial"/>
          <w:sz w:val="20"/>
          <w:szCs w:val="20"/>
          <w:lang w:val="en-US"/>
        </w:rPr>
        <w:t>l</w:t>
      </w:r>
      <w:r w:rsidRPr="003A20E4">
        <w:rPr>
          <w:rFonts w:eastAsia="Arial"/>
          <w:sz w:val="20"/>
          <w:szCs w:val="20"/>
          <w:lang w:val="en-US"/>
        </w:rPr>
        <w:t xml:space="preserve">ight chain </w:t>
      </w:r>
      <w:r>
        <w:rPr>
          <w:rFonts w:eastAsia="Arial"/>
          <w:sz w:val="20"/>
          <w:szCs w:val="20"/>
          <w:lang w:val="en-US"/>
        </w:rPr>
        <w:t>(</w:t>
      </w:r>
      <w:proofErr w:type="spellStart"/>
      <w:r>
        <w:rPr>
          <w:rFonts w:eastAsia="Arial"/>
          <w:sz w:val="20"/>
          <w:szCs w:val="20"/>
          <w:lang w:val="en-US"/>
        </w:rPr>
        <w:t>NfL</w:t>
      </w:r>
      <w:proofErr w:type="spellEnd"/>
      <w:r>
        <w:rPr>
          <w:rFonts w:eastAsia="Arial"/>
          <w:sz w:val="20"/>
          <w:szCs w:val="20"/>
          <w:lang w:val="en-US"/>
        </w:rPr>
        <w:t>)</w:t>
      </w:r>
      <w:r w:rsidR="00A42BAD">
        <w:rPr>
          <w:rFonts w:eastAsia="Arial"/>
          <w:sz w:val="20"/>
          <w:szCs w:val="20"/>
          <w:lang w:val="en-US"/>
        </w:rPr>
        <w:t xml:space="preserve"> [ng/mL]</w:t>
      </w:r>
    </w:p>
    <w:p w14:paraId="39AA808A" w14:textId="68055D4E" w:rsidR="00EF2941" w:rsidRPr="005A34FA" w:rsidRDefault="005A34FA" w:rsidP="005A34FA">
      <w:pPr>
        <w:pStyle w:val="ListParagraph"/>
        <w:numPr>
          <w:ilvl w:val="0"/>
          <w:numId w:val="1"/>
        </w:numPr>
        <w:spacing w:after="200"/>
        <w:jc w:val="both"/>
        <w:rPr>
          <w:sz w:val="20"/>
          <w:szCs w:val="20"/>
          <w:lang w:val="en-US"/>
        </w:rPr>
      </w:pPr>
      <w:r>
        <w:rPr>
          <w:sz w:val="20"/>
          <w:szCs w:val="20"/>
          <w:lang w:val="en-US"/>
        </w:rPr>
        <w:t xml:space="preserve">Relapse during the intervention period </w:t>
      </w:r>
      <w:r w:rsidR="00B81724">
        <w:rPr>
          <w:sz w:val="20"/>
          <w:szCs w:val="20"/>
          <w:lang w:val="en-US"/>
        </w:rPr>
        <w:t>[</w:t>
      </w:r>
      <w:r>
        <w:rPr>
          <w:sz w:val="20"/>
          <w:szCs w:val="20"/>
          <w:lang w:val="en-US"/>
        </w:rPr>
        <w:t>yes/no</w:t>
      </w:r>
      <w:r w:rsidR="00B81724">
        <w:rPr>
          <w:sz w:val="20"/>
          <w:szCs w:val="20"/>
          <w:lang w:val="en-US"/>
        </w:rPr>
        <w:t>]</w:t>
      </w:r>
    </w:p>
    <w:p w14:paraId="06FDBEFB" w14:textId="54059B56" w:rsidR="00183F3C" w:rsidRDefault="00A42BAD" w:rsidP="00183F3C">
      <w:pPr>
        <w:pStyle w:val="ListParagraph"/>
        <w:numPr>
          <w:ilvl w:val="0"/>
          <w:numId w:val="1"/>
        </w:numPr>
        <w:spacing w:after="200"/>
        <w:jc w:val="both"/>
        <w:rPr>
          <w:sz w:val="20"/>
          <w:szCs w:val="20"/>
          <w:lang w:val="en-US"/>
        </w:rPr>
      </w:pPr>
      <w:r>
        <w:rPr>
          <w:sz w:val="20"/>
          <w:szCs w:val="20"/>
          <w:lang w:val="en-US"/>
        </w:rPr>
        <w:t xml:space="preserve">Number of </w:t>
      </w:r>
      <w:r w:rsidR="005A34FA">
        <w:rPr>
          <w:sz w:val="20"/>
          <w:szCs w:val="20"/>
          <w:lang w:val="en-US"/>
        </w:rPr>
        <w:t>T2 l</w:t>
      </w:r>
      <w:r w:rsidR="00183F3C">
        <w:rPr>
          <w:sz w:val="20"/>
          <w:szCs w:val="20"/>
          <w:lang w:val="en-US"/>
        </w:rPr>
        <w:t>esion</w:t>
      </w:r>
      <w:r>
        <w:rPr>
          <w:sz w:val="20"/>
          <w:szCs w:val="20"/>
          <w:lang w:val="en-US"/>
        </w:rPr>
        <w:t>s</w:t>
      </w:r>
    </w:p>
    <w:p w14:paraId="4584CD8B" w14:textId="1D2BDD36" w:rsidR="00183F3C" w:rsidRDefault="00A42BAD" w:rsidP="00183F3C">
      <w:pPr>
        <w:pStyle w:val="ListParagraph"/>
        <w:numPr>
          <w:ilvl w:val="0"/>
          <w:numId w:val="1"/>
        </w:numPr>
        <w:spacing w:after="200"/>
        <w:jc w:val="both"/>
        <w:rPr>
          <w:sz w:val="20"/>
          <w:szCs w:val="20"/>
          <w:lang w:val="en-US"/>
        </w:rPr>
      </w:pPr>
      <w:r>
        <w:rPr>
          <w:sz w:val="20"/>
          <w:szCs w:val="20"/>
          <w:lang w:val="en-US"/>
        </w:rPr>
        <w:t xml:space="preserve">Volume of </w:t>
      </w:r>
      <w:r w:rsidR="005A34FA">
        <w:rPr>
          <w:sz w:val="20"/>
          <w:szCs w:val="20"/>
          <w:lang w:val="en-US"/>
        </w:rPr>
        <w:t>T2 l</w:t>
      </w:r>
      <w:r w:rsidR="00183F3C">
        <w:rPr>
          <w:sz w:val="20"/>
          <w:szCs w:val="20"/>
          <w:lang w:val="en-US"/>
        </w:rPr>
        <w:t>esion</w:t>
      </w:r>
      <w:r>
        <w:rPr>
          <w:sz w:val="20"/>
          <w:szCs w:val="20"/>
          <w:lang w:val="en-US"/>
        </w:rPr>
        <w:t>s</w:t>
      </w:r>
      <w:r w:rsidR="00047295">
        <w:rPr>
          <w:sz w:val="20"/>
          <w:szCs w:val="20"/>
          <w:lang w:val="en-US"/>
        </w:rPr>
        <w:t xml:space="preserve"> [mL]</w:t>
      </w:r>
    </w:p>
    <w:p w14:paraId="0B86E50B" w14:textId="59BDC721" w:rsidR="00EF2941" w:rsidRDefault="005A34FA" w:rsidP="00183F3C">
      <w:pPr>
        <w:pStyle w:val="ListParagraph"/>
        <w:numPr>
          <w:ilvl w:val="0"/>
          <w:numId w:val="1"/>
        </w:numPr>
        <w:spacing w:after="200"/>
        <w:jc w:val="both"/>
        <w:rPr>
          <w:sz w:val="20"/>
          <w:szCs w:val="20"/>
          <w:lang w:val="en-US"/>
        </w:rPr>
      </w:pPr>
      <w:r>
        <w:rPr>
          <w:sz w:val="20"/>
          <w:szCs w:val="20"/>
          <w:lang w:val="en-US"/>
        </w:rPr>
        <w:t>T2 l</w:t>
      </w:r>
      <w:r w:rsidR="00EF2941">
        <w:rPr>
          <w:sz w:val="20"/>
          <w:szCs w:val="20"/>
          <w:lang w:val="en-US"/>
        </w:rPr>
        <w:t>esion load</w:t>
      </w:r>
      <w:r>
        <w:rPr>
          <w:sz w:val="20"/>
          <w:szCs w:val="20"/>
          <w:lang w:val="en-US"/>
        </w:rPr>
        <w:t xml:space="preserve"> based on lesion count</w:t>
      </w:r>
      <w:r w:rsidR="00EC239E">
        <w:rPr>
          <w:sz w:val="20"/>
          <w:szCs w:val="20"/>
          <w:lang w:val="en-US"/>
        </w:rPr>
        <w:t xml:space="preserve"> [high/low]</w:t>
      </w:r>
    </w:p>
    <w:p w14:paraId="753C4055" w14:textId="6836B8A5" w:rsidR="00143D14" w:rsidRPr="00E80964" w:rsidRDefault="00A42BAD" w:rsidP="00143D14">
      <w:pPr>
        <w:pStyle w:val="ListParagraph"/>
        <w:numPr>
          <w:ilvl w:val="0"/>
          <w:numId w:val="1"/>
        </w:numPr>
        <w:spacing w:after="200"/>
        <w:jc w:val="both"/>
        <w:rPr>
          <w:sz w:val="20"/>
          <w:szCs w:val="20"/>
          <w:lang w:val="en-US"/>
        </w:rPr>
      </w:pPr>
      <w:r>
        <w:rPr>
          <w:sz w:val="20"/>
          <w:szCs w:val="20"/>
          <w:lang w:val="en-US"/>
        </w:rPr>
        <w:t>B</w:t>
      </w:r>
      <w:r w:rsidR="00EF2941">
        <w:rPr>
          <w:sz w:val="20"/>
          <w:szCs w:val="20"/>
          <w:lang w:val="en-US"/>
        </w:rPr>
        <w:t>rain volume change</w:t>
      </w:r>
      <w:r>
        <w:rPr>
          <w:sz w:val="20"/>
          <w:szCs w:val="20"/>
          <w:lang w:val="en-US"/>
        </w:rPr>
        <w:t xml:space="preserve"> [%]</w:t>
      </w:r>
    </w:p>
    <w:p w14:paraId="3792BAC8" w14:textId="44359C68" w:rsidR="00183F3C" w:rsidRDefault="00EF2941" w:rsidP="00183F3C">
      <w:pPr>
        <w:pStyle w:val="ListParagraph"/>
        <w:numPr>
          <w:ilvl w:val="0"/>
          <w:numId w:val="1"/>
        </w:numPr>
        <w:spacing w:after="200"/>
        <w:jc w:val="both"/>
        <w:rPr>
          <w:sz w:val="20"/>
          <w:szCs w:val="20"/>
          <w:lang w:val="en-US"/>
        </w:rPr>
      </w:pPr>
      <w:r>
        <w:rPr>
          <w:sz w:val="20"/>
          <w:szCs w:val="20"/>
          <w:lang w:val="en-US"/>
        </w:rPr>
        <w:t>Dietary protein</w:t>
      </w:r>
      <w:r w:rsidR="005A34FA">
        <w:rPr>
          <w:sz w:val="20"/>
          <w:szCs w:val="20"/>
          <w:lang w:val="en-US"/>
        </w:rPr>
        <w:t xml:space="preserve"> consumed</w:t>
      </w:r>
      <w:r w:rsidR="00A42BAD">
        <w:rPr>
          <w:sz w:val="20"/>
          <w:szCs w:val="20"/>
          <w:lang w:val="en-US"/>
        </w:rPr>
        <w:t xml:space="preserve"> [g]</w:t>
      </w:r>
    </w:p>
    <w:p w14:paraId="08038689" w14:textId="7ED501B4" w:rsidR="00EF2941" w:rsidRDefault="00EF2941" w:rsidP="00183F3C">
      <w:pPr>
        <w:pStyle w:val="ListParagraph"/>
        <w:numPr>
          <w:ilvl w:val="0"/>
          <w:numId w:val="1"/>
        </w:numPr>
        <w:spacing w:after="200"/>
        <w:jc w:val="both"/>
        <w:rPr>
          <w:sz w:val="20"/>
          <w:szCs w:val="20"/>
          <w:lang w:val="en-US"/>
        </w:rPr>
      </w:pPr>
      <w:r>
        <w:rPr>
          <w:sz w:val="20"/>
          <w:szCs w:val="20"/>
          <w:lang w:val="en-US"/>
        </w:rPr>
        <w:t xml:space="preserve">Dietary </w:t>
      </w:r>
      <w:r w:rsidR="005A34FA">
        <w:rPr>
          <w:sz w:val="20"/>
          <w:szCs w:val="20"/>
          <w:lang w:val="en-US"/>
        </w:rPr>
        <w:t>t</w:t>
      </w:r>
      <w:r>
        <w:rPr>
          <w:sz w:val="20"/>
          <w:szCs w:val="20"/>
          <w:lang w:val="en-US"/>
        </w:rPr>
        <w:t>ryptophan</w:t>
      </w:r>
      <w:r w:rsidR="005A34FA">
        <w:rPr>
          <w:sz w:val="20"/>
          <w:szCs w:val="20"/>
          <w:lang w:val="en-US"/>
        </w:rPr>
        <w:t xml:space="preserve"> consumed</w:t>
      </w:r>
      <w:r w:rsidR="00A42BAD">
        <w:rPr>
          <w:sz w:val="20"/>
          <w:szCs w:val="20"/>
          <w:lang w:val="en-US"/>
        </w:rPr>
        <w:t xml:space="preserve"> [g]</w:t>
      </w:r>
    </w:p>
    <w:p w14:paraId="4F39863A" w14:textId="7B0794A7" w:rsidR="00EF2941" w:rsidRPr="00F54D7F" w:rsidRDefault="00EF2941" w:rsidP="00F54D7F">
      <w:pPr>
        <w:pStyle w:val="ListParagraph"/>
        <w:numPr>
          <w:ilvl w:val="0"/>
          <w:numId w:val="1"/>
        </w:numPr>
        <w:spacing w:after="200"/>
        <w:jc w:val="both"/>
        <w:rPr>
          <w:sz w:val="20"/>
          <w:szCs w:val="20"/>
          <w:lang w:val="en-US"/>
        </w:rPr>
      </w:pPr>
      <w:r>
        <w:rPr>
          <w:sz w:val="20"/>
          <w:szCs w:val="20"/>
          <w:lang w:val="en-US"/>
        </w:rPr>
        <w:t xml:space="preserve">Dietary </w:t>
      </w:r>
      <w:r w:rsidR="005A34FA">
        <w:rPr>
          <w:sz w:val="20"/>
          <w:szCs w:val="20"/>
          <w:lang w:val="en-US"/>
        </w:rPr>
        <w:t>f</w:t>
      </w:r>
      <w:r>
        <w:rPr>
          <w:sz w:val="20"/>
          <w:szCs w:val="20"/>
          <w:lang w:val="en-US"/>
        </w:rPr>
        <w:t>iber</w:t>
      </w:r>
      <w:r w:rsidR="005A34FA">
        <w:rPr>
          <w:sz w:val="20"/>
          <w:szCs w:val="20"/>
          <w:lang w:val="en-US"/>
        </w:rPr>
        <w:t xml:space="preserve"> consumed</w:t>
      </w:r>
      <w:r w:rsidR="00A42BAD">
        <w:rPr>
          <w:sz w:val="20"/>
          <w:szCs w:val="20"/>
          <w:lang w:val="en-US"/>
        </w:rPr>
        <w:t xml:space="preserve"> [g]</w:t>
      </w:r>
    </w:p>
    <w:p w14:paraId="5BC04488" w14:textId="77777777" w:rsidR="00183F3C" w:rsidRPr="00183F3C" w:rsidRDefault="00183F3C" w:rsidP="00183F3C">
      <w:pPr>
        <w:spacing w:after="200"/>
        <w:jc w:val="both"/>
        <w:rPr>
          <w:sz w:val="20"/>
          <w:szCs w:val="20"/>
          <w:lang w:val="en-US"/>
        </w:rPr>
      </w:pPr>
    </w:p>
    <w:p w14:paraId="53FB4CAC" w14:textId="3A86C093" w:rsidR="00B9418F" w:rsidRPr="004C5575" w:rsidRDefault="004C5575">
      <w:pPr>
        <w:rPr>
          <w:rFonts w:ascii="Arial" w:hAnsi="Arial" w:cs="Arial"/>
          <w:sz w:val="22"/>
          <w:szCs w:val="22"/>
          <w:lang w:val="en-US"/>
        </w:rPr>
      </w:pPr>
      <w:r w:rsidRPr="19EC2DBD">
        <w:rPr>
          <w:rFonts w:ascii="Arial" w:hAnsi="Arial" w:cs="Arial"/>
          <w:sz w:val="22"/>
          <w:szCs w:val="22"/>
          <w:lang w:val="en-US"/>
        </w:rPr>
        <w:br w:type="page"/>
      </w:r>
    </w:p>
    <w:p w14:paraId="14D4D2F6" w14:textId="0CA56CF4" w:rsidR="004C5575" w:rsidRDefault="000361AE" w:rsidP="00586D85">
      <w:pPr>
        <w:jc w:val="center"/>
        <w:rPr>
          <w:rFonts w:ascii="Arial" w:hAnsi="Arial" w:cs="Arial"/>
          <w:sz w:val="22"/>
          <w:szCs w:val="22"/>
          <w:lang w:val="en-US"/>
        </w:rPr>
      </w:pPr>
      <w:r>
        <w:rPr>
          <w:rFonts w:ascii="Arial" w:hAnsi="Arial" w:cs="Arial"/>
          <w:noProof/>
          <w:sz w:val="22"/>
          <w:szCs w:val="22"/>
          <w:lang w:val="en-US"/>
        </w:rPr>
        <w:lastRenderedPageBreak/>
        <w:drawing>
          <wp:inline distT="0" distB="0" distL="0" distR="0" wp14:anchorId="41519792" wp14:editId="4151A52F">
            <wp:extent cx="5622177" cy="3932452"/>
            <wp:effectExtent l="0" t="0" r="4445" b="5080"/>
            <wp:docPr id="1249997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9778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2177" cy="3932452"/>
                    </a:xfrm>
                    <a:prstGeom prst="rect">
                      <a:avLst/>
                    </a:prstGeom>
                  </pic:spPr>
                </pic:pic>
              </a:graphicData>
            </a:graphic>
          </wp:inline>
        </w:drawing>
      </w:r>
    </w:p>
    <w:p w14:paraId="04638D3A" w14:textId="77777777" w:rsidR="00E427B5" w:rsidRPr="004C5575" w:rsidRDefault="00E427B5" w:rsidP="00586D85">
      <w:pPr>
        <w:jc w:val="center"/>
        <w:rPr>
          <w:rFonts w:ascii="Arial" w:hAnsi="Arial" w:cs="Arial"/>
          <w:sz w:val="22"/>
          <w:szCs w:val="22"/>
          <w:lang w:val="en-US"/>
        </w:rPr>
      </w:pPr>
    </w:p>
    <w:p w14:paraId="032C7A0E" w14:textId="0C97D4DC" w:rsidR="001B27D9" w:rsidRDefault="00586D85" w:rsidP="009B292E">
      <w:pPr>
        <w:jc w:val="both"/>
        <w:rPr>
          <w:sz w:val="20"/>
          <w:szCs w:val="20"/>
          <w:lang w:val="en-US"/>
        </w:rPr>
      </w:pPr>
      <w:r w:rsidRPr="00E7470E">
        <w:rPr>
          <w:rFonts w:ascii="Arial" w:hAnsi="Arial" w:cs="Arial"/>
          <w:b/>
          <w:bCs/>
          <w:sz w:val="20"/>
          <w:szCs w:val="20"/>
          <w:lang w:val="en-US"/>
        </w:rPr>
        <w:t>Figure S1</w:t>
      </w:r>
      <w:r w:rsidRPr="00E7470E">
        <w:rPr>
          <w:rFonts w:ascii="Arial" w:hAnsi="Arial" w:cs="Arial"/>
          <w:sz w:val="20"/>
          <w:szCs w:val="20"/>
          <w:lang w:val="en-US"/>
        </w:rPr>
        <w:t>.</w:t>
      </w:r>
      <w:r w:rsidRPr="00586D85">
        <w:rPr>
          <w:sz w:val="20"/>
          <w:szCs w:val="20"/>
          <w:lang w:val="en-US"/>
        </w:rPr>
        <w:t xml:space="preserve"> </w:t>
      </w:r>
      <w:r w:rsidR="000361AE">
        <w:rPr>
          <w:sz w:val="20"/>
          <w:szCs w:val="20"/>
          <w:lang w:val="en-US"/>
        </w:rPr>
        <w:t>Serum ketone body levels. (</w:t>
      </w:r>
      <w:r w:rsidR="004C0E01">
        <w:rPr>
          <w:b/>
          <w:bCs/>
          <w:sz w:val="20"/>
          <w:szCs w:val="20"/>
          <w:lang w:val="en-US"/>
        </w:rPr>
        <w:t>A</w:t>
      </w:r>
      <w:r w:rsidR="000361AE">
        <w:rPr>
          <w:sz w:val="20"/>
          <w:szCs w:val="20"/>
          <w:lang w:val="en-US"/>
        </w:rPr>
        <w:t xml:space="preserve">) </w:t>
      </w:r>
      <w:r w:rsidRPr="00586D85">
        <w:rPr>
          <w:sz w:val="20"/>
          <w:szCs w:val="20"/>
          <w:lang w:val="en-US"/>
        </w:rPr>
        <w:t>Correlation between 3-</w:t>
      </w:r>
      <w:r w:rsidR="00B024DD">
        <w:rPr>
          <w:sz w:val="20"/>
          <w:szCs w:val="20"/>
          <w:lang w:val="en-US"/>
        </w:rPr>
        <w:t>h</w:t>
      </w:r>
      <w:r w:rsidRPr="00586D85">
        <w:rPr>
          <w:sz w:val="20"/>
          <w:szCs w:val="20"/>
          <w:lang w:val="en-US"/>
        </w:rPr>
        <w:t>ydroxybutyric acid measurements</w:t>
      </w:r>
      <w:r>
        <w:rPr>
          <w:sz w:val="20"/>
          <w:szCs w:val="20"/>
          <w:lang w:val="en-US"/>
        </w:rPr>
        <w:t xml:space="preserve"> performed on the same samples in our lab and the contract lab Labor Berlin (</w:t>
      </w:r>
      <w:r w:rsidRPr="00586D85">
        <w:rPr>
          <w:sz w:val="20"/>
          <w:szCs w:val="20"/>
          <w:lang w:val="en-US"/>
        </w:rPr>
        <w:t xml:space="preserve">p = </w:t>
      </w:r>
      <w:r w:rsidR="003D744E">
        <w:rPr>
          <w:sz w:val="20"/>
          <w:szCs w:val="20"/>
          <w:lang w:val="en-US"/>
        </w:rPr>
        <w:t>2.2</w:t>
      </w:r>
      <w:r w:rsidRPr="00586D85">
        <w:rPr>
          <w:sz w:val="20"/>
          <w:szCs w:val="20"/>
          <w:lang w:val="en-US"/>
        </w:rPr>
        <w:t>e^-</w:t>
      </w:r>
      <w:r w:rsidR="003D744E">
        <w:rPr>
          <w:sz w:val="20"/>
          <w:szCs w:val="20"/>
          <w:lang w:val="en-US"/>
        </w:rPr>
        <w:t>16</w:t>
      </w:r>
      <w:r w:rsidR="00110E31">
        <w:rPr>
          <w:sz w:val="20"/>
          <w:szCs w:val="20"/>
          <w:lang w:val="en-US"/>
        </w:rPr>
        <w:t xml:space="preserve">, </w:t>
      </w:r>
      <w:r w:rsidR="00110E31" w:rsidRPr="00110E31">
        <w:rPr>
          <w:i/>
          <w:iCs/>
          <w:sz w:val="20"/>
          <w:szCs w:val="20"/>
          <w:lang w:val="en-US"/>
        </w:rPr>
        <w:t>rho</w:t>
      </w:r>
      <w:r w:rsidR="00110E31">
        <w:rPr>
          <w:sz w:val="20"/>
          <w:szCs w:val="20"/>
          <w:lang w:val="en-US"/>
        </w:rPr>
        <w:t xml:space="preserve"> = 0.91</w:t>
      </w:r>
      <w:r>
        <w:rPr>
          <w:sz w:val="20"/>
          <w:szCs w:val="20"/>
          <w:lang w:val="en-US"/>
        </w:rPr>
        <w:t>).</w:t>
      </w:r>
      <w:r w:rsidR="004C0E01" w:rsidRPr="004C0E01">
        <w:rPr>
          <w:sz w:val="20"/>
          <w:szCs w:val="20"/>
          <w:lang w:val="en-US"/>
        </w:rPr>
        <w:t xml:space="preserve"> </w:t>
      </w:r>
      <w:r w:rsidR="004C0E01">
        <w:rPr>
          <w:sz w:val="20"/>
          <w:szCs w:val="20"/>
          <w:lang w:val="en-US"/>
        </w:rPr>
        <w:t>(</w:t>
      </w:r>
      <w:r w:rsidR="004C0E01">
        <w:rPr>
          <w:b/>
          <w:bCs/>
          <w:sz w:val="20"/>
          <w:szCs w:val="20"/>
          <w:lang w:val="en-US"/>
        </w:rPr>
        <w:t>B</w:t>
      </w:r>
      <w:r w:rsidR="004C0E01">
        <w:rPr>
          <w:sz w:val="20"/>
          <w:szCs w:val="20"/>
          <w:lang w:val="en-US"/>
        </w:rPr>
        <w:t xml:space="preserve">) </w:t>
      </w:r>
      <w:r w:rsidR="00B024DD" w:rsidRPr="00B024DD">
        <w:rPr>
          <w:sz w:val="20"/>
          <w:szCs w:val="20"/>
          <w:lang w:val="en-US"/>
        </w:rPr>
        <w:t>Change in AUC from 0 to 9 months. KD led to increased acetoacetic acid and 3-hydroxybutyric acid</w:t>
      </w:r>
      <w:r w:rsidR="00B024DD">
        <w:rPr>
          <w:sz w:val="20"/>
          <w:szCs w:val="20"/>
          <w:lang w:val="en-US"/>
        </w:rPr>
        <w:t xml:space="preserve"> levels</w:t>
      </w:r>
      <w:r w:rsidR="00B024DD" w:rsidRPr="00B024DD">
        <w:rPr>
          <w:sz w:val="20"/>
          <w:szCs w:val="20"/>
          <w:lang w:val="en-US"/>
        </w:rPr>
        <w:t>, which were significantly larger than changes occurring in the other diet groups</w:t>
      </w:r>
      <w:r w:rsidR="004C0E01">
        <w:rPr>
          <w:sz w:val="20"/>
          <w:szCs w:val="20"/>
          <w:lang w:val="en-US"/>
        </w:rPr>
        <w:t>.</w:t>
      </w:r>
    </w:p>
    <w:p w14:paraId="3B2AF3A6" w14:textId="77777777" w:rsidR="001B27D9" w:rsidRDefault="001B27D9">
      <w:pPr>
        <w:rPr>
          <w:sz w:val="20"/>
          <w:szCs w:val="20"/>
          <w:lang w:val="en-US"/>
        </w:rPr>
      </w:pPr>
      <w:r>
        <w:rPr>
          <w:sz w:val="20"/>
          <w:szCs w:val="20"/>
          <w:lang w:val="en-US"/>
        </w:rPr>
        <w:br w:type="page"/>
      </w:r>
    </w:p>
    <w:p w14:paraId="0E8DD9B7" w14:textId="30ABE04F" w:rsidR="001B27D9" w:rsidRDefault="002070C9" w:rsidP="00E2723E">
      <w:pPr>
        <w:jc w:val="center"/>
        <w:rPr>
          <w:b/>
          <w:bCs/>
          <w:sz w:val="20"/>
          <w:szCs w:val="20"/>
          <w:lang w:val="en-US"/>
        </w:rPr>
      </w:pPr>
      <w:r>
        <w:rPr>
          <w:b/>
          <w:bCs/>
          <w:noProof/>
          <w:sz w:val="20"/>
          <w:szCs w:val="20"/>
          <w:lang w:val="en-US"/>
        </w:rPr>
        <w:lastRenderedPageBreak/>
        <w:drawing>
          <wp:inline distT="0" distB="0" distL="0" distR="0" wp14:anchorId="4CC90FF0" wp14:editId="79FC02EA">
            <wp:extent cx="5731510" cy="6982135"/>
            <wp:effectExtent l="0" t="0" r="0" b="3175"/>
            <wp:docPr id="496886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86867"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982135"/>
                    </a:xfrm>
                    <a:prstGeom prst="rect">
                      <a:avLst/>
                    </a:prstGeom>
                  </pic:spPr>
                </pic:pic>
              </a:graphicData>
            </a:graphic>
          </wp:inline>
        </w:drawing>
      </w:r>
    </w:p>
    <w:p w14:paraId="2C8F9AEB" w14:textId="77777777" w:rsidR="00E427B5" w:rsidRDefault="00E427B5" w:rsidP="00E2723E">
      <w:pPr>
        <w:jc w:val="center"/>
        <w:rPr>
          <w:b/>
          <w:bCs/>
          <w:sz w:val="20"/>
          <w:szCs w:val="20"/>
          <w:lang w:val="en-US"/>
        </w:rPr>
      </w:pPr>
    </w:p>
    <w:p w14:paraId="614D49B0" w14:textId="458D21F4" w:rsidR="004C5575" w:rsidRDefault="001B27D9" w:rsidP="009B292E">
      <w:pPr>
        <w:jc w:val="both"/>
        <w:rPr>
          <w:sz w:val="20"/>
          <w:szCs w:val="20"/>
          <w:lang w:val="en-US"/>
        </w:rPr>
      </w:pPr>
      <w:r w:rsidRPr="00E7470E">
        <w:rPr>
          <w:rFonts w:ascii="Arial" w:hAnsi="Arial" w:cs="Arial"/>
          <w:b/>
          <w:bCs/>
          <w:sz w:val="20"/>
          <w:szCs w:val="20"/>
          <w:lang w:val="en-US"/>
        </w:rPr>
        <w:t>Figure S2</w:t>
      </w:r>
      <w:r w:rsidRPr="00E7470E">
        <w:rPr>
          <w:rFonts w:ascii="Arial" w:hAnsi="Arial" w:cs="Arial"/>
          <w:sz w:val="20"/>
          <w:szCs w:val="20"/>
          <w:lang w:val="en-US"/>
        </w:rPr>
        <w:t>.</w:t>
      </w:r>
      <w:r w:rsidRPr="00586D85">
        <w:rPr>
          <w:sz w:val="20"/>
          <w:szCs w:val="20"/>
          <w:lang w:val="en-US"/>
        </w:rPr>
        <w:t xml:space="preserve"> </w:t>
      </w:r>
      <w:r>
        <w:rPr>
          <w:sz w:val="20"/>
          <w:szCs w:val="20"/>
          <w:lang w:val="en-US"/>
        </w:rPr>
        <w:t xml:space="preserve">No covariate confounded the diet association with </w:t>
      </w:r>
      <w:r w:rsidR="00AA1E11">
        <w:rPr>
          <w:sz w:val="20"/>
          <w:szCs w:val="20"/>
          <w:lang w:val="en-US"/>
        </w:rPr>
        <w:t>key</w:t>
      </w:r>
      <w:r w:rsidR="00546203">
        <w:rPr>
          <w:sz w:val="20"/>
          <w:szCs w:val="20"/>
          <w:lang w:val="en-US"/>
        </w:rPr>
        <w:t xml:space="preserve"> </w:t>
      </w:r>
      <w:r w:rsidR="00511C9B">
        <w:rPr>
          <w:sz w:val="20"/>
          <w:szCs w:val="20"/>
          <w:lang w:val="en-US"/>
        </w:rPr>
        <w:t xml:space="preserve">serum </w:t>
      </w:r>
      <w:r>
        <w:rPr>
          <w:sz w:val="20"/>
          <w:szCs w:val="20"/>
          <w:lang w:val="en-US"/>
        </w:rPr>
        <w:t>metabolites. (</w:t>
      </w:r>
      <w:r w:rsidRPr="000361AE">
        <w:rPr>
          <w:b/>
          <w:bCs/>
          <w:sz w:val="20"/>
          <w:szCs w:val="20"/>
          <w:lang w:val="en-US"/>
        </w:rPr>
        <w:t>A</w:t>
      </w:r>
      <w:r>
        <w:rPr>
          <w:sz w:val="20"/>
          <w:szCs w:val="20"/>
          <w:lang w:val="en-US"/>
        </w:rPr>
        <w:t xml:space="preserve">) </w:t>
      </w:r>
      <w:r w:rsidR="00AA1E11" w:rsidRPr="00AA1E11">
        <w:rPr>
          <w:sz w:val="20"/>
          <w:szCs w:val="20"/>
          <w:lang w:val="en-US"/>
        </w:rPr>
        <w:t>Results of confounding analysis</w:t>
      </w:r>
      <w:r>
        <w:rPr>
          <w:sz w:val="20"/>
          <w:szCs w:val="20"/>
          <w:lang w:val="en-US"/>
        </w:rPr>
        <w:t>.</w:t>
      </w:r>
      <w:r w:rsidR="00462924">
        <w:rPr>
          <w:sz w:val="20"/>
          <w:szCs w:val="20"/>
          <w:lang w:val="en-US"/>
        </w:rPr>
        <w:t xml:space="preserve"> Age and </w:t>
      </w:r>
      <w:r w:rsidR="00BC4597">
        <w:rPr>
          <w:sz w:val="20"/>
          <w:szCs w:val="20"/>
          <w:lang w:val="en-US"/>
        </w:rPr>
        <w:t xml:space="preserve">the number of </w:t>
      </w:r>
      <w:r w:rsidR="00462924">
        <w:rPr>
          <w:sz w:val="20"/>
          <w:szCs w:val="20"/>
          <w:lang w:val="en-US"/>
        </w:rPr>
        <w:t>musculoskeletal drug</w:t>
      </w:r>
      <w:r w:rsidR="00AA1E11">
        <w:rPr>
          <w:sz w:val="20"/>
          <w:szCs w:val="20"/>
          <w:lang w:val="en-US"/>
        </w:rPr>
        <w:t>s</w:t>
      </w:r>
      <w:r w:rsidR="00462924">
        <w:rPr>
          <w:sz w:val="20"/>
          <w:szCs w:val="20"/>
          <w:lang w:val="en-US"/>
        </w:rPr>
        <w:t xml:space="preserve"> </w:t>
      </w:r>
      <w:r w:rsidR="00AA1E11">
        <w:rPr>
          <w:sz w:val="20"/>
          <w:szCs w:val="20"/>
          <w:lang w:val="en-US"/>
        </w:rPr>
        <w:t>consumed</w:t>
      </w:r>
      <w:r w:rsidR="00462924">
        <w:rPr>
          <w:sz w:val="20"/>
          <w:szCs w:val="20"/>
          <w:lang w:val="en-US"/>
        </w:rPr>
        <w:t xml:space="preserve"> were co-associated </w:t>
      </w:r>
      <w:r w:rsidR="00511C9B">
        <w:rPr>
          <w:sz w:val="20"/>
          <w:szCs w:val="20"/>
          <w:lang w:val="en-US"/>
        </w:rPr>
        <w:t xml:space="preserve">with </w:t>
      </w:r>
      <w:r w:rsidR="00AA1E11">
        <w:rPr>
          <w:sz w:val="20"/>
          <w:szCs w:val="20"/>
          <w:lang w:val="en-US"/>
        </w:rPr>
        <w:t>indole-3-acetate</w:t>
      </w:r>
      <w:r w:rsidR="00511C9B">
        <w:rPr>
          <w:sz w:val="20"/>
          <w:szCs w:val="20"/>
          <w:lang w:val="en-US"/>
        </w:rPr>
        <w:t xml:space="preserve"> and </w:t>
      </w:r>
      <w:r w:rsidR="00AA1E11">
        <w:rPr>
          <w:sz w:val="20"/>
          <w:szCs w:val="20"/>
          <w:lang w:val="en-US"/>
        </w:rPr>
        <w:t>acetoacetic acid</w:t>
      </w:r>
      <w:r w:rsidR="00511C9B">
        <w:rPr>
          <w:sz w:val="20"/>
          <w:szCs w:val="20"/>
          <w:lang w:val="en-US"/>
        </w:rPr>
        <w:t xml:space="preserve">, respectively, </w:t>
      </w:r>
      <w:r w:rsidR="00462924">
        <w:rPr>
          <w:sz w:val="20"/>
          <w:szCs w:val="20"/>
          <w:lang w:val="en-US"/>
        </w:rPr>
        <w:t>but did not confound the group-metabolite association.</w:t>
      </w:r>
      <w:r>
        <w:rPr>
          <w:sz w:val="20"/>
          <w:szCs w:val="20"/>
          <w:lang w:val="en-US"/>
        </w:rPr>
        <w:t xml:space="preserve"> (</w:t>
      </w:r>
      <w:r w:rsidRPr="000361AE">
        <w:rPr>
          <w:b/>
          <w:bCs/>
          <w:sz w:val="20"/>
          <w:szCs w:val="20"/>
          <w:lang w:val="en-US"/>
        </w:rPr>
        <w:t>B</w:t>
      </w:r>
      <w:r>
        <w:rPr>
          <w:sz w:val="20"/>
          <w:szCs w:val="20"/>
          <w:lang w:val="en-US"/>
        </w:rPr>
        <w:t xml:space="preserve">) </w:t>
      </w:r>
      <w:r w:rsidR="00511C9B">
        <w:rPr>
          <w:sz w:val="20"/>
          <w:szCs w:val="20"/>
          <w:lang w:val="en-US"/>
        </w:rPr>
        <w:t>T</w:t>
      </w:r>
      <w:r>
        <w:rPr>
          <w:sz w:val="20"/>
          <w:szCs w:val="20"/>
          <w:lang w:val="en-US"/>
        </w:rPr>
        <w:t xml:space="preserve">ryptophan changes measured in blood and calculated from dietary protocols </w:t>
      </w:r>
      <w:r w:rsidR="00AA1E11" w:rsidRPr="00AA1E11">
        <w:rPr>
          <w:sz w:val="20"/>
          <w:szCs w:val="20"/>
          <w:lang w:val="en-US"/>
        </w:rPr>
        <w:t xml:space="preserve">showed no correlation </w:t>
      </w:r>
      <w:r>
        <w:rPr>
          <w:sz w:val="20"/>
          <w:szCs w:val="20"/>
          <w:lang w:val="en-US"/>
        </w:rPr>
        <w:t>(</w:t>
      </w:r>
      <w:r w:rsidRPr="00586D85">
        <w:rPr>
          <w:sz w:val="20"/>
          <w:szCs w:val="20"/>
          <w:lang w:val="en-US"/>
        </w:rPr>
        <w:t xml:space="preserve">p = </w:t>
      </w:r>
      <w:r>
        <w:rPr>
          <w:sz w:val="20"/>
          <w:szCs w:val="20"/>
          <w:lang w:val="en-US"/>
        </w:rPr>
        <w:t>0.63</w:t>
      </w:r>
      <w:r w:rsidR="00AD2FA1">
        <w:rPr>
          <w:sz w:val="20"/>
          <w:szCs w:val="20"/>
          <w:lang w:val="en-US"/>
        </w:rPr>
        <w:t xml:space="preserve">, </w:t>
      </w:r>
      <w:r w:rsidR="00AD2FA1" w:rsidRPr="00110E31">
        <w:rPr>
          <w:i/>
          <w:iCs/>
          <w:sz w:val="20"/>
          <w:szCs w:val="20"/>
          <w:lang w:val="en-US"/>
        </w:rPr>
        <w:t>rho</w:t>
      </w:r>
      <w:r w:rsidR="00AD2FA1">
        <w:rPr>
          <w:sz w:val="20"/>
          <w:szCs w:val="20"/>
          <w:lang w:val="en-US"/>
        </w:rPr>
        <w:t xml:space="preserve"> = 0.06</w:t>
      </w:r>
      <w:r>
        <w:rPr>
          <w:sz w:val="20"/>
          <w:szCs w:val="20"/>
          <w:lang w:val="en-US"/>
        </w:rPr>
        <w:t>).</w:t>
      </w:r>
      <w:r w:rsidR="00E2723E">
        <w:rPr>
          <w:sz w:val="20"/>
          <w:szCs w:val="20"/>
          <w:lang w:val="en-US"/>
        </w:rPr>
        <w:t xml:space="preserve"> (</w:t>
      </w:r>
      <w:r w:rsidR="00E2723E" w:rsidRPr="00FC69E0">
        <w:rPr>
          <w:b/>
          <w:bCs/>
          <w:sz w:val="20"/>
          <w:szCs w:val="20"/>
          <w:lang w:val="en-US"/>
        </w:rPr>
        <w:t>C</w:t>
      </w:r>
      <w:r w:rsidR="00E2723E">
        <w:rPr>
          <w:sz w:val="20"/>
          <w:szCs w:val="20"/>
          <w:lang w:val="en-US"/>
        </w:rPr>
        <w:t xml:space="preserve">) Changes in the ratios of each measured tryptophan metabolite </w:t>
      </w:r>
      <w:r w:rsidR="00AA1E11">
        <w:rPr>
          <w:sz w:val="20"/>
          <w:szCs w:val="20"/>
          <w:lang w:val="en-US"/>
        </w:rPr>
        <w:t>to</w:t>
      </w:r>
      <w:r w:rsidR="00E2723E">
        <w:rPr>
          <w:sz w:val="20"/>
          <w:szCs w:val="20"/>
          <w:lang w:val="en-US"/>
        </w:rPr>
        <w:t xml:space="preserve"> tryptophan in serum </w:t>
      </w:r>
      <w:r w:rsidR="00AA1E11">
        <w:rPr>
          <w:sz w:val="20"/>
          <w:szCs w:val="20"/>
          <w:lang w:val="en-US"/>
        </w:rPr>
        <w:t>were</w:t>
      </w:r>
      <w:r w:rsidR="00E2723E">
        <w:rPr>
          <w:sz w:val="20"/>
          <w:szCs w:val="20"/>
          <w:lang w:val="en-US"/>
        </w:rPr>
        <w:t xml:space="preserve"> significantly higher in KD than in CD or FD for</w:t>
      </w:r>
      <w:r w:rsidR="009A0B59">
        <w:rPr>
          <w:sz w:val="20"/>
          <w:szCs w:val="20"/>
          <w:lang w:val="en-US"/>
        </w:rPr>
        <w:t xml:space="preserve"> indole-3-acetic acid and indole-3-lactate</w:t>
      </w:r>
      <w:r w:rsidR="00E2723E">
        <w:rPr>
          <w:sz w:val="20"/>
          <w:szCs w:val="20"/>
          <w:lang w:val="en-US"/>
        </w:rPr>
        <w:t>.</w:t>
      </w:r>
    </w:p>
    <w:p w14:paraId="3FC3C590" w14:textId="39A2E063" w:rsidR="00CA6AC0" w:rsidRDefault="00E7470E">
      <w:pPr>
        <w:rPr>
          <w:sz w:val="20"/>
          <w:szCs w:val="20"/>
          <w:lang w:val="en-US"/>
        </w:rPr>
      </w:pPr>
      <w:r>
        <w:rPr>
          <w:sz w:val="20"/>
          <w:szCs w:val="20"/>
          <w:lang w:val="en-US"/>
        </w:rPr>
        <w:br w:type="page"/>
      </w:r>
    </w:p>
    <w:p w14:paraId="4DC9B4FC" w14:textId="7A3C332F" w:rsidR="00CA6AC0" w:rsidRDefault="00143572" w:rsidP="00C16D8B">
      <w:pPr>
        <w:jc w:val="center"/>
        <w:rPr>
          <w:sz w:val="20"/>
          <w:szCs w:val="20"/>
          <w:lang w:val="en-US"/>
        </w:rPr>
      </w:pPr>
      <w:r>
        <w:rPr>
          <w:noProof/>
          <w:sz w:val="20"/>
          <w:szCs w:val="20"/>
          <w:lang w:val="en-US"/>
        </w:rPr>
        <w:lastRenderedPageBreak/>
        <w:drawing>
          <wp:inline distT="0" distB="0" distL="0" distR="0" wp14:anchorId="728499C4" wp14:editId="195F5992">
            <wp:extent cx="4660900" cy="3098800"/>
            <wp:effectExtent l="0" t="0" r="0" b="0"/>
            <wp:docPr id="1303005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0584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0900" cy="3098800"/>
                    </a:xfrm>
                    <a:prstGeom prst="rect">
                      <a:avLst/>
                    </a:prstGeom>
                  </pic:spPr>
                </pic:pic>
              </a:graphicData>
            </a:graphic>
          </wp:inline>
        </w:drawing>
      </w:r>
    </w:p>
    <w:p w14:paraId="26DD2B9A" w14:textId="77777777" w:rsidR="00E427B5" w:rsidRDefault="00E427B5" w:rsidP="00C16D8B">
      <w:pPr>
        <w:jc w:val="center"/>
        <w:rPr>
          <w:sz w:val="20"/>
          <w:szCs w:val="20"/>
          <w:lang w:val="en-US"/>
        </w:rPr>
      </w:pPr>
    </w:p>
    <w:p w14:paraId="4B98A769" w14:textId="7C788CD5" w:rsidR="00CA6AC0" w:rsidRDefault="00CA6AC0" w:rsidP="009B292E">
      <w:pPr>
        <w:jc w:val="both"/>
        <w:rPr>
          <w:sz w:val="20"/>
          <w:szCs w:val="20"/>
          <w:lang w:val="en-US"/>
        </w:rPr>
      </w:pPr>
      <w:r w:rsidRPr="00E7470E">
        <w:rPr>
          <w:rFonts w:ascii="Arial" w:hAnsi="Arial" w:cs="Arial"/>
          <w:b/>
          <w:bCs/>
          <w:sz w:val="20"/>
          <w:szCs w:val="20"/>
          <w:lang w:val="en-US"/>
        </w:rPr>
        <w:t>Figure S</w:t>
      </w:r>
      <w:r w:rsidR="002B1ECC">
        <w:rPr>
          <w:rFonts w:ascii="Arial" w:hAnsi="Arial" w:cs="Arial"/>
          <w:b/>
          <w:bCs/>
          <w:sz w:val="20"/>
          <w:szCs w:val="20"/>
          <w:lang w:val="en-US"/>
        </w:rPr>
        <w:t>3</w:t>
      </w:r>
      <w:r w:rsidRPr="00E7470E">
        <w:rPr>
          <w:rFonts w:ascii="Arial" w:hAnsi="Arial" w:cs="Arial"/>
          <w:sz w:val="20"/>
          <w:szCs w:val="20"/>
          <w:lang w:val="en-US"/>
        </w:rPr>
        <w:t>.</w:t>
      </w:r>
      <w:r w:rsidRPr="00CA6AC0">
        <w:rPr>
          <w:lang w:val="en-US"/>
        </w:rPr>
        <w:t xml:space="preserve"> </w:t>
      </w:r>
      <w:r w:rsidR="00AA1E11" w:rsidRPr="00AA1E11">
        <w:rPr>
          <w:sz w:val="20"/>
          <w:szCs w:val="20"/>
          <w:lang w:val="en-US"/>
        </w:rPr>
        <w:t xml:space="preserve">Bacterial species demonstrating group-dependent associations with lesion volume and lesion count over time. Species that mirror the </w:t>
      </w:r>
      <w:r w:rsidR="00D31015">
        <w:rPr>
          <w:sz w:val="20"/>
          <w:szCs w:val="20"/>
          <w:lang w:val="en-US"/>
        </w:rPr>
        <w:t>gut microbial module (</w:t>
      </w:r>
      <w:r w:rsidR="00AA1E11" w:rsidRPr="00AA1E11">
        <w:rPr>
          <w:sz w:val="20"/>
          <w:szCs w:val="20"/>
          <w:lang w:val="en-US"/>
        </w:rPr>
        <w:t>GMM</w:t>
      </w:r>
      <w:r w:rsidR="00D31015">
        <w:rPr>
          <w:sz w:val="20"/>
          <w:szCs w:val="20"/>
          <w:lang w:val="en-US"/>
        </w:rPr>
        <w:t>)</w:t>
      </w:r>
      <w:r w:rsidR="00AA1E11" w:rsidRPr="00AA1E11">
        <w:rPr>
          <w:sz w:val="20"/>
          <w:szCs w:val="20"/>
          <w:lang w:val="en-US"/>
        </w:rPr>
        <w:t>-outcome relationship are indicated with an asterisk</w:t>
      </w:r>
      <w:r w:rsidR="007D360F">
        <w:rPr>
          <w:rFonts w:eastAsia="Arial"/>
          <w:sz w:val="20"/>
          <w:szCs w:val="20"/>
          <w:lang w:val="en-US"/>
        </w:rPr>
        <w:t>.</w:t>
      </w:r>
      <w:r w:rsidR="00A033F4">
        <w:rPr>
          <w:sz w:val="20"/>
          <w:szCs w:val="20"/>
          <w:lang w:val="en-US"/>
        </w:rPr>
        <w:t xml:space="preserve"> </w:t>
      </w:r>
    </w:p>
    <w:p w14:paraId="62786F1E" w14:textId="77851960" w:rsidR="000359B6" w:rsidRDefault="000359B6">
      <w:pPr>
        <w:rPr>
          <w:sz w:val="20"/>
          <w:szCs w:val="20"/>
          <w:lang w:val="en-US"/>
        </w:rPr>
      </w:pPr>
      <w:r>
        <w:rPr>
          <w:sz w:val="20"/>
          <w:szCs w:val="20"/>
          <w:lang w:val="en-US"/>
        </w:rPr>
        <w:br w:type="page"/>
      </w:r>
    </w:p>
    <w:p w14:paraId="4EFEF523" w14:textId="5B26CA31" w:rsidR="000359B6" w:rsidRDefault="00DB5EC7" w:rsidP="000359B6">
      <w:pPr>
        <w:jc w:val="both"/>
        <w:rPr>
          <w:rFonts w:ascii="Arial" w:hAnsi="Arial" w:cs="Arial"/>
          <w:b/>
          <w:bCs/>
          <w:sz w:val="20"/>
          <w:szCs w:val="20"/>
          <w:lang w:val="en-US"/>
        </w:rPr>
      </w:pPr>
      <w:r>
        <w:rPr>
          <w:rFonts w:ascii="Arial" w:hAnsi="Arial" w:cs="Arial"/>
          <w:b/>
          <w:bCs/>
          <w:noProof/>
          <w:sz w:val="20"/>
          <w:szCs w:val="20"/>
          <w:lang w:val="en-US"/>
        </w:rPr>
        <w:lastRenderedPageBreak/>
        <w:drawing>
          <wp:inline distT="0" distB="0" distL="0" distR="0" wp14:anchorId="7A27997B" wp14:editId="11123648">
            <wp:extent cx="5731510" cy="2232025"/>
            <wp:effectExtent l="0" t="0" r="0" b="3175"/>
            <wp:docPr id="1357965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65974" name="Picture 13579659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32025"/>
                    </a:xfrm>
                    <a:prstGeom prst="rect">
                      <a:avLst/>
                    </a:prstGeom>
                  </pic:spPr>
                </pic:pic>
              </a:graphicData>
            </a:graphic>
          </wp:inline>
        </w:drawing>
      </w:r>
    </w:p>
    <w:p w14:paraId="4D1CF777" w14:textId="77777777" w:rsidR="00E427B5" w:rsidRDefault="00E427B5" w:rsidP="000359B6">
      <w:pPr>
        <w:jc w:val="both"/>
        <w:rPr>
          <w:rFonts w:ascii="Arial" w:hAnsi="Arial" w:cs="Arial"/>
          <w:b/>
          <w:bCs/>
          <w:sz w:val="20"/>
          <w:szCs w:val="20"/>
          <w:lang w:val="en-US"/>
        </w:rPr>
      </w:pPr>
    </w:p>
    <w:p w14:paraId="46850AC5" w14:textId="7808E481" w:rsidR="000359B6" w:rsidRPr="00586D85" w:rsidRDefault="000359B6" w:rsidP="000359B6">
      <w:pPr>
        <w:jc w:val="both"/>
        <w:rPr>
          <w:sz w:val="20"/>
          <w:szCs w:val="20"/>
          <w:lang w:val="en-US"/>
        </w:rPr>
      </w:pPr>
      <w:r w:rsidRPr="00E7470E">
        <w:rPr>
          <w:rFonts w:ascii="Arial" w:hAnsi="Arial" w:cs="Arial"/>
          <w:b/>
          <w:bCs/>
          <w:sz w:val="20"/>
          <w:szCs w:val="20"/>
          <w:lang w:val="en-US"/>
        </w:rPr>
        <w:t>Figure S</w:t>
      </w:r>
      <w:r w:rsidR="002B1ECC">
        <w:rPr>
          <w:rFonts w:ascii="Arial" w:hAnsi="Arial" w:cs="Arial"/>
          <w:b/>
          <w:bCs/>
          <w:sz w:val="20"/>
          <w:szCs w:val="20"/>
          <w:lang w:val="en-US"/>
        </w:rPr>
        <w:t>4</w:t>
      </w:r>
      <w:r w:rsidRPr="00E7470E">
        <w:rPr>
          <w:rFonts w:ascii="Arial" w:hAnsi="Arial" w:cs="Arial"/>
          <w:sz w:val="20"/>
          <w:szCs w:val="20"/>
          <w:lang w:val="en-US"/>
        </w:rPr>
        <w:t>.</w:t>
      </w:r>
      <w:r w:rsidRPr="00CA6AC0">
        <w:rPr>
          <w:lang w:val="en-US"/>
        </w:rPr>
        <w:t xml:space="preserve"> </w:t>
      </w:r>
      <w:r w:rsidR="0016120B" w:rsidRPr="0016120B">
        <w:rPr>
          <w:sz w:val="20"/>
          <w:szCs w:val="20"/>
          <w:lang w:val="en-US"/>
        </w:rPr>
        <w:t>Changes in stool metabolites related to propionate CoA transferase metabolic pathways over 9 months by dietary intervention group showed no significant differences</w:t>
      </w:r>
      <w:r>
        <w:rPr>
          <w:sz w:val="20"/>
          <w:szCs w:val="20"/>
          <w:lang w:val="en-US"/>
        </w:rPr>
        <w:t>.</w:t>
      </w:r>
      <w:r w:rsidR="00830184">
        <w:rPr>
          <w:sz w:val="20"/>
          <w:szCs w:val="20"/>
          <w:lang w:val="en-US"/>
        </w:rPr>
        <w:t xml:space="preserve"> (</w:t>
      </w:r>
      <w:r w:rsidR="00830184" w:rsidRPr="00FC69E0">
        <w:rPr>
          <w:b/>
          <w:bCs/>
          <w:sz w:val="20"/>
          <w:szCs w:val="20"/>
          <w:lang w:val="en-US"/>
        </w:rPr>
        <w:t>A</w:t>
      </w:r>
      <w:r w:rsidR="00830184">
        <w:rPr>
          <w:sz w:val="20"/>
          <w:szCs w:val="20"/>
          <w:lang w:val="en-US"/>
        </w:rPr>
        <w:t>) Acetic acid</w:t>
      </w:r>
      <w:r w:rsidR="007340E3">
        <w:rPr>
          <w:sz w:val="20"/>
          <w:szCs w:val="20"/>
          <w:lang w:val="en-US"/>
        </w:rPr>
        <w:t xml:space="preserve"> (p = 0.5</w:t>
      </w:r>
      <w:r w:rsidR="00047245">
        <w:rPr>
          <w:sz w:val="20"/>
          <w:szCs w:val="20"/>
          <w:lang w:val="en-US"/>
        </w:rPr>
        <w:t xml:space="preserve">4, </w:t>
      </w:r>
      <w:r w:rsidR="00047245" w:rsidRPr="00047245">
        <w:rPr>
          <w:i/>
          <w:iCs/>
          <w:sz w:val="20"/>
          <w:szCs w:val="20"/>
          <w:lang w:val="en-US"/>
        </w:rPr>
        <w:t>f</w:t>
      </w:r>
      <w:r w:rsidR="00047245" w:rsidRPr="00047245">
        <w:rPr>
          <w:i/>
          <w:iCs/>
          <w:sz w:val="20"/>
          <w:szCs w:val="20"/>
          <w:vertAlign w:val="superscript"/>
          <w:lang w:val="en-US"/>
        </w:rPr>
        <w:t>2</w:t>
      </w:r>
      <w:r w:rsidR="00047245">
        <w:rPr>
          <w:sz w:val="20"/>
          <w:szCs w:val="20"/>
          <w:lang w:val="en-US"/>
        </w:rPr>
        <w:t xml:space="preserve"> = 0.02</w:t>
      </w:r>
      <w:r w:rsidR="007340E3">
        <w:rPr>
          <w:sz w:val="20"/>
          <w:szCs w:val="20"/>
          <w:lang w:val="en-US"/>
        </w:rPr>
        <w:t>)</w:t>
      </w:r>
      <w:r w:rsidR="00830184">
        <w:rPr>
          <w:sz w:val="20"/>
          <w:szCs w:val="20"/>
          <w:lang w:val="en-US"/>
        </w:rPr>
        <w:t>. (</w:t>
      </w:r>
      <w:r w:rsidR="00830184" w:rsidRPr="00FC69E0">
        <w:rPr>
          <w:b/>
          <w:bCs/>
          <w:sz w:val="20"/>
          <w:szCs w:val="20"/>
          <w:lang w:val="en-US"/>
        </w:rPr>
        <w:t>B</w:t>
      </w:r>
      <w:r w:rsidR="00830184">
        <w:rPr>
          <w:sz w:val="20"/>
          <w:szCs w:val="20"/>
          <w:lang w:val="en-US"/>
        </w:rPr>
        <w:t>) Butyric acid</w:t>
      </w:r>
      <w:r w:rsidR="007340E3">
        <w:rPr>
          <w:sz w:val="20"/>
          <w:szCs w:val="20"/>
          <w:lang w:val="en-US"/>
        </w:rPr>
        <w:t xml:space="preserve"> (p = 0.1</w:t>
      </w:r>
      <w:r w:rsidR="00047245">
        <w:rPr>
          <w:sz w:val="20"/>
          <w:szCs w:val="20"/>
          <w:lang w:val="en-US"/>
        </w:rPr>
        <w:t xml:space="preserve">1, </w:t>
      </w:r>
      <w:r w:rsidR="00047245" w:rsidRPr="00047245">
        <w:rPr>
          <w:i/>
          <w:iCs/>
          <w:sz w:val="20"/>
          <w:szCs w:val="20"/>
          <w:lang w:val="en-US"/>
        </w:rPr>
        <w:t>f</w:t>
      </w:r>
      <w:r w:rsidR="00047245" w:rsidRPr="00047245">
        <w:rPr>
          <w:i/>
          <w:iCs/>
          <w:sz w:val="20"/>
          <w:szCs w:val="20"/>
          <w:vertAlign w:val="superscript"/>
          <w:lang w:val="en-US"/>
        </w:rPr>
        <w:t>2</w:t>
      </w:r>
      <w:r w:rsidR="00047245">
        <w:rPr>
          <w:sz w:val="20"/>
          <w:szCs w:val="20"/>
          <w:lang w:val="en-US"/>
        </w:rPr>
        <w:t xml:space="preserve"> = 0.08</w:t>
      </w:r>
      <w:r w:rsidR="007340E3">
        <w:rPr>
          <w:sz w:val="20"/>
          <w:szCs w:val="20"/>
          <w:lang w:val="en-US"/>
        </w:rPr>
        <w:t>)</w:t>
      </w:r>
      <w:r w:rsidR="00830184">
        <w:rPr>
          <w:sz w:val="20"/>
          <w:szCs w:val="20"/>
          <w:lang w:val="en-US"/>
        </w:rPr>
        <w:t>. (</w:t>
      </w:r>
      <w:r w:rsidR="00830184" w:rsidRPr="00FC69E0">
        <w:rPr>
          <w:b/>
          <w:bCs/>
          <w:sz w:val="20"/>
          <w:szCs w:val="20"/>
          <w:lang w:val="en-US"/>
        </w:rPr>
        <w:t>C</w:t>
      </w:r>
      <w:r w:rsidR="00830184">
        <w:rPr>
          <w:sz w:val="20"/>
          <w:szCs w:val="20"/>
          <w:lang w:val="en-US"/>
        </w:rPr>
        <w:t>) Propanoic acid</w:t>
      </w:r>
      <w:r w:rsidR="007340E3">
        <w:rPr>
          <w:sz w:val="20"/>
          <w:szCs w:val="20"/>
          <w:lang w:val="en-US"/>
        </w:rPr>
        <w:t xml:space="preserve"> (p = 0.1</w:t>
      </w:r>
      <w:r w:rsidR="00047245">
        <w:rPr>
          <w:sz w:val="20"/>
          <w:szCs w:val="20"/>
          <w:lang w:val="en-US"/>
        </w:rPr>
        <w:t xml:space="preserve">1, </w:t>
      </w:r>
      <w:r w:rsidR="00047245" w:rsidRPr="00047245">
        <w:rPr>
          <w:i/>
          <w:iCs/>
          <w:sz w:val="20"/>
          <w:szCs w:val="20"/>
          <w:lang w:val="en-US"/>
        </w:rPr>
        <w:t>f</w:t>
      </w:r>
      <w:r w:rsidR="00047245" w:rsidRPr="00047245">
        <w:rPr>
          <w:i/>
          <w:iCs/>
          <w:sz w:val="20"/>
          <w:szCs w:val="20"/>
          <w:vertAlign w:val="superscript"/>
          <w:lang w:val="en-US"/>
        </w:rPr>
        <w:t>2</w:t>
      </w:r>
      <w:r w:rsidR="00047245">
        <w:rPr>
          <w:sz w:val="20"/>
          <w:szCs w:val="20"/>
          <w:lang w:val="en-US"/>
        </w:rPr>
        <w:t xml:space="preserve"> = 0.09</w:t>
      </w:r>
      <w:r w:rsidR="007340E3">
        <w:rPr>
          <w:sz w:val="20"/>
          <w:szCs w:val="20"/>
          <w:lang w:val="en-US"/>
        </w:rPr>
        <w:t>)</w:t>
      </w:r>
      <w:r w:rsidR="00830184">
        <w:rPr>
          <w:sz w:val="20"/>
          <w:szCs w:val="20"/>
          <w:lang w:val="en-US"/>
        </w:rPr>
        <w:t>.</w:t>
      </w:r>
    </w:p>
    <w:p w14:paraId="482B771A" w14:textId="0411A922" w:rsidR="007340E3" w:rsidRDefault="007340E3">
      <w:pPr>
        <w:rPr>
          <w:sz w:val="20"/>
          <w:szCs w:val="20"/>
          <w:lang w:val="en-US"/>
        </w:rPr>
      </w:pPr>
      <w:r>
        <w:rPr>
          <w:sz w:val="20"/>
          <w:szCs w:val="20"/>
          <w:lang w:val="en-US"/>
        </w:rPr>
        <w:br w:type="page"/>
      </w:r>
    </w:p>
    <w:p w14:paraId="31B991A2" w14:textId="3714BCE8" w:rsidR="003869DD" w:rsidRDefault="003869DD" w:rsidP="003869DD">
      <w:pPr>
        <w:jc w:val="center"/>
        <w:rPr>
          <w:rFonts w:ascii="Arial" w:eastAsia="Arial" w:hAnsi="Arial" w:cs="Arial"/>
          <w:b/>
          <w:bCs/>
          <w:sz w:val="20"/>
          <w:szCs w:val="20"/>
          <w:lang w:val="en-US"/>
        </w:rPr>
      </w:pPr>
      <w:r w:rsidRPr="003A20E4">
        <w:rPr>
          <w:rFonts w:eastAsia="Arial"/>
          <w:noProof/>
          <w:sz w:val="20"/>
          <w:szCs w:val="20"/>
          <w:lang w:val="en-US"/>
        </w:rPr>
        <w:lastRenderedPageBreak/>
        <w:drawing>
          <wp:inline distT="0" distB="0" distL="0" distR="0" wp14:anchorId="319FEDF1" wp14:editId="37177139">
            <wp:extent cx="3975098" cy="2038841"/>
            <wp:effectExtent l="0" t="0" r="635" b="6350"/>
            <wp:docPr id="2129698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98317"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5098" cy="2038841"/>
                    </a:xfrm>
                    <a:prstGeom prst="rect">
                      <a:avLst/>
                    </a:prstGeom>
                  </pic:spPr>
                </pic:pic>
              </a:graphicData>
            </a:graphic>
          </wp:inline>
        </w:drawing>
      </w:r>
    </w:p>
    <w:p w14:paraId="3C0E31C7" w14:textId="77777777" w:rsidR="00E427B5" w:rsidRDefault="00E427B5" w:rsidP="003869DD">
      <w:pPr>
        <w:jc w:val="center"/>
        <w:rPr>
          <w:rFonts w:ascii="Arial" w:eastAsia="Arial" w:hAnsi="Arial" w:cs="Arial"/>
          <w:b/>
          <w:bCs/>
          <w:sz w:val="20"/>
          <w:szCs w:val="20"/>
          <w:lang w:val="en-US"/>
        </w:rPr>
      </w:pPr>
    </w:p>
    <w:p w14:paraId="510726A6" w14:textId="16F9F77B" w:rsidR="00222619" w:rsidRDefault="003869DD" w:rsidP="00947D17">
      <w:pPr>
        <w:jc w:val="both"/>
        <w:rPr>
          <w:sz w:val="20"/>
          <w:szCs w:val="20"/>
          <w:lang w:val="en-US"/>
        </w:rPr>
      </w:pPr>
      <w:r w:rsidRPr="003A20E4">
        <w:rPr>
          <w:rFonts w:ascii="Arial" w:eastAsia="Arial" w:hAnsi="Arial" w:cs="Arial"/>
          <w:b/>
          <w:bCs/>
          <w:sz w:val="20"/>
          <w:szCs w:val="20"/>
          <w:lang w:val="en-US"/>
        </w:rPr>
        <w:t xml:space="preserve">Figure </w:t>
      </w:r>
      <w:r>
        <w:rPr>
          <w:rFonts w:ascii="Arial" w:eastAsia="Arial" w:hAnsi="Arial" w:cs="Arial"/>
          <w:b/>
          <w:bCs/>
          <w:sz w:val="20"/>
          <w:szCs w:val="20"/>
          <w:lang w:val="en-US"/>
        </w:rPr>
        <w:t>S5</w:t>
      </w:r>
      <w:r w:rsidRPr="003A20E4">
        <w:rPr>
          <w:rFonts w:ascii="Arial" w:eastAsia="Arial" w:hAnsi="Arial" w:cs="Arial"/>
          <w:b/>
          <w:bCs/>
          <w:sz w:val="20"/>
          <w:szCs w:val="20"/>
          <w:lang w:val="en-US"/>
        </w:rPr>
        <w:t>.</w:t>
      </w:r>
      <w:r w:rsidRPr="003A20E4">
        <w:rPr>
          <w:rFonts w:ascii="Arial" w:eastAsia="Arial" w:hAnsi="Arial" w:cs="Arial"/>
          <w:sz w:val="20"/>
          <w:szCs w:val="20"/>
          <w:lang w:val="en-US"/>
        </w:rPr>
        <w:t xml:space="preserve"> </w:t>
      </w:r>
      <w:r w:rsidRPr="003A20E4">
        <w:rPr>
          <w:rFonts w:eastAsia="Arial"/>
          <w:sz w:val="20"/>
          <w:szCs w:val="20"/>
          <w:lang w:val="en-US"/>
        </w:rPr>
        <w:t xml:space="preserve">The GMM propionate production II </w:t>
      </w:r>
      <w:r w:rsidR="008C3817">
        <w:rPr>
          <w:rFonts w:eastAsia="Arial"/>
          <w:sz w:val="20"/>
          <w:szCs w:val="20"/>
          <w:lang w:val="en-US"/>
        </w:rPr>
        <w:t xml:space="preserve">(MF0094) </w:t>
      </w:r>
      <w:r w:rsidRPr="003A20E4">
        <w:rPr>
          <w:rFonts w:eastAsia="Arial"/>
          <w:sz w:val="20"/>
          <w:szCs w:val="20"/>
          <w:lang w:val="en-US"/>
        </w:rPr>
        <w:t>mediated the effect of the diet on lesion volume (p</w:t>
      </w:r>
      <w:r w:rsidRPr="003A20E4">
        <w:rPr>
          <w:rFonts w:eastAsia="Arial"/>
          <w:sz w:val="20"/>
          <w:szCs w:val="20"/>
          <w:vertAlign w:val="subscript"/>
          <w:lang w:val="en-US"/>
        </w:rPr>
        <w:t>KDvs.CD</w:t>
      </w:r>
      <w:r w:rsidRPr="003A20E4">
        <w:rPr>
          <w:rFonts w:eastAsia="Arial"/>
          <w:sz w:val="20"/>
          <w:szCs w:val="20"/>
          <w:lang w:val="en-US"/>
        </w:rPr>
        <w:t xml:space="preserve"> = 0.06, </w:t>
      </w:r>
      <w:proofErr w:type="spellStart"/>
      <w:r w:rsidRPr="003A20E4">
        <w:rPr>
          <w:rFonts w:eastAsia="Arial"/>
          <w:sz w:val="20"/>
          <w:szCs w:val="20"/>
          <w:lang w:val="en-US"/>
        </w:rPr>
        <w:t>p</w:t>
      </w:r>
      <w:r w:rsidRPr="003A20E4">
        <w:rPr>
          <w:rFonts w:eastAsia="Arial"/>
          <w:sz w:val="20"/>
          <w:szCs w:val="20"/>
          <w:vertAlign w:val="subscript"/>
          <w:lang w:val="en-US"/>
        </w:rPr>
        <w:t>KDvs.FD</w:t>
      </w:r>
      <w:proofErr w:type="spellEnd"/>
      <w:r w:rsidRPr="003A20E4">
        <w:rPr>
          <w:rFonts w:eastAsia="Arial"/>
          <w:sz w:val="20"/>
          <w:szCs w:val="20"/>
          <w:lang w:val="en-US"/>
        </w:rPr>
        <w:t xml:space="preserve"> = 0.02, p</w:t>
      </w:r>
      <w:r w:rsidRPr="003A20E4">
        <w:rPr>
          <w:rFonts w:eastAsia="Arial"/>
          <w:sz w:val="20"/>
          <w:szCs w:val="20"/>
          <w:vertAlign w:val="subscript"/>
          <w:lang w:val="en-US"/>
        </w:rPr>
        <w:t>FDvs.CD</w:t>
      </w:r>
      <w:r w:rsidRPr="003A20E4">
        <w:rPr>
          <w:rFonts w:eastAsia="Arial"/>
          <w:sz w:val="20"/>
          <w:szCs w:val="20"/>
          <w:lang w:val="en-US"/>
        </w:rPr>
        <w:t xml:space="preserve"> = 0.77, proportion mediated</w:t>
      </w:r>
      <w:r w:rsidRPr="003A20E4">
        <w:rPr>
          <w:rFonts w:eastAsia="Arial"/>
          <w:sz w:val="20"/>
          <w:szCs w:val="20"/>
          <w:vertAlign w:val="subscript"/>
          <w:lang w:val="en-US"/>
        </w:rPr>
        <w:t>KDvs.CD</w:t>
      </w:r>
      <w:r w:rsidRPr="003A20E4">
        <w:rPr>
          <w:rFonts w:eastAsia="Arial"/>
          <w:sz w:val="20"/>
          <w:szCs w:val="20"/>
          <w:lang w:val="en-US"/>
        </w:rPr>
        <w:t xml:space="preserve"> = 0.66, proportion </w:t>
      </w:r>
      <w:proofErr w:type="spellStart"/>
      <w:r w:rsidRPr="003A20E4">
        <w:rPr>
          <w:rFonts w:eastAsia="Arial"/>
          <w:sz w:val="20"/>
          <w:szCs w:val="20"/>
          <w:lang w:val="en-US"/>
        </w:rPr>
        <w:t>mediated</w:t>
      </w:r>
      <w:r w:rsidRPr="003A20E4">
        <w:rPr>
          <w:rFonts w:eastAsia="Arial"/>
          <w:sz w:val="20"/>
          <w:szCs w:val="20"/>
          <w:vertAlign w:val="subscript"/>
          <w:lang w:val="en-US"/>
        </w:rPr>
        <w:t>KDvs.FD</w:t>
      </w:r>
      <w:proofErr w:type="spellEnd"/>
      <w:r w:rsidRPr="003A20E4">
        <w:rPr>
          <w:rFonts w:eastAsia="Arial"/>
          <w:sz w:val="20"/>
          <w:szCs w:val="20"/>
          <w:lang w:val="en-US"/>
        </w:rPr>
        <w:t xml:space="preserve"> = 0.71, proportion mediated</w:t>
      </w:r>
      <w:r w:rsidRPr="003A20E4">
        <w:rPr>
          <w:rFonts w:eastAsia="Arial"/>
          <w:sz w:val="20"/>
          <w:szCs w:val="20"/>
          <w:vertAlign w:val="subscript"/>
          <w:lang w:val="en-US"/>
        </w:rPr>
        <w:t>FDvs.CD</w:t>
      </w:r>
      <w:r w:rsidRPr="003A20E4">
        <w:rPr>
          <w:rFonts w:eastAsia="Arial"/>
          <w:sz w:val="20"/>
          <w:szCs w:val="20"/>
          <w:lang w:val="en-US"/>
        </w:rPr>
        <w:t xml:space="preserve"> = 0.03).</w:t>
      </w:r>
      <w:r w:rsidRPr="003A20E4">
        <w:rPr>
          <w:rFonts w:ascii="Arial" w:eastAsia="Arial" w:hAnsi="Arial" w:cs="Arial"/>
          <w:b/>
          <w:bCs/>
          <w:sz w:val="20"/>
          <w:szCs w:val="20"/>
          <w:lang w:val="en-US"/>
        </w:rPr>
        <w:t xml:space="preserve"> </w:t>
      </w:r>
      <w:r w:rsidR="00355DC3" w:rsidRPr="00355DC3">
        <w:rPr>
          <w:rFonts w:eastAsia="Arial"/>
          <w:sz w:val="20"/>
          <w:szCs w:val="20"/>
          <w:lang w:val="en-US"/>
        </w:rPr>
        <w:t xml:space="preserve">In MS patients receiving KD, shifts in microbial function showed stronger associations with changes in serum metabolites, specific microbial species, and lesion outcomes compared to associations with stool metabolite levels or the KD-specific reduction in </w:t>
      </w:r>
      <w:r w:rsidR="00355DC3" w:rsidRPr="00355DC3">
        <w:rPr>
          <w:rFonts w:eastAsia="Arial"/>
          <w:i/>
          <w:iCs/>
          <w:sz w:val="20"/>
          <w:szCs w:val="20"/>
          <w:lang w:val="en-US"/>
        </w:rPr>
        <w:t>Bifidobacterium</w:t>
      </w:r>
      <w:r w:rsidR="00355DC3" w:rsidRPr="00355DC3">
        <w:rPr>
          <w:rFonts w:eastAsia="Arial"/>
          <w:sz w:val="20"/>
          <w:szCs w:val="20"/>
          <w:lang w:val="en-US"/>
        </w:rPr>
        <w:t xml:space="preserve"> genus abundance</w:t>
      </w:r>
      <w:r w:rsidR="00947D17">
        <w:rPr>
          <w:rFonts w:eastAsia="Arial"/>
          <w:sz w:val="20"/>
          <w:szCs w:val="20"/>
          <w:lang w:val="en-US"/>
        </w:rPr>
        <w:t>.</w:t>
      </w:r>
    </w:p>
    <w:p w14:paraId="71F38046" w14:textId="37158E76" w:rsidR="00222619" w:rsidRDefault="00222619">
      <w:pPr>
        <w:rPr>
          <w:sz w:val="20"/>
          <w:szCs w:val="20"/>
          <w:lang w:val="en-US"/>
        </w:rPr>
      </w:pPr>
      <w:r>
        <w:rPr>
          <w:sz w:val="20"/>
          <w:szCs w:val="20"/>
          <w:lang w:val="en-US"/>
        </w:rPr>
        <w:br w:type="page"/>
      </w:r>
    </w:p>
    <w:p w14:paraId="34922F68" w14:textId="6D9B8B67" w:rsidR="000359B6" w:rsidRDefault="007340E3" w:rsidP="009B292E">
      <w:pPr>
        <w:jc w:val="both"/>
        <w:rPr>
          <w:sz w:val="20"/>
          <w:szCs w:val="20"/>
          <w:lang w:val="en-US"/>
        </w:rPr>
      </w:pPr>
      <w:r>
        <w:rPr>
          <w:noProof/>
          <w:sz w:val="20"/>
          <w:szCs w:val="20"/>
          <w:lang w:val="en-US"/>
        </w:rPr>
        <w:lastRenderedPageBreak/>
        <w:drawing>
          <wp:inline distT="0" distB="0" distL="0" distR="0" wp14:anchorId="033FDBE4" wp14:editId="5262E5D1">
            <wp:extent cx="5731510" cy="4298950"/>
            <wp:effectExtent l="0" t="0" r="0" b="6350"/>
            <wp:docPr id="24822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29056" name="Picture 2482290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2566CE3D" w14:textId="77777777" w:rsidR="00E427B5" w:rsidRDefault="00E427B5" w:rsidP="009B292E">
      <w:pPr>
        <w:jc w:val="both"/>
        <w:rPr>
          <w:sz w:val="20"/>
          <w:szCs w:val="20"/>
          <w:lang w:val="en-US"/>
        </w:rPr>
      </w:pPr>
    </w:p>
    <w:p w14:paraId="29701198" w14:textId="77777777" w:rsidR="008E2E5A" w:rsidRDefault="007340E3" w:rsidP="008E2E5A">
      <w:pPr>
        <w:jc w:val="both"/>
        <w:rPr>
          <w:sz w:val="20"/>
          <w:szCs w:val="20"/>
          <w:lang w:val="en-US"/>
        </w:rPr>
      </w:pPr>
      <w:r w:rsidRPr="007340E3">
        <w:rPr>
          <w:rFonts w:ascii="Arial" w:hAnsi="Arial" w:cs="Arial"/>
          <w:b/>
          <w:bCs/>
          <w:sz w:val="20"/>
          <w:szCs w:val="20"/>
          <w:lang w:val="en-US"/>
        </w:rPr>
        <w:t>Figure S</w:t>
      </w:r>
      <w:r w:rsidR="00222619">
        <w:rPr>
          <w:rFonts w:ascii="Arial" w:hAnsi="Arial" w:cs="Arial"/>
          <w:b/>
          <w:bCs/>
          <w:sz w:val="20"/>
          <w:szCs w:val="20"/>
          <w:lang w:val="en-US"/>
        </w:rPr>
        <w:t>6</w:t>
      </w:r>
      <w:r w:rsidRPr="007340E3">
        <w:rPr>
          <w:rFonts w:ascii="Arial" w:hAnsi="Arial" w:cs="Arial"/>
          <w:b/>
          <w:bCs/>
          <w:sz w:val="20"/>
          <w:szCs w:val="20"/>
          <w:lang w:val="en-US"/>
        </w:rPr>
        <w:t xml:space="preserve">. </w:t>
      </w:r>
      <w:r w:rsidR="008E2E5A" w:rsidRPr="008E2E5A">
        <w:rPr>
          <w:sz w:val="20"/>
          <w:szCs w:val="20"/>
          <w:lang w:val="en-US"/>
        </w:rPr>
        <w:t xml:space="preserve">Custom stool homogenization device consisting of a lever with a handle-bar attached to a lid that can be lowered into a reservoir containing frozen stool samples in sterile Whirl-Pak® Standard Sterilized Sampling Bags (Whirl-Pak, Madison, WI, USA) following removal of a safety pin. A protective shield was attached for safety, and a work table was placed adjacent to the device to facilitate </w:t>
      </w:r>
      <w:r w:rsidR="008E2E5A">
        <w:rPr>
          <w:sz w:val="20"/>
          <w:szCs w:val="20"/>
          <w:lang w:val="en-US"/>
        </w:rPr>
        <w:t xml:space="preserve">the </w:t>
      </w:r>
      <w:r w:rsidR="008E2E5A" w:rsidRPr="008E2E5A">
        <w:rPr>
          <w:sz w:val="20"/>
          <w:szCs w:val="20"/>
          <w:lang w:val="en-US"/>
        </w:rPr>
        <w:t>smooth removal of the heavy reservoir.</w:t>
      </w:r>
    </w:p>
    <w:p w14:paraId="739F5B12" w14:textId="1EA134B7" w:rsidR="00596DA8" w:rsidRDefault="00596DA8" w:rsidP="008E2E5A">
      <w:pPr>
        <w:jc w:val="both"/>
        <w:rPr>
          <w:sz w:val="20"/>
          <w:szCs w:val="20"/>
          <w:lang w:val="en-US"/>
        </w:rPr>
      </w:pPr>
      <w:r>
        <w:rPr>
          <w:sz w:val="20"/>
          <w:szCs w:val="20"/>
          <w:lang w:val="en-US"/>
        </w:rPr>
        <w:br w:type="page"/>
      </w:r>
    </w:p>
    <w:p w14:paraId="32757182" w14:textId="360E8494" w:rsidR="004C5575" w:rsidRPr="009C481D" w:rsidRDefault="00596DA8" w:rsidP="009C481D">
      <w:pPr>
        <w:spacing w:after="200"/>
        <w:jc w:val="both"/>
        <w:rPr>
          <w:rFonts w:ascii="Arial" w:hAnsi="Arial" w:cs="Arial"/>
          <w:b/>
          <w:bCs/>
          <w:sz w:val="20"/>
          <w:szCs w:val="20"/>
          <w:lang w:val="en-US"/>
        </w:rPr>
      </w:pPr>
      <w:r w:rsidRPr="009C481D">
        <w:rPr>
          <w:rFonts w:ascii="Arial" w:hAnsi="Arial" w:cs="Arial"/>
          <w:b/>
          <w:bCs/>
          <w:sz w:val="20"/>
          <w:szCs w:val="20"/>
          <w:lang w:val="en-US"/>
        </w:rPr>
        <w:lastRenderedPageBreak/>
        <w:t>References</w:t>
      </w:r>
    </w:p>
    <w:p w14:paraId="1D153B87" w14:textId="77777777" w:rsidR="00596DA8" w:rsidRDefault="00596DA8" w:rsidP="00E14404">
      <w:pPr>
        <w:jc w:val="both"/>
        <w:rPr>
          <w:sz w:val="20"/>
          <w:szCs w:val="20"/>
          <w:lang w:val="en-US"/>
        </w:rPr>
      </w:pPr>
    </w:p>
    <w:p w14:paraId="1D4FCD18" w14:textId="3AE7AA00" w:rsidR="00281C37" w:rsidRPr="00281C37" w:rsidRDefault="00281C37" w:rsidP="00281C37">
      <w:pPr>
        <w:pStyle w:val="ListParagraph"/>
        <w:numPr>
          <w:ilvl w:val="0"/>
          <w:numId w:val="3"/>
        </w:numPr>
        <w:jc w:val="both"/>
        <w:rPr>
          <w:sz w:val="20"/>
          <w:szCs w:val="20"/>
          <w:lang w:val="en-US"/>
        </w:rPr>
      </w:pPr>
      <w:r w:rsidRPr="00237562">
        <w:rPr>
          <w:rFonts w:ascii="Arial" w:hAnsi="Arial" w:cs="Arial"/>
          <w:sz w:val="20"/>
        </w:rPr>
        <w:t xml:space="preserve">Bahr, L. S. </w:t>
      </w:r>
      <w:r w:rsidRPr="00237562">
        <w:rPr>
          <w:rFonts w:ascii="Arial" w:hAnsi="Arial" w:cs="Arial"/>
          <w:i/>
          <w:iCs/>
          <w:sz w:val="20"/>
        </w:rPr>
        <w:t>et al.</w:t>
      </w:r>
      <w:r w:rsidRPr="00237562">
        <w:rPr>
          <w:rFonts w:ascii="Arial" w:hAnsi="Arial" w:cs="Arial"/>
          <w:sz w:val="20"/>
        </w:rPr>
        <w:t xml:space="preserve"> </w:t>
      </w:r>
      <w:r w:rsidRPr="00237562">
        <w:rPr>
          <w:rFonts w:ascii="Arial" w:hAnsi="Arial" w:cs="Arial"/>
          <w:sz w:val="20"/>
          <w:lang w:val="en-GB"/>
        </w:rPr>
        <w:t xml:space="preserve">Fasting, ketogenic, and anti-inflammatory diets in multiple sclerosis: a randomized controlled trial with 18-month follow-up. </w:t>
      </w:r>
      <w:r w:rsidRPr="00237562">
        <w:rPr>
          <w:rFonts w:ascii="Arial" w:hAnsi="Arial" w:cs="Arial"/>
          <w:i/>
          <w:iCs/>
          <w:sz w:val="20"/>
          <w:lang w:val="en-GB"/>
        </w:rPr>
        <w:t xml:space="preserve">BMC </w:t>
      </w:r>
      <w:proofErr w:type="spellStart"/>
      <w:r w:rsidRPr="00237562">
        <w:rPr>
          <w:rFonts w:ascii="Arial" w:hAnsi="Arial" w:cs="Arial"/>
          <w:i/>
          <w:iCs/>
          <w:sz w:val="20"/>
          <w:lang w:val="en-GB"/>
        </w:rPr>
        <w:t>Nutr</w:t>
      </w:r>
      <w:proofErr w:type="spellEnd"/>
      <w:r w:rsidRPr="00237562">
        <w:rPr>
          <w:rFonts w:ascii="Arial" w:hAnsi="Arial" w:cs="Arial"/>
          <w:sz w:val="20"/>
          <w:lang w:val="en-GB"/>
        </w:rPr>
        <w:t xml:space="preserve"> </w:t>
      </w:r>
      <w:r w:rsidRPr="00237562">
        <w:rPr>
          <w:rFonts w:ascii="Arial" w:hAnsi="Arial" w:cs="Arial"/>
          <w:b/>
          <w:bCs/>
          <w:sz w:val="20"/>
          <w:lang w:val="en-GB"/>
        </w:rPr>
        <w:t>11</w:t>
      </w:r>
      <w:r w:rsidRPr="00237562">
        <w:rPr>
          <w:rFonts w:ascii="Arial" w:hAnsi="Arial" w:cs="Arial"/>
          <w:sz w:val="20"/>
          <w:lang w:val="en-GB"/>
        </w:rPr>
        <w:t>, 167 (2025).</w:t>
      </w:r>
    </w:p>
    <w:sectPr w:rsidR="00281C37" w:rsidRPr="00281C37" w:rsidSect="00082A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24DD"/>
    <w:multiLevelType w:val="hybridMultilevel"/>
    <w:tmpl w:val="D12C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55D77"/>
    <w:multiLevelType w:val="hybridMultilevel"/>
    <w:tmpl w:val="9ED26EA0"/>
    <w:lvl w:ilvl="0" w:tplc="B2F4D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D6B6F"/>
    <w:multiLevelType w:val="hybridMultilevel"/>
    <w:tmpl w:val="B992C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DE07340"/>
    <w:multiLevelType w:val="hybridMultilevel"/>
    <w:tmpl w:val="3C74B15A"/>
    <w:lvl w:ilvl="0" w:tplc="8F46D9EE">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61130">
    <w:abstractNumId w:val="0"/>
  </w:num>
  <w:num w:numId="2" w16cid:durableId="1766414273">
    <w:abstractNumId w:val="1"/>
  </w:num>
  <w:num w:numId="3" w16cid:durableId="225921834">
    <w:abstractNumId w:val="2"/>
  </w:num>
  <w:num w:numId="4" w16cid:durableId="1064986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1A7FF"/>
    <w:rsid w:val="00023C9C"/>
    <w:rsid w:val="000359B6"/>
    <w:rsid w:val="000361AE"/>
    <w:rsid w:val="00047245"/>
    <w:rsid w:val="00047295"/>
    <w:rsid w:val="00082ADF"/>
    <w:rsid w:val="000B29CD"/>
    <w:rsid w:val="000D7F5B"/>
    <w:rsid w:val="00110E31"/>
    <w:rsid w:val="00143572"/>
    <w:rsid w:val="00143D14"/>
    <w:rsid w:val="0016120B"/>
    <w:rsid w:val="0016372D"/>
    <w:rsid w:val="00183F3C"/>
    <w:rsid w:val="00187143"/>
    <w:rsid w:val="001A7083"/>
    <w:rsid w:val="001B27D9"/>
    <w:rsid w:val="001C7773"/>
    <w:rsid w:val="002070C9"/>
    <w:rsid w:val="00222619"/>
    <w:rsid w:val="00244E85"/>
    <w:rsid w:val="00252D85"/>
    <w:rsid w:val="00253DFB"/>
    <w:rsid w:val="00281C37"/>
    <w:rsid w:val="00282812"/>
    <w:rsid w:val="00291529"/>
    <w:rsid w:val="00292385"/>
    <w:rsid w:val="002B1ECC"/>
    <w:rsid w:val="002D3E71"/>
    <w:rsid w:val="002E4002"/>
    <w:rsid w:val="003431F8"/>
    <w:rsid w:val="00355DC3"/>
    <w:rsid w:val="00370B76"/>
    <w:rsid w:val="00373C47"/>
    <w:rsid w:val="003869DD"/>
    <w:rsid w:val="00394551"/>
    <w:rsid w:val="003D744E"/>
    <w:rsid w:val="00405A29"/>
    <w:rsid w:val="004426FC"/>
    <w:rsid w:val="00462924"/>
    <w:rsid w:val="004C0E01"/>
    <w:rsid w:val="004C5575"/>
    <w:rsid w:val="005070CB"/>
    <w:rsid w:val="00511C9B"/>
    <w:rsid w:val="00514A78"/>
    <w:rsid w:val="00531377"/>
    <w:rsid w:val="00546203"/>
    <w:rsid w:val="00552B82"/>
    <w:rsid w:val="00564D3C"/>
    <w:rsid w:val="00566EBC"/>
    <w:rsid w:val="00586D85"/>
    <w:rsid w:val="00596DA8"/>
    <w:rsid w:val="005A34FA"/>
    <w:rsid w:val="005A6274"/>
    <w:rsid w:val="005B5A73"/>
    <w:rsid w:val="005F2170"/>
    <w:rsid w:val="00607328"/>
    <w:rsid w:val="006112E4"/>
    <w:rsid w:val="0063321F"/>
    <w:rsid w:val="0065776C"/>
    <w:rsid w:val="00657FA4"/>
    <w:rsid w:val="0068090F"/>
    <w:rsid w:val="00690789"/>
    <w:rsid w:val="006E4703"/>
    <w:rsid w:val="006E7D86"/>
    <w:rsid w:val="007340E3"/>
    <w:rsid w:val="00736B9D"/>
    <w:rsid w:val="00773FA6"/>
    <w:rsid w:val="00794831"/>
    <w:rsid w:val="007C55C0"/>
    <w:rsid w:val="007C73C0"/>
    <w:rsid w:val="007D360F"/>
    <w:rsid w:val="0080227F"/>
    <w:rsid w:val="00830184"/>
    <w:rsid w:val="0086569C"/>
    <w:rsid w:val="008C3817"/>
    <w:rsid w:val="008C737C"/>
    <w:rsid w:val="008D5F3F"/>
    <w:rsid w:val="008E2E5A"/>
    <w:rsid w:val="00947D17"/>
    <w:rsid w:val="009A0B59"/>
    <w:rsid w:val="009A4C8F"/>
    <w:rsid w:val="009B292E"/>
    <w:rsid w:val="009C2BBC"/>
    <w:rsid w:val="009C481D"/>
    <w:rsid w:val="00A033F4"/>
    <w:rsid w:val="00A42BAD"/>
    <w:rsid w:val="00A576CD"/>
    <w:rsid w:val="00A71819"/>
    <w:rsid w:val="00AA1E11"/>
    <w:rsid w:val="00AD2FA1"/>
    <w:rsid w:val="00B0176A"/>
    <w:rsid w:val="00B024DD"/>
    <w:rsid w:val="00B2798C"/>
    <w:rsid w:val="00B52CCB"/>
    <w:rsid w:val="00B74986"/>
    <w:rsid w:val="00B81724"/>
    <w:rsid w:val="00B9418F"/>
    <w:rsid w:val="00BA016C"/>
    <w:rsid w:val="00BC4597"/>
    <w:rsid w:val="00BE6DA6"/>
    <w:rsid w:val="00C16D8B"/>
    <w:rsid w:val="00C37F10"/>
    <w:rsid w:val="00C62424"/>
    <w:rsid w:val="00C911E8"/>
    <w:rsid w:val="00CA6AC0"/>
    <w:rsid w:val="00D31015"/>
    <w:rsid w:val="00D4010F"/>
    <w:rsid w:val="00D75B30"/>
    <w:rsid w:val="00DA3BE5"/>
    <w:rsid w:val="00DB3B38"/>
    <w:rsid w:val="00DB5EC7"/>
    <w:rsid w:val="00DE166E"/>
    <w:rsid w:val="00E04110"/>
    <w:rsid w:val="00E1287D"/>
    <w:rsid w:val="00E14404"/>
    <w:rsid w:val="00E2723E"/>
    <w:rsid w:val="00E32D13"/>
    <w:rsid w:val="00E427B5"/>
    <w:rsid w:val="00E6458D"/>
    <w:rsid w:val="00E7470E"/>
    <w:rsid w:val="00E77ED9"/>
    <w:rsid w:val="00E80964"/>
    <w:rsid w:val="00EC239E"/>
    <w:rsid w:val="00EF2941"/>
    <w:rsid w:val="00F403F9"/>
    <w:rsid w:val="00F54D7F"/>
    <w:rsid w:val="00FC69E0"/>
    <w:rsid w:val="00FE1784"/>
    <w:rsid w:val="19EC2DBD"/>
    <w:rsid w:val="2E18EE02"/>
    <w:rsid w:val="3FAD9651"/>
    <w:rsid w:val="4341A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A7FF"/>
  <w15:chartTrackingRefBased/>
  <w15:docId w15:val="{106F61E1-D464-48D4-93CB-B912AD18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A6"/>
    <w:pPr>
      <w:spacing w:after="0" w:line="240" w:lineRule="auto"/>
    </w:pPr>
    <w:rPr>
      <w:rFonts w:ascii="Times New Roman" w:eastAsia="Times New Roman" w:hAnsi="Times New Roman" w:cs="Times New Roman"/>
      <w:lang w:val="en-D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DA6"/>
    <w:pPr>
      <w:spacing w:before="100" w:beforeAutospacing="1" w:after="100" w:afterAutospacing="1"/>
    </w:pPr>
  </w:style>
  <w:style w:type="paragraph" w:styleId="ListParagraph">
    <w:name w:val="List Paragraph"/>
    <w:basedOn w:val="Normal"/>
    <w:uiPriority w:val="34"/>
    <w:qFormat/>
    <w:rsid w:val="000B29CD"/>
    <w:pPr>
      <w:ind w:left="720"/>
      <w:contextualSpacing/>
    </w:pPr>
  </w:style>
  <w:style w:type="character" w:styleId="Hyperlink">
    <w:name w:val="Hyperlink"/>
    <w:basedOn w:val="DefaultParagraphFont"/>
    <w:uiPriority w:val="99"/>
    <w:unhideWhenUsed/>
    <w:rsid w:val="00FE1784"/>
    <w:rPr>
      <w:color w:val="467886" w:themeColor="hyperlink"/>
      <w:u w:val="single"/>
    </w:rPr>
  </w:style>
  <w:style w:type="character" w:styleId="UnresolvedMention">
    <w:name w:val="Unresolved Mention"/>
    <w:basedOn w:val="DefaultParagraphFont"/>
    <w:uiPriority w:val="99"/>
    <w:semiHidden/>
    <w:unhideWhenUsed/>
    <w:rsid w:val="00FE1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3652">
      <w:bodyDiv w:val="1"/>
      <w:marLeft w:val="0"/>
      <w:marRight w:val="0"/>
      <w:marTop w:val="0"/>
      <w:marBottom w:val="0"/>
      <w:divBdr>
        <w:top w:val="none" w:sz="0" w:space="0" w:color="auto"/>
        <w:left w:val="none" w:sz="0" w:space="0" w:color="auto"/>
        <w:bottom w:val="none" w:sz="0" w:space="0" w:color="auto"/>
        <w:right w:val="none" w:sz="0" w:space="0" w:color="auto"/>
      </w:divBdr>
    </w:div>
    <w:div w:id="9396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CD1333634334E8534FC2D91006839" ma:contentTypeVersion="6" ma:contentTypeDescription="Create a new document." ma:contentTypeScope="" ma:versionID="79d622e1520a5293979051e4b6f03567">
  <xsd:schema xmlns:xsd="http://www.w3.org/2001/XMLSchema" xmlns:xs="http://www.w3.org/2001/XMLSchema" xmlns:p="http://schemas.microsoft.com/office/2006/metadata/properties" xmlns:ns2="d61ce121-bf9c-4538-865e-020f130b5818" xmlns:ns3="864911d6-e1be-43f6-807c-05f44afe0bb9" targetNamespace="http://schemas.microsoft.com/office/2006/metadata/properties" ma:root="true" ma:fieldsID="55b7c8abeaa7971881595daf17590a0a" ns2:_="" ns3:_="">
    <xsd:import namespace="d61ce121-bf9c-4538-865e-020f130b5818"/>
    <xsd:import namespace="864911d6-e1be-43f6-807c-05f44afe0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ce121-bf9c-4538-865e-020f130b5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911d6-e1be-43f6-807c-05f44afe0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7F2BD-37D7-4743-8A85-8BB7E2B447C3}">
  <ds:schemaRefs>
    <ds:schemaRef ds:uri="http://schemas.microsoft.com/sharepoint/v3/contenttype/forms"/>
  </ds:schemaRefs>
</ds:datastoreItem>
</file>

<file path=customXml/itemProps2.xml><?xml version="1.0" encoding="utf-8"?>
<ds:datastoreItem xmlns:ds="http://schemas.openxmlformats.org/officeDocument/2006/customXml" ds:itemID="{9C65AE47-FD6F-49EB-A165-D06D7A6C9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ce121-bf9c-4538-865e-020f130b5818"/>
    <ds:schemaRef ds:uri="864911d6-e1be-43f6-807c-05f44afe0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0117A-3901-47DE-B9F1-6725FA856C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Gutmann, Friederike</dc:creator>
  <cp:keywords/>
  <dc:description/>
  <cp:lastModifiedBy>Gutmann, Friederike</cp:lastModifiedBy>
  <cp:revision>4</cp:revision>
  <dcterms:created xsi:type="dcterms:W3CDTF">2025-08-22T11:18:00Z</dcterms:created>
  <dcterms:modified xsi:type="dcterms:W3CDTF">2025-08-22T12:33:00Z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0x0101004E0CD1333634334E8534FC2D91006839</vt:lpwstr>
  </property>
  <property fmtid="{D5CDD505-2E9C-101B-9397-08002B2CF9AE}" pid="3" name="ZOTERO_PREF_1">
    <vt:lpwstr>&lt;data data-version="3" zotero-version="6.0.37"&gt;&lt;session id="45ZsZsat"/&gt;&lt;style id="http://www.zotero.org/styles/nature" hasBibliography="1" bibliographyStyleHasBeenSet="0"/&gt;&lt;prefs&gt;&lt;pref name="fieldType" value="Field"/&gt;&lt;/prefs&gt;&lt;/data&gt;</vt:lpwstr>
  </property>
</Properties>
</file>