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477E21" w14:textId="710DAD24" w:rsidR="0019504D" w:rsidRPr="00D00E14" w:rsidRDefault="000C08BE">
      <w:pPr>
        <w:rPr>
          <w:rFonts w:ascii="Arial" w:hAnsi="Arial" w:cs="Arial"/>
          <w:b/>
          <w:bCs/>
        </w:rPr>
      </w:pPr>
      <w:r w:rsidRPr="00D00E14">
        <w:rPr>
          <w:rFonts w:ascii="Arial" w:hAnsi="Arial" w:cs="Arial"/>
          <w:b/>
          <w:bCs/>
        </w:rPr>
        <w:t xml:space="preserve">Supplementary Figure </w:t>
      </w:r>
      <w:r w:rsidR="0019504D" w:rsidRPr="00D00E14">
        <w:rPr>
          <w:rFonts w:ascii="Arial" w:hAnsi="Arial" w:cs="Arial"/>
          <w:b/>
          <w:bCs/>
        </w:rPr>
        <w:t xml:space="preserve">1. </w:t>
      </w:r>
      <w:r w:rsidRPr="00D00E14">
        <w:rPr>
          <w:rFonts w:ascii="Arial" w:hAnsi="Arial" w:cs="Arial"/>
          <w:b/>
          <w:bCs/>
        </w:rPr>
        <w:t xml:space="preserve">Gating strategy </w:t>
      </w:r>
      <w:r w:rsidR="005772E8">
        <w:rPr>
          <w:rFonts w:ascii="Arial" w:hAnsi="Arial" w:cs="Arial"/>
          <w:b/>
          <w:bCs/>
        </w:rPr>
        <w:t xml:space="preserve">for </w:t>
      </w:r>
      <w:r w:rsidRPr="00D00E14">
        <w:rPr>
          <w:rFonts w:ascii="Arial" w:hAnsi="Arial" w:cs="Arial"/>
          <w:b/>
          <w:bCs/>
        </w:rPr>
        <w:t>SARS-CoV-2</w:t>
      </w:r>
      <w:r w:rsidR="00B8730E">
        <w:rPr>
          <w:rFonts w:ascii="Arial" w:hAnsi="Arial" w:cs="Arial"/>
          <w:b/>
          <w:bCs/>
        </w:rPr>
        <w:t>-</w:t>
      </w:r>
      <w:r w:rsidRPr="00D00E14">
        <w:rPr>
          <w:rFonts w:ascii="Arial" w:hAnsi="Arial" w:cs="Arial"/>
          <w:b/>
          <w:bCs/>
        </w:rPr>
        <w:t>specific B cells in PBMC</w:t>
      </w:r>
      <w:r w:rsidR="00275D35" w:rsidRPr="00D00E14">
        <w:rPr>
          <w:rFonts w:ascii="Arial" w:hAnsi="Arial" w:cs="Arial"/>
          <w:b/>
          <w:bCs/>
        </w:rPr>
        <w:t>s</w:t>
      </w:r>
    </w:p>
    <w:p w14:paraId="3906E12D" w14:textId="640042C5" w:rsidR="00CA212F" w:rsidRPr="00D00E14" w:rsidRDefault="001731ED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790E5967" wp14:editId="42045609">
            <wp:extent cx="5943600" cy="5729605"/>
            <wp:effectExtent l="0" t="0" r="0" b="0"/>
            <wp:docPr id="18236396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639675" name="Picture 1823639675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29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037694" w14:textId="6AA10E71" w:rsidR="007379B6" w:rsidRDefault="00A44755" w:rsidP="00D00E14">
      <w:pPr>
        <w:rPr>
          <w:rFonts w:ascii="Arial" w:hAnsi="Arial" w:cs="Arial"/>
        </w:rPr>
      </w:pPr>
      <w:r w:rsidRPr="00D00E14">
        <w:rPr>
          <w:rFonts w:ascii="Arial" w:hAnsi="Arial" w:cs="Arial"/>
        </w:rPr>
        <w:t>Gating strategy for identifying and characterizing SARS-CoV-2 antigen-specific B cells</w:t>
      </w:r>
      <w:r w:rsidR="005772E8">
        <w:rPr>
          <w:rFonts w:ascii="Arial" w:hAnsi="Arial" w:cs="Arial"/>
        </w:rPr>
        <w:t xml:space="preserve"> (S1</w:t>
      </w:r>
      <w:r w:rsidR="005772E8" w:rsidRPr="005772E8">
        <w:rPr>
          <w:rFonts w:ascii="Arial" w:hAnsi="Arial" w:cs="Arial"/>
          <w:vertAlign w:val="superscript"/>
        </w:rPr>
        <w:t>+</w:t>
      </w:r>
      <w:r w:rsidR="005772E8">
        <w:rPr>
          <w:rFonts w:ascii="Arial" w:hAnsi="Arial" w:cs="Arial"/>
        </w:rPr>
        <w:t>RBD</w:t>
      </w:r>
      <w:r w:rsidR="005772E8" w:rsidRPr="005772E8">
        <w:rPr>
          <w:rFonts w:ascii="Arial" w:hAnsi="Arial" w:cs="Arial"/>
          <w:vertAlign w:val="superscript"/>
        </w:rPr>
        <w:t>+</w:t>
      </w:r>
      <w:r w:rsidR="005772E8">
        <w:rPr>
          <w:rFonts w:ascii="Arial" w:hAnsi="Arial" w:cs="Arial"/>
        </w:rPr>
        <w:t xml:space="preserve"> or RBD-Omi</w:t>
      </w:r>
      <w:r w:rsidR="005772E8" w:rsidRPr="005772E8">
        <w:rPr>
          <w:rFonts w:ascii="Arial" w:hAnsi="Arial" w:cs="Arial"/>
          <w:vertAlign w:val="superscript"/>
        </w:rPr>
        <w:t>+</w:t>
      </w:r>
      <w:r w:rsidR="005772E8">
        <w:rPr>
          <w:rFonts w:ascii="Arial" w:hAnsi="Arial" w:cs="Arial"/>
        </w:rPr>
        <w:t>)</w:t>
      </w:r>
      <w:r w:rsidRPr="00D00E14">
        <w:rPr>
          <w:rFonts w:ascii="Arial" w:hAnsi="Arial" w:cs="Arial"/>
        </w:rPr>
        <w:t xml:space="preserve"> in </w:t>
      </w:r>
      <w:r w:rsidR="00B8730E">
        <w:rPr>
          <w:rFonts w:ascii="Arial" w:hAnsi="Arial" w:cs="Arial"/>
        </w:rPr>
        <w:t>peripheral blood mononuclear cells (</w:t>
      </w:r>
      <w:r w:rsidRPr="00D00E14">
        <w:rPr>
          <w:rFonts w:ascii="Arial" w:hAnsi="Arial" w:cs="Arial"/>
        </w:rPr>
        <w:t>PBMC</w:t>
      </w:r>
      <w:r w:rsidR="00B8730E">
        <w:rPr>
          <w:rFonts w:ascii="Arial" w:hAnsi="Arial" w:cs="Arial"/>
        </w:rPr>
        <w:t>)</w:t>
      </w:r>
      <w:r w:rsidRPr="00D00E14">
        <w:rPr>
          <w:rFonts w:ascii="Arial" w:hAnsi="Arial" w:cs="Arial"/>
        </w:rPr>
        <w:t>.</w:t>
      </w:r>
    </w:p>
    <w:p w14:paraId="2C8CBFDC" w14:textId="73851F2F" w:rsidR="00B8730E" w:rsidRPr="00D00E14" w:rsidRDefault="00B8730E" w:rsidP="00D00E14">
      <w:pPr>
        <w:rPr>
          <w:rFonts w:ascii="Arial" w:hAnsi="Arial" w:cs="Arial"/>
        </w:rPr>
      </w:pPr>
      <w:r>
        <w:rPr>
          <w:rFonts w:ascii="Arial" w:hAnsi="Arial" w:cs="Arial"/>
        </w:rPr>
        <w:t xml:space="preserve">PB = </w:t>
      </w:r>
      <w:proofErr w:type="spellStart"/>
      <w:r>
        <w:rPr>
          <w:rFonts w:ascii="Arial" w:hAnsi="Arial" w:cs="Arial"/>
        </w:rPr>
        <w:t>plasmablast</w:t>
      </w:r>
      <w:proofErr w:type="spellEnd"/>
      <w:r>
        <w:rPr>
          <w:rFonts w:ascii="Arial" w:hAnsi="Arial" w:cs="Arial"/>
        </w:rPr>
        <w:t>, USM = unswitched memory</w:t>
      </w:r>
      <w:r w:rsidR="002E1385">
        <w:rPr>
          <w:rFonts w:ascii="Arial" w:hAnsi="Arial" w:cs="Arial"/>
        </w:rPr>
        <w:t xml:space="preserve"> B cells</w:t>
      </w:r>
      <w:r>
        <w:rPr>
          <w:rFonts w:ascii="Arial" w:hAnsi="Arial" w:cs="Arial"/>
        </w:rPr>
        <w:t>, B</w:t>
      </w:r>
      <w:r w:rsidRPr="00B8730E">
        <w:rPr>
          <w:rFonts w:ascii="Arial" w:hAnsi="Arial" w:cs="Arial"/>
          <w:vertAlign w:val="subscript"/>
        </w:rPr>
        <w:t>SM</w:t>
      </w:r>
      <w:r>
        <w:rPr>
          <w:rFonts w:ascii="Arial" w:hAnsi="Arial" w:cs="Arial"/>
        </w:rPr>
        <w:t xml:space="preserve"> = </w:t>
      </w:r>
      <w:r w:rsidR="00A50AFA">
        <w:rPr>
          <w:rFonts w:ascii="Arial" w:hAnsi="Arial" w:cs="Arial"/>
        </w:rPr>
        <w:t xml:space="preserve">switched memory </w:t>
      </w:r>
      <w:r>
        <w:rPr>
          <w:rFonts w:ascii="Arial" w:hAnsi="Arial" w:cs="Arial"/>
        </w:rPr>
        <w:t xml:space="preserve">B </w:t>
      </w:r>
      <w:r w:rsidR="00A50AFA">
        <w:rPr>
          <w:rFonts w:ascii="Arial" w:hAnsi="Arial" w:cs="Arial"/>
        </w:rPr>
        <w:t>cell</w:t>
      </w:r>
      <w:r w:rsidR="002E1385">
        <w:rPr>
          <w:rFonts w:ascii="Arial" w:hAnsi="Arial" w:cs="Arial"/>
        </w:rPr>
        <w:t>s</w:t>
      </w:r>
      <w:r w:rsidR="00A50AFA">
        <w:rPr>
          <w:rFonts w:ascii="Arial" w:hAnsi="Arial" w:cs="Arial"/>
        </w:rPr>
        <w:t>, MBC = memory B cells</w:t>
      </w:r>
    </w:p>
    <w:p w14:paraId="0C0ACADF" w14:textId="77777777" w:rsidR="00A44755" w:rsidRPr="00D00E14" w:rsidRDefault="00A44755">
      <w:pPr>
        <w:rPr>
          <w:rFonts w:ascii="Arial" w:hAnsi="Arial" w:cs="Arial"/>
        </w:rPr>
      </w:pPr>
      <w:r w:rsidRPr="00D00E14">
        <w:rPr>
          <w:rFonts w:ascii="Arial" w:hAnsi="Arial" w:cs="Arial"/>
        </w:rPr>
        <w:br w:type="page"/>
      </w:r>
    </w:p>
    <w:p w14:paraId="2D132175" w14:textId="0A720443" w:rsidR="00064F76" w:rsidRPr="00D00E14" w:rsidRDefault="007379B6" w:rsidP="007379B6">
      <w:pPr>
        <w:rPr>
          <w:rFonts w:ascii="Arial" w:hAnsi="Arial" w:cs="Arial"/>
          <w:b/>
          <w:bCs/>
        </w:rPr>
      </w:pPr>
      <w:r w:rsidRPr="00D00E14">
        <w:rPr>
          <w:rFonts w:ascii="Arial" w:hAnsi="Arial" w:cs="Arial"/>
          <w:b/>
          <w:bCs/>
        </w:rPr>
        <w:lastRenderedPageBreak/>
        <w:t xml:space="preserve">Supplementary Figure </w:t>
      </w:r>
      <w:r w:rsidR="000D23D4" w:rsidRPr="00D00E14">
        <w:rPr>
          <w:rFonts w:ascii="Arial" w:hAnsi="Arial" w:cs="Arial"/>
          <w:b/>
          <w:bCs/>
        </w:rPr>
        <w:t>2</w:t>
      </w:r>
      <w:r w:rsidR="00064F76" w:rsidRPr="00D00E14">
        <w:rPr>
          <w:rFonts w:ascii="Arial" w:hAnsi="Arial" w:cs="Arial"/>
          <w:b/>
          <w:bCs/>
        </w:rPr>
        <w:t xml:space="preserve">. </w:t>
      </w:r>
      <w:r w:rsidRPr="00D00E14">
        <w:rPr>
          <w:rFonts w:ascii="Arial" w:hAnsi="Arial" w:cs="Arial"/>
          <w:b/>
          <w:bCs/>
        </w:rPr>
        <w:t xml:space="preserve">Gating strategy </w:t>
      </w:r>
      <w:r w:rsidR="005772E8">
        <w:rPr>
          <w:rFonts w:ascii="Arial" w:hAnsi="Arial" w:cs="Arial"/>
          <w:b/>
          <w:bCs/>
        </w:rPr>
        <w:t xml:space="preserve">for </w:t>
      </w:r>
      <w:r w:rsidRPr="00D00E14">
        <w:rPr>
          <w:rFonts w:ascii="Arial" w:hAnsi="Arial" w:cs="Arial"/>
          <w:b/>
          <w:bCs/>
        </w:rPr>
        <w:t>SARS-CoV-2</w:t>
      </w:r>
      <w:r w:rsidR="005772E8">
        <w:rPr>
          <w:rFonts w:ascii="Arial" w:hAnsi="Arial" w:cs="Arial"/>
          <w:b/>
          <w:bCs/>
        </w:rPr>
        <w:t>-</w:t>
      </w:r>
      <w:r w:rsidRPr="00D00E14">
        <w:rPr>
          <w:rFonts w:ascii="Arial" w:hAnsi="Arial" w:cs="Arial"/>
          <w:b/>
          <w:bCs/>
        </w:rPr>
        <w:t xml:space="preserve">specific B cells in </w:t>
      </w:r>
      <w:r w:rsidR="00FE528D" w:rsidRPr="00D00E14">
        <w:rPr>
          <w:rFonts w:ascii="Arial" w:hAnsi="Arial" w:cs="Arial"/>
          <w:b/>
          <w:bCs/>
        </w:rPr>
        <w:t>adenoids and tonsils</w:t>
      </w:r>
      <w:r w:rsidR="00276182" w:rsidRPr="00D00E14">
        <w:rPr>
          <w:rFonts w:ascii="Arial" w:hAnsi="Arial" w:cs="Arial"/>
          <w:b/>
          <w:bCs/>
        </w:rPr>
        <w:t>.</w:t>
      </w:r>
    </w:p>
    <w:p w14:paraId="4FCB19CE" w14:textId="3EC9CE0E" w:rsidR="007379B6" w:rsidRPr="00D00E14" w:rsidRDefault="00137306" w:rsidP="00282B24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5EF2CB19" wp14:editId="2956CBE7">
            <wp:extent cx="5943600" cy="5380990"/>
            <wp:effectExtent l="0" t="0" r="0" b="3810"/>
            <wp:docPr id="108524270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242705" name="Picture 108524270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8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B62FA" w14:textId="00B2482B" w:rsidR="00282B24" w:rsidRPr="00D00E14" w:rsidRDefault="00282B24" w:rsidP="00D00E14">
      <w:pPr>
        <w:rPr>
          <w:rFonts w:ascii="Arial" w:hAnsi="Arial" w:cs="Arial"/>
        </w:rPr>
      </w:pPr>
      <w:r w:rsidRPr="00D00E14">
        <w:rPr>
          <w:rFonts w:ascii="Arial" w:hAnsi="Arial" w:cs="Arial"/>
        </w:rPr>
        <w:t>Gating strategy for identifying and characterizing SARS-CoV-2 antigen-specific</w:t>
      </w:r>
      <w:r w:rsidR="00B8730E">
        <w:rPr>
          <w:rFonts w:ascii="Arial" w:hAnsi="Arial" w:cs="Arial"/>
        </w:rPr>
        <w:t xml:space="preserve"> (S1</w:t>
      </w:r>
      <w:r w:rsidR="00B8730E" w:rsidRPr="00B8730E">
        <w:rPr>
          <w:rFonts w:ascii="Arial" w:hAnsi="Arial" w:cs="Arial"/>
          <w:vertAlign w:val="superscript"/>
        </w:rPr>
        <w:t>+</w:t>
      </w:r>
      <w:r w:rsidR="00B8730E">
        <w:rPr>
          <w:rFonts w:ascii="Arial" w:hAnsi="Arial" w:cs="Arial"/>
        </w:rPr>
        <w:t>RBD</w:t>
      </w:r>
      <w:r w:rsidR="00B8730E" w:rsidRPr="00B8730E">
        <w:rPr>
          <w:rFonts w:ascii="Arial" w:hAnsi="Arial" w:cs="Arial"/>
          <w:vertAlign w:val="superscript"/>
        </w:rPr>
        <w:t>+</w:t>
      </w:r>
      <w:r w:rsidR="00B8730E">
        <w:rPr>
          <w:rFonts w:ascii="Arial" w:hAnsi="Arial" w:cs="Arial"/>
        </w:rPr>
        <w:t xml:space="preserve"> and RBD-Omi</w:t>
      </w:r>
      <w:r w:rsidR="00B8730E" w:rsidRPr="00B8730E">
        <w:rPr>
          <w:rFonts w:ascii="Arial" w:hAnsi="Arial" w:cs="Arial"/>
          <w:vertAlign w:val="superscript"/>
        </w:rPr>
        <w:t>+</w:t>
      </w:r>
      <w:r w:rsidR="00B8730E">
        <w:rPr>
          <w:rFonts w:ascii="Arial" w:hAnsi="Arial" w:cs="Arial"/>
        </w:rPr>
        <w:t>)</w:t>
      </w:r>
      <w:r w:rsidRPr="00D00E14">
        <w:rPr>
          <w:rFonts w:ascii="Arial" w:hAnsi="Arial" w:cs="Arial"/>
        </w:rPr>
        <w:t xml:space="preserve"> B cells in a</w:t>
      </w:r>
      <w:r w:rsidR="005772E8">
        <w:rPr>
          <w:rFonts w:ascii="Arial" w:hAnsi="Arial" w:cs="Arial"/>
        </w:rPr>
        <w:t>d</w:t>
      </w:r>
      <w:r w:rsidRPr="00D00E14">
        <w:rPr>
          <w:rFonts w:ascii="Arial" w:hAnsi="Arial" w:cs="Arial"/>
        </w:rPr>
        <w:t>enoid and tonsil.</w:t>
      </w:r>
    </w:p>
    <w:p w14:paraId="6CD55544" w14:textId="2A20B0CD" w:rsidR="003637F9" w:rsidRPr="002E1385" w:rsidRDefault="005772E8" w:rsidP="007379B6">
      <w:pPr>
        <w:rPr>
          <w:rFonts w:ascii="Arial" w:hAnsi="Arial" w:cs="Arial"/>
          <w:b/>
          <w:bCs/>
        </w:rPr>
      </w:pPr>
      <w:r>
        <w:rPr>
          <w:rFonts w:ascii="Arial" w:hAnsi="Arial" w:cs="Arial"/>
        </w:rPr>
        <w:t>PC</w:t>
      </w:r>
      <w:r w:rsidR="002E1385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=</w:t>
      </w:r>
      <w:r w:rsidR="002E1385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plasma cell; GCB = germinal center B cells; B</w:t>
      </w:r>
      <w:r w:rsidRPr="009B70ED">
        <w:rPr>
          <w:rFonts w:ascii="Arial" w:hAnsi="Arial" w:cs="Arial"/>
          <w:vertAlign w:val="subscript"/>
        </w:rPr>
        <w:t>SM</w:t>
      </w:r>
      <w:r>
        <w:rPr>
          <w:rFonts w:ascii="Arial" w:hAnsi="Arial" w:cs="Arial"/>
        </w:rPr>
        <w:t xml:space="preserve"> = switched memory B cells; USM = unswitched memory</w:t>
      </w:r>
      <w:r w:rsidR="002E1385">
        <w:rPr>
          <w:rFonts w:ascii="Arial" w:hAnsi="Arial" w:cs="Arial"/>
        </w:rPr>
        <w:t xml:space="preserve"> B cells</w:t>
      </w:r>
    </w:p>
    <w:p w14:paraId="3FA11E30" w14:textId="230FE6DD" w:rsidR="003637F9" w:rsidRPr="00D00E14" w:rsidRDefault="003637F9">
      <w:pPr>
        <w:rPr>
          <w:rFonts w:ascii="Arial" w:hAnsi="Arial" w:cs="Arial"/>
        </w:rPr>
      </w:pPr>
      <w:r w:rsidRPr="00D00E14">
        <w:rPr>
          <w:rFonts w:ascii="Arial" w:hAnsi="Arial" w:cs="Arial"/>
        </w:rPr>
        <w:br w:type="page"/>
      </w:r>
    </w:p>
    <w:p w14:paraId="5ACEFF70" w14:textId="48FA24FB" w:rsidR="00EC4D1D" w:rsidRPr="009A1F73" w:rsidRDefault="00EC4D1D" w:rsidP="00EC4D1D">
      <w:pPr>
        <w:rPr>
          <w:rFonts w:ascii="Arial" w:hAnsi="Arial" w:cs="Arial"/>
        </w:rPr>
      </w:pPr>
      <w:r w:rsidRPr="00D00E14">
        <w:rPr>
          <w:rFonts w:ascii="Arial" w:hAnsi="Arial" w:cs="Arial"/>
          <w:b/>
          <w:bCs/>
        </w:rPr>
        <w:lastRenderedPageBreak/>
        <w:t xml:space="preserve">Supplementary Figure </w:t>
      </w:r>
      <w:r w:rsidR="009A1F73">
        <w:rPr>
          <w:rFonts w:ascii="Arial" w:hAnsi="Arial" w:cs="Arial"/>
          <w:b/>
          <w:bCs/>
        </w:rPr>
        <w:t>3</w:t>
      </w:r>
      <w:r w:rsidRPr="00D00E14">
        <w:rPr>
          <w:rFonts w:ascii="Arial" w:hAnsi="Arial" w:cs="Arial"/>
          <w:b/>
          <w:bCs/>
        </w:rPr>
        <w:t xml:space="preserve">. Gating strategy for </w:t>
      </w:r>
      <w:r w:rsidR="003F1C4F" w:rsidRPr="00D00E14">
        <w:rPr>
          <w:rFonts w:ascii="Arial" w:hAnsi="Arial" w:cs="Arial"/>
          <w:b/>
          <w:bCs/>
        </w:rPr>
        <w:t>CD4</w:t>
      </w:r>
      <w:r w:rsidR="003F1C4F" w:rsidRPr="00D00E14">
        <w:rPr>
          <w:rFonts w:ascii="Arial" w:hAnsi="Arial" w:cs="Arial"/>
          <w:b/>
          <w:bCs/>
          <w:vertAlign w:val="superscript"/>
        </w:rPr>
        <w:t>+</w:t>
      </w:r>
      <w:r w:rsidR="003F1C4F" w:rsidRPr="00D00E14">
        <w:rPr>
          <w:rFonts w:ascii="Arial" w:hAnsi="Arial" w:cs="Arial"/>
          <w:b/>
          <w:bCs/>
        </w:rPr>
        <w:t xml:space="preserve"> T cells in adenoid and tonsil.</w:t>
      </w:r>
      <w:r w:rsidRPr="00D00E14">
        <w:rPr>
          <w:rFonts w:ascii="Arial" w:hAnsi="Arial" w:cs="Arial"/>
          <w:b/>
          <w:bCs/>
        </w:rPr>
        <w:t xml:space="preserve"> </w:t>
      </w:r>
    </w:p>
    <w:p w14:paraId="522A4F1E" w14:textId="41ABE910" w:rsidR="00EC4D1D" w:rsidRPr="00D00E14" w:rsidRDefault="00751CFB" w:rsidP="007F380C">
      <w:pPr>
        <w:pStyle w:val="ListParagraph"/>
        <w:ind w:left="90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7B18DEE1" wp14:editId="042B564D">
            <wp:extent cx="5715000" cy="3403600"/>
            <wp:effectExtent l="0" t="0" r="0" b="0"/>
            <wp:docPr id="9651952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19520" name="Picture 9651952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F035F" w14:textId="07F2EFE0" w:rsidR="00CD42DF" w:rsidRDefault="00CD42DF" w:rsidP="00D00E14">
      <w:pPr>
        <w:rPr>
          <w:rFonts w:ascii="Arial" w:hAnsi="Arial" w:cs="Arial"/>
        </w:rPr>
      </w:pPr>
      <w:r w:rsidRPr="00D00E14">
        <w:rPr>
          <w:rFonts w:ascii="Arial" w:hAnsi="Arial" w:cs="Arial"/>
        </w:rPr>
        <w:t>Gating strategy for CD4</w:t>
      </w:r>
      <w:r w:rsidRPr="00D00E14">
        <w:rPr>
          <w:rFonts w:ascii="Arial" w:hAnsi="Arial" w:cs="Arial"/>
          <w:vertAlign w:val="superscript"/>
        </w:rPr>
        <w:t>+</w:t>
      </w:r>
      <w:r w:rsidRPr="00D00E14">
        <w:rPr>
          <w:rFonts w:ascii="Arial" w:hAnsi="Arial" w:cs="Arial"/>
        </w:rPr>
        <w:t xml:space="preserve"> T cells in adenoid and tonsil</w:t>
      </w:r>
      <w:r w:rsidR="006D7525" w:rsidRPr="00D00E14">
        <w:rPr>
          <w:rFonts w:ascii="Arial" w:hAnsi="Arial" w:cs="Arial"/>
        </w:rPr>
        <w:t>.</w:t>
      </w:r>
      <w:r w:rsidR="00751CFB">
        <w:rPr>
          <w:rFonts w:ascii="Arial" w:hAnsi="Arial" w:cs="Arial"/>
        </w:rPr>
        <w:t xml:space="preserve"> </w:t>
      </w:r>
    </w:p>
    <w:p w14:paraId="4A946670" w14:textId="6A43E690" w:rsidR="009B70ED" w:rsidRPr="00D00E14" w:rsidRDefault="009B70ED" w:rsidP="00D00E14">
      <w:pPr>
        <w:rPr>
          <w:rFonts w:ascii="Arial" w:hAnsi="Arial" w:cs="Arial"/>
        </w:rPr>
      </w:pPr>
      <w:r>
        <w:rPr>
          <w:rFonts w:ascii="Arial" w:hAnsi="Arial" w:cs="Arial"/>
        </w:rPr>
        <w:t>GC-</w:t>
      </w:r>
      <w:proofErr w:type="spellStart"/>
      <w:r>
        <w:rPr>
          <w:rFonts w:ascii="Arial" w:hAnsi="Arial" w:cs="Arial"/>
        </w:rPr>
        <w:t>Tfh</w:t>
      </w:r>
      <w:proofErr w:type="spellEnd"/>
      <w:r>
        <w:rPr>
          <w:rFonts w:ascii="Arial" w:hAnsi="Arial" w:cs="Arial"/>
        </w:rPr>
        <w:t xml:space="preserve"> = germinal center T follicular helper cell; pre-</w:t>
      </w:r>
      <w:proofErr w:type="spellStart"/>
      <w:r>
        <w:rPr>
          <w:rFonts w:ascii="Arial" w:hAnsi="Arial" w:cs="Arial"/>
        </w:rPr>
        <w:t>Tfh</w:t>
      </w:r>
      <w:proofErr w:type="spellEnd"/>
      <w:r>
        <w:rPr>
          <w:rFonts w:ascii="Arial" w:hAnsi="Arial" w:cs="Arial"/>
        </w:rPr>
        <w:t xml:space="preserve"> = pre</w:t>
      </w:r>
      <w:r w:rsidR="002E1385">
        <w:rPr>
          <w:rFonts w:ascii="Arial" w:hAnsi="Arial" w:cs="Arial"/>
        </w:rPr>
        <w:t>-</w:t>
      </w:r>
      <w:r>
        <w:rPr>
          <w:rFonts w:ascii="Arial" w:hAnsi="Arial" w:cs="Arial"/>
        </w:rPr>
        <w:t>T follicular helper cell</w:t>
      </w:r>
    </w:p>
    <w:p w14:paraId="7F9650E4" w14:textId="2B809595" w:rsidR="00EC4D1D" w:rsidRPr="00D00E14" w:rsidRDefault="00EC4D1D">
      <w:pPr>
        <w:rPr>
          <w:rFonts w:ascii="Arial" w:hAnsi="Arial" w:cs="Arial"/>
        </w:rPr>
      </w:pPr>
      <w:r w:rsidRPr="00D00E14">
        <w:rPr>
          <w:rFonts w:ascii="Arial" w:hAnsi="Arial" w:cs="Arial"/>
        </w:rPr>
        <w:br w:type="page"/>
      </w:r>
    </w:p>
    <w:p w14:paraId="6C94DBF1" w14:textId="2D27E71E" w:rsidR="00774C5D" w:rsidRPr="00D00E14" w:rsidRDefault="00774C5D" w:rsidP="00774C5D">
      <w:pPr>
        <w:rPr>
          <w:rFonts w:ascii="Arial" w:hAnsi="Arial" w:cs="Arial"/>
          <w:b/>
          <w:bCs/>
        </w:rPr>
      </w:pPr>
      <w:r w:rsidRPr="00D00E14">
        <w:rPr>
          <w:rFonts w:ascii="Arial" w:hAnsi="Arial" w:cs="Arial"/>
          <w:b/>
          <w:bCs/>
        </w:rPr>
        <w:lastRenderedPageBreak/>
        <w:t xml:space="preserve">Supplementary Figure </w:t>
      </w:r>
      <w:r w:rsidR="009A1F73">
        <w:rPr>
          <w:rFonts w:ascii="Arial" w:hAnsi="Arial" w:cs="Arial"/>
          <w:b/>
          <w:bCs/>
        </w:rPr>
        <w:t>4</w:t>
      </w:r>
      <w:r w:rsidRPr="00D00E14">
        <w:rPr>
          <w:rFonts w:ascii="Arial" w:hAnsi="Arial" w:cs="Arial"/>
          <w:b/>
          <w:bCs/>
        </w:rPr>
        <w:t xml:space="preserve">. Gating strategy for </w:t>
      </w:r>
      <w:r w:rsidR="00DF7E14" w:rsidRPr="00D00E14">
        <w:rPr>
          <w:rFonts w:ascii="Arial" w:hAnsi="Arial" w:cs="Arial"/>
          <w:b/>
          <w:bCs/>
        </w:rPr>
        <w:t>innate</w:t>
      </w:r>
      <w:r w:rsidR="00D00E14" w:rsidRPr="00D00E14">
        <w:rPr>
          <w:rFonts w:ascii="Arial" w:hAnsi="Arial" w:cs="Arial"/>
          <w:b/>
          <w:bCs/>
        </w:rPr>
        <w:t xml:space="preserve"> immune cell</w:t>
      </w:r>
      <w:r w:rsidR="00DF7E14" w:rsidRPr="00D00E14">
        <w:rPr>
          <w:rFonts w:ascii="Arial" w:hAnsi="Arial" w:cs="Arial"/>
          <w:b/>
          <w:bCs/>
        </w:rPr>
        <w:t xml:space="preserve"> </w:t>
      </w:r>
      <w:r w:rsidR="00F17A89" w:rsidRPr="00D00E14">
        <w:rPr>
          <w:rFonts w:ascii="Arial" w:hAnsi="Arial" w:cs="Arial"/>
          <w:b/>
          <w:bCs/>
        </w:rPr>
        <w:t>populations</w:t>
      </w:r>
      <w:r w:rsidR="00DF7E14" w:rsidRPr="00D00E14">
        <w:rPr>
          <w:rFonts w:ascii="Arial" w:hAnsi="Arial" w:cs="Arial"/>
          <w:b/>
          <w:bCs/>
        </w:rPr>
        <w:t xml:space="preserve"> </w:t>
      </w:r>
    </w:p>
    <w:p w14:paraId="1D07D1D7" w14:textId="407FD279" w:rsidR="003637F9" w:rsidRPr="00D00E14" w:rsidRDefault="00D409F7" w:rsidP="001C5C68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02BA5456" wp14:editId="41421BB1">
            <wp:extent cx="5715000" cy="5816600"/>
            <wp:effectExtent l="0" t="0" r="0" b="0"/>
            <wp:docPr id="60694998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949987" name="Picture 60694998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81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9F7AC" w14:textId="540E70BF" w:rsidR="00893011" w:rsidRDefault="00893011" w:rsidP="00893011">
      <w:pPr>
        <w:pStyle w:val="ListParagraph"/>
        <w:numPr>
          <w:ilvl w:val="0"/>
          <w:numId w:val="3"/>
        </w:numPr>
        <w:rPr>
          <w:rFonts w:ascii="Arial" w:hAnsi="Arial" w:cs="Arial"/>
        </w:rPr>
      </w:pPr>
      <w:r w:rsidRPr="00D00E14">
        <w:rPr>
          <w:rFonts w:ascii="Arial" w:hAnsi="Arial" w:cs="Arial"/>
        </w:rPr>
        <w:t xml:space="preserve">Gating strategy for innate </w:t>
      </w:r>
      <w:r w:rsidR="00AE0983" w:rsidRPr="00D00E14">
        <w:rPr>
          <w:rFonts w:ascii="Arial" w:hAnsi="Arial" w:cs="Arial"/>
        </w:rPr>
        <w:t>populations</w:t>
      </w:r>
      <w:r w:rsidRPr="00D00E14">
        <w:rPr>
          <w:rFonts w:ascii="Arial" w:hAnsi="Arial" w:cs="Arial"/>
        </w:rPr>
        <w:t xml:space="preserve"> in PBMC; B. Gating strategy</w:t>
      </w:r>
      <w:r w:rsidR="00AE0983" w:rsidRPr="00D00E14">
        <w:rPr>
          <w:rFonts w:ascii="Arial" w:hAnsi="Arial" w:cs="Arial"/>
        </w:rPr>
        <w:t xml:space="preserve"> for</w:t>
      </w:r>
      <w:r w:rsidRPr="00D00E14">
        <w:rPr>
          <w:rFonts w:ascii="Arial" w:hAnsi="Arial" w:cs="Arial"/>
        </w:rPr>
        <w:t xml:space="preserve"> innate </w:t>
      </w:r>
      <w:r w:rsidR="00AE0983" w:rsidRPr="00D00E14">
        <w:rPr>
          <w:rFonts w:ascii="Arial" w:hAnsi="Arial" w:cs="Arial"/>
        </w:rPr>
        <w:t>populations</w:t>
      </w:r>
      <w:r w:rsidRPr="00D00E14">
        <w:rPr>
          <w:rFonts w:ascii="Arial" w:hAnsi="Arial" w:cs="Arial"/>
        </w:rPr>
        <w:t xml:space="preserve"> in adenoid and tonsil.</w:t>
      </w:r>
    </w:p>
    <w:p w14:paraId="5A531A08" w14:textId="591B5394" w:rsidR="009B70ED" w:rsidRPr="00D00E14" w:rsidRDefault="009B70ED" w:rsidP="009B70ED">
      <w:pPr>
        <w:pStyle w:val="ListParagrap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cDC</w:t>
      </w:r>
      <w:proofErr w:type="spellEnd"/>
      <w:r>
        <w:rPr>
          <w:rFonts w:ascii="Arial" w:hAnsi="Arial" w:cs="Arial"/>
        </w:rPr>
        <w:t xml:space="preserve"> = conventional dendritic cells; </w:t>
      </w:r>
      <w:proofErr w:type="spellStart"/>
      <w:r>
        <w:rPr>
          <w:rFonts w:ascii="Arial" w:hAnsi="Arial" w:cs="Arial"/>
        </w:rPr>
        <w:t>pDC</w:t>
      </w:r>
      <w:proofErr w:type="spellEnd"/>
      <w:r>
        <w:rPr>
          <w:rFonts w:ascii="Arial" w:hAnsi="Arial" w:cs="Arial"/>
        </w:rPr>
        <w:t xml:space="preserve"> = plasmacytoid dendritic cells</w:t>
      </w:r>
    </w:p>
    <w:p w14:paraId="331F7A0C" w14:textId="6E1F0919" w:rsidR="009A1F73" w:rsidRDefault="009A1F73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5909923" w14:textId="77777777" w:rsidR="009A1F73" w:rsidRPr="00D00E14" w:rsidRDefault="009A1F73" w:rsidP="009A1F73">
      <w:pPr>
        <w:rPr>
          <w:rFonts w:ascii="Arial" w:hAnsi="Arial" w:cs="Arial"/>
          <w:b/>
          <w:bCs/>
        </w:rPr>
      </w:pPr>
      <w:r w:rsidRPr="00D00E14">
        <w:rPr>
          <w:rFonts w:ascii="Arial" w:hAnsi="Arial" w:cs="Arial"/>
          <w:b/>
          <w:bCs/>
        </w:rPr>
        <w:lastRenderedPageBreak/>
        <w:t xml:space="preserve">Supplementary Figure </w:t>
      </w:r>
      <w:r>
        <w:rPr>
          <w:rFonts w:ascii="Arial" w:hAnsi="Arial" w:cs="Arial"/>
          <w:b/>
          <w:bCs/>
        </w:rPr>
        <w:t>5</w:t>
      </w:r>
      <w:r w:rsidRPr="00D00E14">
        <w:rPr>
          <w:rFonts w:ascii="Arial" w:hAnsi="Arial" w:cs="Arial"/>
          <w:b/>
          <w:bCs/>
        </w:rPr>
        <w:t>. B cell sorting strategies</w:t>
      </w:r>
    </w:p>
    <w:p w14:paraId="774FB651" w14:textId="52672DDA" w:rsidR="009A1F73" w:rsidRPr="00D00E14" w:rsidRDefault="00FE4F7F" w:rsidP="009A1F73">
      <w:pPr>
        <w:pStyle w:val="ListParagrap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5B56EE4B" wp14:editId="310094E1">
            <wp:extent cx="5651500" cy="5486400"/>
            <wp:effectExtent l="0" t="0" r="0" b="0"/>
            <wp:docPr id="5143560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356019" name="Picture 51435601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24320" w14:textId="2D073F04" w:rsidR="009A1F73" w:rsidRPr="00D00E14" w:rsidRDefault="009A1F73" w:rsidP="009A1F73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 w:rsidRPr="00D00E14">
        <w:rPr>
          <w:rFonts w:ascii="Arial" w:hAnsi="Arial" w:cs="Arial"/>
        </w:rPr>
        <w:t>S1</w:t>
      </w:r>
      <w:r w:rsidRPr="00D00E14">
        <w:rPr>
          <w:rFonts w:ascii="Arial" w:hAnsi="Arial" w:cs="Arial"/>
          <w:vertAlign w:val="superscript"/>
        </w:rPr>
        <w:t>+</w:t>
      </w:r>
      <w:r>
        <w:rPr>
          <w:rFonts w:ascii="Arial" w:hAnsi="Arial" w:cs="Arial"/>
        </w:rPr>
        <w:t xml:space="preserve"> and </w:t>
      </w:r>
      <w:r w:rsidRPr="00D00E14">
        <w:rPr>
          <w:rFonts w:ascii="Arial" w:hAnsi="Arial" w:cs="Arial"/>
        </w:rPr>
        <w:t>S1</w:t>
      </w:r>
      <w:r w:rsidRPr="00D00E14">
        <w:rPr>
          <w:rFonts w:ascii="Arial" w:hAnsi="Arial" w:cs="Arial"/>
          <w:vertAlign w:val="superscript"/>
        </w:rPr>
        <w:t>-</w:t>
      </w:r>
      <w:r w:rsidRPr="00D00E14">
        <w:rPr>
          <w:rFonts w:ascii="Arial" w:hAnsi="Arial" w:cs="Arial"/>
        </w:rPr>
        <w:t xml:space="preserve"> B cell sorting strategy for CITE-seq assay; B. P1-P4 B</w:t>
      </w:r>
      <w:r w:rsidRPr="00D00E14">
        <w:rPr>
          <w:rFonts w:ascii="Arial" w:hAnsi="Arial" w:cs="Arial"/>
          <w:vertAlign w:val="subscript"/>
        </w:rPr>
        <w:t>SM</w:t>
      </w:r>
      <w:r w:rsidRPr="00D00E14">
        <w:rPr>
          <w:rFonts w:ascii="Arial" w:hAnsi="Arial" w:cs="Arial"/>
        </w:rPr>
        <w:t xml:space="preserve"> sorting strategy for ATAC-seq assay and </w:t>
      </w:r>
      <w:r w:rsidRPr="00D00E14">
        <w:rPr>
          <w:rFonts w:ascii="Arial" w:hAnsi="Arial" w:cs="Arial"/>
          <w:i/>
          <w:iCs/>
        </w:rPr>
        <w:t>in vitro</w:t>
      </w:r>
      <w:r w:rsidRPr="00D00E14">
        <w:rPr>
          <w:rFonts w:ascii="Arial" w:hAnsi="Arial" w:cs="Arial"/>
        </w:rPr>
        <w:t xml:space="preserve"> plasma blast cell differentiation and proliferation assay.</w:t>
      </w:r>
      <w:r>
        <w:rPr>
          <w:rFonts w:ascii="Arial" w:hAnsi="Arial" w:cs="Arial"/>
        </w:rPr>
        <w:t xml:space="preserve"> </w:t>
      </w:r>
      <w:r w:rsidR="00FE4F7F">
        <w:rPr>
          <w:rFonts w:ascii="Arial" w:hAnsi="Arial" w:cs="Arial"/>
        </w:rPr>
        <w:t>Gating of CD21 and CXCR3 among CD3</w:t>
      </w:r>
      <w:r w:rsidR="00FE4F7F" w:rsidRPr="00F3409C">
        <w:rPr>
          <w:rFonts w:ascii="Arial" w:hAnsi="Arial" w:cs="Arial"/>
          <w:vertAlign w:val="superscript"/>
        </w:rPr>
        <w:t>+</w:t>
      </w:r>
      <w:r w:rsidR="00FE4F7F">
        <w:rPr>
          <w:rFonts w:ascii="Arial" w:hAnsi="Arial" w:cs="Arial"/>
        </w:rPr>
        <w:t xml:space="preserve"> T cells was used to </w:t>
      </w:r>
      <w:r w:rsidR="00F3409C">
        <w:rPr>
          <w:rFonts w:ascii="Arial" w:hAnsi="Arial" w:cs="Arial"/>
        </w:rPr>
        <w:t xml:space="preserve">position the </w:t>
      </w:r>
      <w:r w:rsidR="00FE4F7F">
        <w:rPr>
          <w:rFonts w:ascii="Arial" w:hAnsi="Arial" w:cs="Arial"/>
        </w:rPr>
        <w:t>gate</w:t>
      </w:r>
      <w:r w:rsidR="00F3409C">
        <w:rPr>
          <w:rFonts w:ascii="Arial" w:hAnsi="Arial" w:cs="Arial"/>
        </w:rPr>
        <w:t>s for</w:t>
      </w:r>
      <w:r w:rsidR="00FE4F7F">
        <w:rPr>
          <w:rFonts w:ascii="Arial" w:hAnsi="Arial" w:cs="Arial"/>
        </w:rPr>
        <w:t xml:space="preserve"> </w:t>
      </w:r>
      <w:r w:rsidR="00F3409C">
        <w:rPr>
          <w:rFonts w:ascii="Arial" w:hAnsi="Arial" w:cs="Arial"/>
        </w:rPr>
        <w:t>B</w:t>
      </w:r>
      <w:r w:rsidR="00F3409C" w:rsidRPr="00F3409C">
        <w:rPr>
          <w:rFonts w:ascii="Arial" w:hAnsi="Arial" w:cs="Arial"/>
          <w:vertAlign w:val="subscript"/>
        </w:rPr>
        <w:t>SM</w:t>
      </w:r>
      <w:r w:rsidR="00F3409C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B</w:t>
      </w:r>
      <w:r w:rsidRPr="00B8730E">
        <w:rPr>
          <w:rFonts w:ascii="Arial" w:hAnsi="Arial" w:cs="Arial"/>
          <w:vertAlign w:val="subscript"/>
        </w:rPr>
        <w:t>SM</w:t>
      </w:r>
      <w:r>
        <w:rPr>
          <w:rFonts w:ascii="Arial" w:hAnsi="Arial" w:cs="Arial"/>
        </w:rPr>
        <w:t xml:space="preserve"> = switched memory B cells</w:t>
      </w:r>
    </w:p>
    <w:p w14:paraId="7FA60CA5" w14:textId="77777777" w:rsidR="009A1F73" w:rsidRPr="00D00E14" w:rsidRDefault="009A1F73" w:rsidP="009A1F73">
      <w:pPr>
        <w:pStyle w:val="ListParagraph"/>
        <w:rPr>
          <w:rFonts w:ascii="Arial" w:hAnsi="Arial" w:cs="Arial"/>
        </w:rPr>
      </w:pPr>
    </w:p>
    <w:p w14:paraId="204016F8" w14:textId="77777777" w:rsidR="009A1F73" w:rsidRPr="00D00E14" w:rsidRDefault="009A1F73" w:rsidP="009A1F73">
      <w:pPr>
        <w:rPr>
          <w:rFonts w:ascii="Arial" w:hAnsi="Arial" w:cs="Arial"/>
        </w:rPr>
      </w:pPr>
      <w:r w:rsidRPr="00D00E14">
        <w:rPr>
          <w:rFonts w:ascii="Arial" w:hAnsi="Arial" w:cs="Arial"/>
        </w:rPr>
        <w:br w:type="page"/>
      </w:r>
    </w:p>
    <w:p w14:paraId="033C99B0" w14:textId="77777777" w:rsidR="009A1F73" w:rsidRPr="00D00E14" w:rsidRDefault="009A1F73" w:rsidP="009A1F73">
      <w:pPr>
        <w:rPr>
          <w:rFonts w:ascii="Arial" w:hAnsi="Arial" w:cs="Arial"/>
          <w:b/>
          <w:bCs/>
        </w:rPr>
      </w:pPr>
      <w:r w:rsidRPr="00D00E14">
        <w:rPr>
          <w:rFonts w:ascii="Arial" w:hAnsi="Arial" w:cs="Arial"/>
          <w:b/>
          <w:bCs/>
        </w:rPr>
        <w:lastRenderedPageBreak/>
        <w:t xml:space="preserve">Supplementary Figure </w:t>
      </w:r>
      <w:r>
        <w:rPr>
          <w:rFonts w:ascii="Arial" w:hAnsi="Arial" w:cs="Arial"/>
          <w:b/>
          <w:bCs/>
        </w:rPr>
        <w:t>6</w:t>
      </w:r>
      <w:r w:rsidRPr="00D00E14">
        <w:rPr>
          <w:rFonts w:ascii="Arial" w:hAnsi="Arial" w:cs="Arial"/>
          <w:b/>
          <w:bCs/>
        </w:rPr>
        <w:t>. Gating strategy for B cell function</w:t>
      </w:r>
      <w:r>
        <w:rPr>
          <w:rFonts w:ascii="Arial" w:hAnsi="Arial" w:cs="Arial"/>
          <w:b/>
          <w:bCs/>
        </w:rPr>
        <w:t>al</w:t>
      </w:r>
      <w:r w:rsidRPr="00D00E14">
        <w:rPr>
          <w:rFonts w:ascii="Arial" w:hAnsi="Arial" w:cs="Arial"/>
          <w:b/>
          <w:bCs/>
        </w:rPr>
        <w:t xml:space="preserve"> assays</w:t>
      </w:r>
    </w:p>
    <w:p w14:paraId="46E0A424" w14:textId="3063001F" w:rsidR="009A1F73" w:rsidRPr="0087111C" w:rsidRDefault="006C75CF" w:rsidP="009A1F73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61086074" wp14:editId="19692F04">
            <wp:extent cx="5168900" cy="5994400"/>
            <wp:effectExtent l="0" t="0" r="0" b="0"/>
            <wp:docPr id="92591723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917230" name="Picture 92591723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89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5E38E" w14:textId="77777777" w:rsidR="009A1F73" w:rsidRDefault="009A1F73" w:rsidP="009A1F73">
      <w:pPr>
        <w:pStyle w:val="ListParagraph"/>
        <w:numPr>
          <w:ilvl w:val="0"/>
          <w:numId w:val="2"/>
        </w:numPr>
        <w:rPr>
          <w:rFonts w:ascii="Arial" w:hAnsi="Arial" w:cs="Arial"/>
        </w:rPr>
      </w:pPr>
      <w:r w:rsidRPr="0087111C">
        <w:rPr>
          <w:rFonts w:ascii="Arial" w:hAnsi="Arial" w:cs="Arial"/>
        </w:rPr>
        <w:t>Gating strategy for B cell phosphorylation assay with and without stimulation with</w:t>
      </w:r>
      <w:r>
        <w:rPr>
          <w:rFonts w:ascii="Arial" w:hAnsi="Arial" w:cs="Arial"/>
        </w:rPr>
        <w:t xml:space="preserve"> </w:t>
      </w:r>
      <w:r w:rsidRPr="0087111C">
        <w:rPr>
          <w:rFonts w:ascii="Arial" w:hAnsi="Arial" w:cs="Arial"/>
        </w:rPr>
        <w:t>anti-human IgA/G/M;</w:t>
      </w:r>
      <w:r w:rsidRPr="00D00E14">
        <w:rPr>
          <w:rFonts w:ascii="Arial" w:hAnsi="Arial" w:cs="Arial"/>
        </w:rPr>
        <w:t xml:space="preserve"> B. Gating strategy for </w:t>
      </w:r>
      <w:r w:rsidRPr="00D00E14">
        <w:rPr>
          <w:rFonts w:ascii="Arial" w:hAnsi="Arial" w:cs="Arial"/>
          <w:i/>
          <w:iCs/>
        </w:rPr>
        <w:t xml:space="preserve">in vitro </w:t>
      </w:r>
      <w:r w:rsidRPr="00D00E14">
        <w:rPr>
          <w:rFonts w:ascii="Arial" w:hAnsi="Arial" w:cs="Arial"/>
        </w:rPr>
        <w:t>plasma blast cell differentiation and</w:t>
      </w:r>
      <w:r w:rsidRPr="00D00E14">
        <w:rPr>
          <w:rFonts w:ascii="Arial" w:hAnsi="Arial" w:cs="Arial"/>
          <w:i/>
          <w:iCs/>
        </w:rPr>
        <w:t xml:space="preserve"> </w:t>
      </w:r>
      <w:r w:rsidRPr="00D00E14">
        <w:rPr>
          <w:rFonts w:ascii="Arial" w:hAnsi="Arial" w:cs="Arial"/>
        </w:rPr>
        <w:t>proliferation assay.</w:t>
      </w:r>
    </w:p>
    <w:p w14:paraId="03F78D57" w14:textId="77777777" w:rsidR="009A1F73" w:rsidRPr="00D00E14" w:rsidRDefault="009A1F73" w:rsidP="009A1F73">
      <w:pPr>
        <w:pStyle w:val="ListParagraph"/>
        <w:rPr>
          <w:rFonts w:ascii="Arial" w:hAnsi="Arial" w:cs="Arial"/>
        </w:rPr>
      </w:pPr>
      <w:r>
        <w:rPr>
          <w:rFonts w:ascii="Arial" w:hAnsi="Arial" w:cs="Arial"/>
        </w:rPr>
        <w:t xml:space="preserve">CFSE = </w:t>
      </w:r>
      <w:proofErr w:type="spellStart"/>
      <w:r>
        <w:rPr>
          <w:rFonts w:ascii="Arial" w:hAnsi="Arial" w:cs="Arial"/>
        </w:rPr>
        <w:t>c</w:t>
      </w:r>
      <w:r w:rsidRPr="009B70ED">
        <w:rPr>
          <w:rFonts w:ascii="Arial" w:hAnsi="Arial" w:cs="Arial"/>
        </w:rPr>
        <w:t>arboxyfluorescein</w:t>
      </w:r>
      <w:proofErr w:type="spellEnd"/>
      <w:r w:rsidRPr="009B70ED">
        <w:rPr>
          <w:rFonts w:ascii="Arial" w:hAnsi="Arial" w:cs="Arial"/>
        </w:rPr>
        <w:t xml:space="preserve"> </w:t>
      </w:r>
      <w:proofErr w:type="spellStart"/>
      <w:r w:rsidRPr="009B70ED">
        <w:rPr>
          <w:rFonts w:ascii="Arial" w:hAnsi="Arial" w:cs="Arial"/>
        </w:rPr>
        <w:t>succinimidyl</w:t>
      </w:r>
      <w:proofErr w:type="spellEnd"/>
      <w:r w:rsidRPr="009B70ED">
        <w:rPr>
          <w:rFonts w:ascii="Arial" w:hAnsi="Arial" w:cs="Arial"/>
        </w:rPr>
        <w:t xml:space="preserve"> ester</w:t>
      </w:r>
      <w:r>
        <w:rPr>
          <w:rFonts w:ascii="Arial" w:hAnsi="Arial" w:cs="Arial"/>
        </w:rPr>
        <w:t>; B</w:t>
      </w:r>
      <w:r w:rsidRPr="00B8730E">
        <w:rPr>
          <w:rFonts w:ascii="Arial" w:hAnsi="Arial" w:cs="Arial"/>
          <w:vertAlign w:val="subscript"/>
        </w:rPr>
        <w:t>SM</w:t>
      </w:r>
      <w:r>
        <w:rPr>
          <w:rFonts w:ascii="Arial" w:hAnsi="Arial" w:cs="Arial"/>
        </w:rPr>
        <w:t xml:space="preserve"> = switched memory B cells; GC = germinal center</w:t>
      </w:r>
    </w:p>
    <w:p w14:paraId="37AD0243" w14:textId="77777777" w:rsidR="00893011" w:rsidRPr="00D00E14" w:rsidRDefault="00893011" w:rsidP="001C5C68">
      <w:pPr>
        <w:rPr>
          <w:rFonts w:ascii="Arial" w:hAnsi="Arial" w:cs="Arial"/>
        </w:rPr>
      </w:pPr>
    </w:p>
    <w:sectPr w:rsidR="00893011" w:rsidRPr="00D00E1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F24185F"/>
    <w:multiLevelType w:val="hybridMultilevel"/>
    <w:tmpl w:val="BDD0760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7A38F4"/>
    <w:multiLevelType w:val="hybridMultilevel"/>
    <w:tmpl w:val="2D38391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D6E0F5D"/>
    <w:multiLevelType w:val="hybridMultilevel"/>
    <w:tmpl w:val="6DE45EA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E4E56A6"/>
    <w:multiLevelType w:val="hybridMultilevel"/>
    <w:tmpl w:val="2D383912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7BC05A6"/>
    <w:multiLevelType w:val="hybridMultilevel"/>
    <w:tmpl w:val="338C0BE8"/>
    <w:lvl w:ilvl="0" w:tplc="2FF2E274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65BE0506"/>
    <w:multiLevelType w:val="hybridMultilevel"/>
    <w:tmpl w:val="33DABD3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6352A95"/>
    <w:multiLevelType w:val="hybridMultilevel"/>
    <w:tmpl w:val="2694844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81056868">
    <w:abstractNumId w:val="2"/>
  </w:num>
  <w:num w:numId="2" w16cid:durableId="2009862785">
    <w:abstractNumId w:val="1"/>
  </w:num>
  <w:num w:numId="3" w16cid:durableId="2037846444">
    <w:abstractNumId w:val="3"/>
  </w:num>
  <w:num w:numId="4" w16cid:durableId="1418745651">
    <w:abstractNumId w:val="5"/>
  </w:num>
  <w:num w:numId="5" w16cid:durableId="501746256">
    <w:abstractNumId w:val="0"/>
  </w:num>
  <w:num w:numId="6" w16cid:durableId="587158780">
    <w:abstractNumId w:val="6"/>
  </w:num>
  <w:num w:numId="7" w16cid:durableId="1450455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44BC"/>
    <w:rsid w:val="00043F39"/>
    <w:rsid w:val="00062004"/>
    <w:rsid w:val="00064F76"/>
    <w:rsid w:val="000769D0"/>
    <w:rsid w:val="0008355B"/>
    <w:rsid w:val="00092938"/>
    <w:rsid w:val="00093F71"/>
    <w:rsid w:val="000A548B"/>
    <w:rsid w:val="000B0FB9"/>
    <w:rsid w:val="000C08BE"/>
    <w:rsid w:val="000D23D4"/>
    <w:rsid w:val="00127E6B"/>
    <w:rsid w:val="00137306"/>
    <w:rsid w:val="0015509D"/>
    <w:rsid w:val="00163D02"/>
    <w:rsid w:val="001731ED"/>
    <w:rsid w:val="0019504D"/>
    <w:rsid w:val="001C350B"/>
    <w:rsid w:val="001C5C68"/>
    <w:rsid w:val="001F5E1E"/>
    <w:rsid w:val="00203066"/>
    <w:rsid w:val="00207288"/>
    <w:rsid w:val="00240736"/>
    <w:rsid w:val="00242204"/>
    <w:rsid w:val="0025351F"/>
    <w:rsid w:val="00266070"/>
    <w:rsid w:val="00266165"/>
    <w:rsid w:val="00275D35"/>
    <w:rsid w:val="00276182"/>
    <w:rsid w:val="00282B24"/>
    <w:rsid w:val="002A63AE"/>
    <w:rsid w:val="002D692E"/>
    <w:rsid w:val="002E1385"/>
    <w:rsid w:val="002E7E2D"/>
    <w:rsid w:val="00341D4C"/>
    <w:rsid w:val="00356D57"/>
    <w:rsid w:val="003637F9"/>
    <w:rsid w:val="003A5271"/>
    <w:rsid w:val="003F1C4F"/>
    <w:rsid w:val="00410303"/>
    <w:rsid w:val="00440E8D"/>
    <w:rsid w:val="004455EF"/>
    <w:rsid w:val="004B5FC1"/>
    <w:rsid w:val="004E7B3E"/>
    <w:rsid w:val="004E7D5F"/>
    <w:rsid w:val="004F3777"/>
    <w:rsid w:val="00522F88"/>
    <w:rsid w:val="005772E8"/>
    <w:rsid w:val="005844BC"/>
    <w:rsid w:val="005C1E10"/>
    <w:rsid w:val="005F09A3"/>
    <w:rsid w:val="005F0BD6"/>
    <w:rsid w:val="00606746"/>
    <w:rsid w:val="00622224"/>
    <w:rsid w:val="006267DE"/>
    <w:rsid w:val="00640FB7"/>
    <w:rsid w:val="006955E4"/>
    <w:rsid w:val="006A6924"/>
    <w:rsid w:val="006C0D6B"/>
    <w:rsid w:val="006C75CF"/>
    <w:rsid w:val="006D21B0"/>
    <w:rsid w:val="006D5F50"/>
    <w:rsid w:val="006D7525"/>
    <w:rsid w:val="007379B6"/>
    <w:rsid w:val="00744B67"/>
    <w:rsid w:val="00751CFB"/>
    <w:rsid w:val="00753D32"/>
    <w:rsid w:val="0076023A"/>
    <w:rsid w:val="00765686"/>
    <w:rsid w:val="00774C5D"/>
    <w:rsid w:val="00784674"/>
    <w:rsid w:val="00794F5C"/>
    <w:rsid w:val="007C190F"/>
    <w:rsid w:val="007D059F"/>
    <w:rsid w:val="007F380C"/>
    <w:rsid w:val="008226D6"/>
    <w:rsid w:val="00827D65"/>
    <w:rsid w:val="00843E6E"/>
    <w:rsid w:val="00845BD4"/>
    <w:rsid w:val="0087111C"/>
    <w:rsid w:val="00893011"/>
    <w:rsid w:val="008E639D"/>
    <w:rsid w:val="008F24C1"/>
    <w:rsid w:val="009035AE"/>
    <w:rsid w:val="00974C23"/>
    <w:rsid w:val="009963F1"/>
    <w:rsid w:val="009A1F73"/>
    <w:rsid w:val="009A6A34"/>
    <w:rsid w:val="009B059E"/>
    <w:rsid w:val="009B70ED"/>
    <w:rsid w:val="009F5D10"/>
    <w:rsid w:val="00A44602"/>
    <w:rsid w:val="00A44755"/>
    <w:rsid w:val="00A50AFA"/>
    <w:rsid w:val="00A73D59"/>
    <w:rsid w:val="00A85FFD"/>
    <w:rsid w:val="00AC37D9"/>
    <w:rsid w:val="00AC547E"/>
    <w:rsid w:val="00AD0245"/>
    <w:rsid w:val="00AD2306"/>
    <w:rsid w:val="00AD71A1"/>
    <w:rsid w:val="00AE0983"/>
    <w:rsid w:val="00AF1489"/>
    <w:rsid w:val="00AF627C"/>
    <w:rsid w:val="00B02EE3"/>
    <w:rsid w:val="00B1126C"/>
    <w:rsid w:val="00B26727"/>
    <w:rsid w:val="00B74D52"/>
    <w:rsid w:val="00B8272A"/>
    <w:rsid w:val="00B86367"/>
    <w:rsid w:val="00B8730E"/>
    <w:rsid w:val="00BB556B"/>
    <w:rsid w:val="00BD7D61"/>
    <w:rsid w:val="00BF3AC3"/>
    <w:rsid w:val="00C21EBC"/>
    <w:rsid w:val="00C34A43"/>
    <w:rsid w:val="00C34A6B"/>
    <w:rsid w:val="00C65C1F"/>
    <w:rsid w:val="00CA212F"/>
    <w:rsid w:val="00CD42DF"/>
    <w:rsid w:val="00D00E14"/>
    <w:rsid w:val="00D11827"/>
    <w:rsid w:val="00D16A87"/>
    <w:rsid w:val="00D259E8"/>
    <w:rsid w:val="00D409F7"/>
    <w:rsid w:val="00D50120"/>
    <w:rsid w:val="00D96C28"/>
    <w:rsid w:val="00DA7AD1"/>
    <w:rsid w:val="00DD1416"/>
    <w:rsid w:val="00DE317A"/>
    <w:rsid w:val="00DF3814"/>
    <w:rsid w:val="00DF7E14"/>
    <w:rsid w:val="00E24440"/>
    <w:rsid w:val="00E347A7"/>
    <w:rsid w:val="00E3778C"/>
    <w:rsid w:val="00E70689"/>
    <w:rsid w:val="00E76BB2"/>
    <w:rsid w:val="00E81FD3"/>
    <w:rsid w:val="00EA7BEA"/>
    <w:rsid w:val="00EB1C02"/>
    <w:rsid w:val="00EB47CD"/>
    <w:rsid w:val="00EC4D1D"/>
    <w:rsid w:val="00ED243B"/>
    <w:rsid w:val="00EE6B89"/>
    <w:rsid w:val="00EE6E99"/>
    <w:rsid w:val="00EF758A"/>
    <w:rsid w:val="00F17A89"/>
    <w:rsid w:val="00F30C11"/>
    <w:rsid w:val="00F3409C"/>
    <w:rsid w:val="00F45727"/>
    <w:rsid w:val="00F804D3"/>
    <w:rsid w:val="00F905D8"/>
    <w:rsid w:val="00FC6F93"/>
    <w:rsid w:val="00FD709A"/>
    <w:rsid w:val="00FE4F7F"/>
    <w:rsid w:val="00FE528D"/>
    <w:rsid w:val="00FE5C4E"/>
    <w:rsid w:val="00FF23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C8C85D"/>
  <w15:chartTrackingRefBased/>
  <w15:docId w15:val="{A3871650-9B31-5843-80D0-47D595ECA3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844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844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844B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844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844B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844B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844B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844B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844B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844B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844B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844B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844B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844B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844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844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844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844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844B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844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844B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844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844B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844B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844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844B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844B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844B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844B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fontTable" Target="fontTable.xml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Metadata/LabelInfo.xml><?xml version="1.0" encoding="utf-8"?>
<clbl:labelList xmlns:clbl="http://schemas.microsoft.com/office/2020/mipLabelMetadata">
  <clbl:label id="{14b77578-9773-42d5-8507-251ca2dc2b06}" enabled="0" method="" siteId="{14b77578-9773-42d5-8507-251ca2dc2b06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282</Words>
  <Characters>1613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Xu, Qin (NIH/NIAID) [E]</dc:creator>
  <cp:keywords/>
  <dc:description/>
  <cp:lastModifiedBy>Manthiram, Kalpana (NIH/NIAID) [E]</cp:lastModifiedBy>
  <cp:revision>2</cp:revision>
  <dcterms:created xsi:type="dcterms:W3CDTF">2025-08-13T20:21:00Z</dcterms:created>
  <dcterms:modified xsi:type="dcterms:W3CDTF">2025-08-13T20:21:00Z</dcterms:modified>
</cp:coreProperties>
</file>